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152"/>
        <w:rPr>
          <w:sz w:val="20"/>
        </w:rPr>
      </w:pPr>
      <w:r>
        <w:rPr>
          <w:sz w:val="20"/>
        </w:rPr>
        <w:drawing>
          <wp:inline distT="0" distB="0" distL="0" distR="0">
            <wp:extent cx="1969769" cy="29546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69769" cy="295465"/>
                    </a:xfrm>
                    <a:prstGeom prst="rect">
                      <a:avLst/>
                    </a:prstGeom>
                  </pic:spPr>
                </pic:pic>
              </a:graphicData>
            </a:graphic>
          </wp:inline>
        </w:drawing>
      </w:r>
      <w:r>
        <w:rPr>
          <w:sz w:val="20"/>
        </w:rPr>
      </w:r>
    </w:p>
    <w:p>
      <w:pPr>
        <w:pStyle w:val="BodyText"/>
        <w:spacing w:before="11"/>
        <w:rPr>
          <w:sz w:val="16"/>
        </w:rPr>
      </w:pPr>
    </w:p>
    <w:p>
      <w:pPr>
        <w:spacing w:before="99"/>
        <w:ind w:left="0" w:right="0" w:firstLine="0"/>
        <w:jc w:val="center"/>
        <w:rPr>
          <w:b/>
          <w:sz w:val="24"/>
        </w:rPr>
      </w:pPr>
      <w:r>
        <w:rPr>
          <w:b/>
          <w:color w:val="231F20"/>
          <w:sz w:val="24"/>
        </w:rPr>
        <w:t>SOUTHWEST AIRLINES CO.</w:t>
      </w:r>
    </w:p>
    <w:p>
      <w:pPr>
        <w:spacing w:before="3"/>
        <w:ind w:left="0" w:right="0" w:firstLine="0"/>
        <w:jc w:val="center"/>
        <w:rPr>
          <w:b/>
          <w:sz w:val="24"/>
        </w:rPr>
      </w:pPr>
      <w:r>
        <w:rPr>
          <w:b/>
          <w:color w:val="231F20"/>
          <w:sz w:val="24"/>
        </w:rPr>
        <w:t>2014 ANNUAL REPORT TO SHAREHOLDERS</w:t>
      </w:r>
    </w:p>
    <w:p>
      <w:pPr>
        <w:spacing w:before="243"/>
        <w:ind w:left="119" w:right="0" w:firstLine="0"/>
        <w:jc w:val="left"/>
        <w:rPr>
          <w:sz w:val="24"/>
        </w:rPr>
      </w:pPr>
      <w:r>
        <w:rPr>
          <w:color w:val="231F20"/>
          <w:sz w:val="24"/>
        </w:rPr>
        <w:t>To our Shareholders:</w:t>
      </w:r>
    </w:p>
    <w:p>
      <w:pPr>
        <w:pStyle w:val="BodyText"/>
        <w:spacing w:before="2"/>
        <w:rPr>
          <w:sz w:val="21"/>
        </w:rPr>
      </w:pPr>
    </w:p>
    <w:p>
      <w:pPr>
        <w:spacing w:line="242" w:lineRule="auto" w:before="0"/>
        <w:ind w:left="119" w:right="142" w:firstLine="720"/>
        <w:jc w:val="left"/>
        <w:rPr>
          <w:sz w:val="24"/>
        </w:rPr>
      </w:pPr>
      <w:r>
        <w:rPr>
          <w:color w:val="231F20"/>
          <w:sz w:val="24"/>
        </w:rPr>
        <w:t>The year 2014 was historic for Southwest Airlines, the culmination of years’ worth of hard work. It was our 42</w:t>
      </w:r>
      <w:r>
        <w:rPr>
          <w:color w:val="231F20"/>
          <w:position w:val="6"/>
          <w:sz w:val="15"/>
        </w:rPr>
        <w:t>nd </w:t>
      </w:r>
      <w:r>
        <w:rPr>
          <w:color w:val="231F20"/>
          <w:sz w:val="24"/>
        </w:rPr>
        <w:t>consecutive year of profitability, an unprecedented feat for the airline industry. Our 2014 net income of $1.1 billion easily surpassed the previous annual record in 2013. Excluding special items</w:t>
      </w:r>
      <w:r>
        <w:rPr>
          <w:color w:val="231F20"/>
          <w:position w:val="6"/>
          <w:sz w:val="15"/>
        </w:rPr>
        <w:t>1</w:t>
      </w:r>
      <w:r>
        <w:rPr>
          <w:color w:val="231F20"/>
          <w:sz w:val="24"/>
        </w:rPr>
        <w:t>, Southwest’s record earnings surged over 73 percent, compared with 2013. Along with it, Southwest’s common stock (LUV) surged 125 percent to a year-end record $42.32 per share, making it the number one performer of the S&amp;P 500, and besting the previous 2001 record closing price per share by almost double. It is not dramatic to say that Southwest was transformed in 2014 through the launch of international service; the repeal of the Wright Amendment; the acquisition of slots at Washington Reagan National and New York LaGuardia Airports; and the completion of the AirTran integration (which was acquired in 2011). Other strategic initiatives launched since 2010 also helped propel our earnings performance, including our Rapid Rewards</w:t>
      </w:r>
      <w:r>
        <w:rPr>
          <w:b/>
          <w:color w:val="231F20"/>
          <w:position w:val="6"/>
          <w:sz w:val="18"/>
        </w:rPr>
        <w:t>® </w:t>
      </w:r>
      <w:r>
        <w:rPr>
          <w:color w:val="231F20"/>
          <w:sz w:val="24"/>
        </w:rPr>
        <w:t>frequent flyer program, the addition of the Boeing 737-800 model, and our fleet modernization program. To commemorate the historic year, record results, and transformation, we unveiled a bold new look for our aircraft and branding. We believe the completion of the ambitious strategy to transform, along with the record results, positions Southwest exceptionally well for the</w:t>
      </w:r>
      <w:r>
        <w:rPr>
          <w:color w:val="231F20"/>
          <w:spacing w:val="2"/>
          <w:sz w:val="24"/>
        </w:rPr>
        <w:t> </w:t>
      </w:r>
      <w:r>
        <w:rPr>
          <w:color w:val="231F20"/>
          <w:sz w:val="24"/>
        </w:rPr>
        <w:t>future.</w:t>
      </w:r>
    </w:p>
    <w:p>
      <w:pPr>
        <w:pStyle w:val="BodyText"/>
        <w:spacing w:before="11"/>
        <w:rPr>
          <w:sz w:val="20"/>
        </w:rPr>
      </w:pPr>
    </w:p>
    <w:p>
      <w:pPr>
        <w:spacing w:line="242" w:lineRule="auto" w:before="0"/>
        <w:ind w:left="120" w:right="508" w:firstLine="720"/>
        <w:jc w:val="left"/>
        <w:rPr>
          <w:sz w:val="24"/>
        </w:rPr>
      </w:pPr>
      <w:r>
        <w:rPr>
          <w:color w:val="231F20"/>
          <w:sz w:val="24"/>
        </w:rPr>
        <w:t>Our record 2014 net income was $1.1 billion, or $1.64 per diluted share. Excluding special items, our record 2014 earnings were $1.4 billion, or $2.01 per diluted share.</w:t>
      </w:r>
    </w:p>
    <w:p>
      <w:pPr>
        <w:spacing w:line="242" w:lineRule="auto" w:before="1"/>
        <w:ind w:left="120" w:right="395" w:firstLine="0"/>
        <w:jc w:val="left"/>
        <w:rPr>
          <w:sz w:val="24"/>
        </w:rPr>
      </w:pPr>
      <w:r>
        <w:rPr>
          <w:color w:val="231F20"/>
          <w:sz w:val="24"/>
        </w:rPr>
        <w:t>Operating income increased 74.1 percent, compared with 2013, to a record $2.2 billion. Excluding special items, our operating income was $2.4 billion, an increase of 64.9 percent, compared with 2013. Our annual pre-tax return on invested capital, excluding special items (ROIC), was 21.2 percent, an increase of 8.1 points compared with 2013, and ahead of our minimum 15 percent target.</w:t>
      </w:r>
    </w:p>
    <w:p>
      <w:pPr>
        <w:pStyle w:val="BodyText"/>
        <w:spacing w:before="11"/>
        <w:rPr>
          <w:sz w:val="20"/>
        </w:rPr>
      </w:pPr>
    </w:p>
    <w:p>
      <w:pPr>
        <w:spacing w:line="242" w:lineRule="auto" w:before="0"/>
        <w:ind w:left="119" w:right="0" w:firstLine="720"/>
        <w:jc w:val="left"/>
        <w:rPr>
          <w:sz w:val="24"/>
        </w:rPr>
      </w:pPr>
      <w:r>
        <w:rPr>
          <w:color w:val="231F20"/>
          <w:sz w:val="24"/>
        </w:rPr>
        <w:t>Total</w:t>
      </w:r>
      <w:r>
        <w:rPr>
          <w:color w:val="231F20"/>
          <w:spacing w:val="-21"/>
          <w:sz w:val="24"/>
        </w:rPr>
        <w:t> </w:t>
      </w:r>
      <w:r>
        <w:rPr>
          <w:color w:val="231F20"/>
          <w:sz w:val="24"/>
        </w:rPr>
        <w:t>operating</w:t>
      </w:r>
      <w:r>
        <w:rPr>
          <w:color w:val="231F20"/>
          <w:spacing w:val="-21"/>
          <w:sz w:val="24"/>
        </w:rPr>
        <w:t> </w:t>
      </w:r>
      <w:r>
        <w:rPr>
          <w:color w:val="231F20"/>
          <w:sz w:val="24"/>
        </w:rPr>
        <w:t>revenues</w:t>
      </w:r>
      <w:r>
        <w:rPr>
          <w:color w:val="231F20"/>
          <w:spacing w:val="-21"/>
          <w:sz w:val="24"/>
        </w:rPr>
        <w:t> </w:t>
      </w:r>
      <w:r>
        <w:rPr>
          <w:color w:val="231F20"/>
          <w:sz w:val="24"/>
        </w:rPr>
        <w:t>were</w:t>
      </w:r>
      <w:r>
        <w:rPr>
          <w:color w:val="231F20"/>
          <w:spacing w:val="-21"/>
          <w:sz w:val="24"/>
        </w:rPr>
        <w:t> </w:t>
      </w:r>
      <w:r>
        <w:rPr>
          <w:color w:val="231F20"/>
          <w:sz w:val="24"/>
        </w:rPr>
        <w:t>a</w:t>
      </w:r>
      <w:r>
        <w:rPr>
          <w:color w:val="231F20"/>
          <w:spacing w:val="-21"/>
          <w:sz w:val="24"/>
        </w:rPr>
        <w:t> </w:t>
      </w:r>
      <w:r>
        <w:rPr>
          <w:color w:val="231F20"/>
          <w:sz w:val="24"/>
        </w:rPr>
        <w:t>record</w:t>
      </w:r>
      <w:r>
        <w:rPr>
          <w:color w:val="231F20"/>
          <w:spacing w:val="-21"/>
          <w:sz w:val="24"/>
        </w:rPr>
        <w:t> </w:t>
      </w:r>
      <w:r>
        <w:rPr>
          <w:color w:val="231F20"/>
          <w:sz w:val="24"/>
        </w:rPr>
        <w:t>$18.6</w:t>
      </w:r>
      <w:r>
        <w:rPr>
          <w:color w:val="231F20"/>
          <w:spacing w:val="-21"/>
          <w:sz w:val="24"/>
        </w:rPr>
        <w:t> </w:t>
      </w:r>
      <w:r>
        <w:rPr>
          <w:color w:val="231F20"/>
          <w:sz w:val="24"/>
        </w:rPr>
        <w:t>billion,</w:t>
      </w:r>
      <w:r>
        <w:rPr>
          <w:color w:val="231F20"/>
          <w:spacing w:val="-21"/>
          <w:sz w:val="24"/>
        </w:rPr>
        <w:t> </w:t>
      </w:r>
      <w:r>
        <w:rPr>
          <w:color w:val="231F20"/>
          <w:sz w:val="24"/>
        </w:rPr>
        <w:t>an</w:t>
      </w:r>
      <w:r>
        <w:rPr>
          <w:color w:val="231F20"/>
          <w:spacing w:val="-21"/>
          <w:sz w:val="24"/>
        </w:rPr>
        <w:t> </w:t>
      </w:r>
      <w:r>
        <w:rPr>
          <w:color w:val="231F20"/>
          <w:sz w:val="24"/>
        </w:rPr>
        <w:t>increase</w:t>
      </w:r>
      <w:r>
        <w:rPr>
          <w:color w:val="231F20"/>
          <w:spacing w:val="-21"/>
          <w:sz w:val="24"/>
        </w:rPr>
        <w:t> </w:t>
      </w:r>
      <w:r>
        <w:rPr>
          <w:color w:val="231F20"/>
          <w:sz w:val="24"/>
        </w:rPr>
        <w:t>of</w:t>
      </w:r>
      <w:r>
        <w:rPr>
          <w:color w:val="231F20"/>
          <w:spacing w:val="-21"/>
          <w:sz w:val="24"/>
        </w:rPr>
        <w:t> </w:t>
      </w:r>
      <w:r>
        <w:rPr>
          <w:color w:val="231F20"/>
          <w:sz w:val="24"/>
        </w:rPr>
        <w:t>5.1</w:t>
      </w:r>
      <w:r>
        <w:rPr>
          <w:color w:val="231F20"/>
          <w:spacing w:val="-21"/>
          <w:sz w:val="24"/>
        </w:rPr>
        <w:t> </w:t>
      </w:r>
      <w:r>
        <w:rPr>
          <w:color w:val="231F20"/>
          <w:sz w:val="24"/>
        </w:rPr>
        <w:t>percent</w:t>
      </w:r>
      <w:r>
        <w:rPr>
          <w:color w:val="231F20"/>
          <w:spacing w:val="-21"/>
          <w:sz w:val="24"/>
        </w:rPr>
        <w:t> </w:t>
      </w:r>
      <w:r>
        <w:rPr>
          <w:color w:val="231F20"/>
          <w:spacing w:val="-3"/>
          <w:sz w:val="24"/>
        </w:rPr>
        <w:t>compared </w:t>
      </w:r>
      <w:r>
        <w:rPr>
          <w:color w:val="231F20"/>
          <w:sz w:val="24"/>
        </w:rPr>
        <w:t>with 2013. The 2014 results were driven by a solid 2.0 percent increase in passenger revenue yield</w:t>
      </w:r>
      <w:r>
        <w:rPr>
          <w:color w:val="231F20"/>
          <w:spacing w:val="-17"/>
          <w:sz w:val="24"/>
        </w:rPr>
        <w:t> </w:t>
      </w:r>
      <w:r>
        <w:rPr>
          <w:color w:val="231F20"/>
          <w:sz w:val="24"/>
        </w:rPr>
        <w:t>and</w:t>
      </w:r>
      <w:r>
        <w:rPr>
          <w:color w:val="231F20"/>
          <w:spacing w:val="-17"/>
          <w:sz w:val="24"/>
        </w:rPr>
        <w:t> </w:t>
      </w:r>
      <w:r>
        <w:rPr>
          <w:color w:val="231F20"/>
          <w:sz w:val="24"/>
        </w:rPr>
        <w:t>a</w:t>
      </w:r>
      <w:r>
        <w:rPr>
          <w:color w:val="231F20"/>
          <w:spacing w:val="-18"/>
          <w:sz w:val="24"/>
        </w:rPr>
        <w:t> </w:t>
      </w:r>
      <w:r>
        <w:rPr>
          <w:color w:val="231F20"/>
          <w:sz w:val="24"/>
        </w:rPr>
        <w:t>2.4</w:t>
      </w:r>
      <w:r>
        <w:rPr>
          <w:color w:val="231F20"/>
          <w:spacing w:val="-17"/>
          <w:sz w:val="24"/>
        </w:rPr>
        <w:t> </w:t>
      </w:r>
      <w:r>
        <w:rPr>
          <w:color w:val="231F20"/>
          <w:sz w:val="24"/>
        </w:rPr>
        <w:t>point</w:t>
      </w:r>
      <w:r>
        <w:rPr>
          <w:color w:val="231F20"/>
          <w:spacing w:val="-17"/>
          <w:sz w:val="24"/>
        </w:rPr>
        <w:t> </w:t>
      </w:r>
      <w:r>
        <w:rPr>
          <w:color w:val="231F20"/>
          <w:sz w:val="24"/>
        </w:rPr>
        <w:t>increase</w:t>
      </w:r>
      <w:r>
        <w:rPr>
          <w:color w:val="231F20"/>
          <w:spacing w:val="-18"/>
          <w:sz w:val="24"/>
        </w:rPr>
        <w:t> </w:t>
      </w:r>
      <w:r>
        <w:rPr>
          <w:color w:val="231F20"/>
          <w:sz w:val="24"/>
        </w:rPr>
        <w:t>in</w:t>
      </w:r>
      <w:r>
        <w:rPr>
          <w:color w:val="231F20"/>
          <w:spacing w:val="-17"/>
          <w:sz w:val="24"/>
        </w:rPr>
        <w:t> </w:t>
      </w:r>
      <w:r>
        <w:rPr>
          <w:color w:val="231F20"/>
          <w:sz w:val="24"/>
        </w:rPr>
        <w:t>load</w:t>
      </w:r>
      <w:r>
        <w:rPr>
          <w:color w:val="231F20"/>
          <w:spacing w:val="-17"/>
          <w:sz w:val="24"/>
        </w:rPr>
        <w:t> </w:t>
      </w:r>
      <w:r>
        <w:rPr>
          <w:color w:val="231F20"/>
          <w:sz w:val="24"/>
        </w:rPr>
        <w:t>factor,</w:t>
      </w:r>
      <w:r>
        <w:rPr>
          <w:color w:val="231F20"/>
          <w:spacing w:val="-18"/>
          <w:sz w:val="24"/>
        </w:rPr>
        <w:t> </w:t>
      </w:r>
      <w:r>
        <w:rPr>
          <w:color w:val="231F20"/>
          <w:sz w:val="24"/>
        </w:rPr>
        <w:t>with</w:t>
      </w:r>
      <w:r>
        <w:rPr>
          <w:color w:val="231F20"/>
          <w:spacing w:val="-17"/>
          <w:sz w:val="24"/>
        </w:rPr>
        <w:t> </w:t>
      </w:r>
      <w:r>
        <w:rPr>
          <w:color w:val="231F20"/>
          <w:sz w:val="24"/>
        </w:rPr>
        <w:t>capacity</w:t>
      </w:r>
      <w:r>
        <w:rPr>
          <w:color w:val="231F20"/>
          <w:spacing w:val="-17"/>
          <w:sz w:val="24"/>
        </w:rPr>
        <w:t> </w:t>
      </w:r>
      <w:r>
        <w:rPr>
          <w:color w:val="231F20"/>
          <w:sz w:val="24"/>
        </w:rPr>
        <w:t>up</w:t>
      </w:r>
      <w:r>
        <w:rPr>
          <w:color w:val="231F20"/>
          <w:spacing w:val="-17"/>
          <w:sz w:val="24"/>
        </w:rPr>
        <w:t> </w:t>
      </w:r>
      <w:r>
        <w:rPr>
          <w:color w:val="231F20"/>
          <w:sz w:val="24"/>
        </w:rPr>
        <w:t>just</w:t>
      </w:r>
      <w:r>
        <w:rPr>
          <w:color w:val="231F20"/>
          <w:spacing w:val="-17"/>
          <w:sz w:val="24"/>
        </w:rPr>
        <w:t> </w:t>
      </w:r>
      <w:r>
        <w:rPr>
          <w:color w:val="231F20"/>
          <w:sz w:val="24"/>
        </w:rPr>
        <w:t>one-half</w:t>
      </w:r>
      <w:r>
        <w:rPr>
          <w:color w:val="231F20"/>
          <w:spacing w:val="-17"/>
          <w:sz w:val="24"/>
        </w:rPr>
        <w:t> </w:t>
      </w:r>
      <w:r>
        <w:rPr>
          <w:color w:val="231F20"/>
          <w:sz w:val="24"/>
        </w:rPr>
        <w:t>percent,</w:t>
      </w:r>
      <w:r>
        <w:rPr>
          <w:color w:val="231F20"/>
          <w:spacing w:val="-18"/>
          <w:sz w:val="24"/>
        </w:rPr>
        <w:t> </w:t>
      </w:r>
      <w:r>
        <w:rPr>
          <w:color w:val="231F20"/>
          <w:sz w:val="24"/>
        </w:rPr>
        <w:t>all</w:t>
      </w:r>
      <w:r>
        <w:rPr>
          <w:color w:val="231F20"/>
          <w:spacing w:val="-17"/>
          <w:sz w:val="24"/>
        </w:rPr>
        <w:t> </w:t>
      </w:r>
      <w:r>
        <w:rPr>
          <w:color w:val="231F20"/>
          <w:spacing w:val="-3"/>
          <w:sz w:val="24"/>
        </w:rPr>
        <w:t>compared </w:t>
      </w:r>
      <w:r>
        <w:rPr>
          <w:color w:val="231F20"/>
          <w:sz w:val="24"/>
        </w:rPr>
        <w:t>with 2013. Our operating revenues per available seat mile, passenger revenue yield, and load factor were all record performances. Southwest has worked hard to optimize the combined AirTran</w:t>
      </w:r>
      <w:r>
        <w:rPr>
          <w:color w:val="231F20"/>
          <w:spacing w:val="-23"/>
          <w:sz w:val="24"/>
        </w:rPr>
        <w:t> </w:t>
      </w:r>
      <w:r>
        <w:rPr>
          <w:color w:val="231F20"/>
          <w:sz w:val="24"/>
        </w:rPr>
        <w:t>and</w:t>
      </w:r>
      <w:r>
        <w:rPr>
          <w:color w:val="231F20"/>
          <w:spacing w:val="-23"/>
          <w:sz w:val="24"/>
        </w:rPr>
        <w:t> </w:t>
      </w:r>
      <w:r>
        <w:rPr>
          <w:color w:val="231F20"/>
          <w:sz w:val="24"/>
        </w:rPr>
        <w:t>Southwest</w:t>
      </w:r>
      <w:r>
        <w:rPr>
          <w:color w:val="231F20"/>
          <w:spacing w:val="-23"/>
          <w:sz w:val="24"/>
        </w:rPr>
        <w:t> </w:t>
      </w:r>
      <w:r>
        <w:rPr>
          <w:color w:val="231F20"/>
          <w:sz w:val="24"/>
        </w:rPr>
        <w:t>route</w:t>
      </w:r>
      <w:r>
        <w:rPr>
          <w:color w:val="231F20"/>
          <w:spacing w:val="-23"/>
          <w:sz w:val="24"/>
        </w:rPr>
        <w:t> </w:t>
      </w:r>
      <w:r>
        <w:rPr>
          <w:color w:val="231F20"/>
          <w:sz w:val="24"/>
        </w:rPr>
        <w:t>networks,</w:t>
      </w:r>
      <w:r>
        <w:rPr>
          <w:color w:val="231F20"/>
          <w:spacing w:val="-23"/>
          <w:sz w:val="24"/>
        </w:rPr>
        <w:t> </w:t>
      </w:r>
      <w:r>
        <w:rPr>
          <w:color w:val="231F20"/>
          <w:sz w:val="24"/>
        </w:rPr>
        <w:t>with</w:t>
      </w:r>
      <w:r>
        <w:rPr>
          <w:color w:val="231F20"/>
          <w:spacing w:val="-23"/>
          <w:sz w:val="24"/>
        </w:rPr>
        <w:t> </w:t>
      </w:r>
      <w:r>
        <w:rPr>
          <w:color w:val="231F20"/>
          <w:sz w:val="24"/>
        </w:rPr>
        <w:t>superb</w:t>
      </w:r>
      <w:r>
        <w:rPr>
          <w:color w:val="231F20"/>
          <w:spacing w:val="-23"/>
          <w:sz w:val="24"/>
        </w:rPr>
        <w:t> </w:t>
      </w:r>
      <w:r>
        <w:rPr>
          <w:color w:val="231F20"/>
          <w:sz w:val="24"/>
        </w:rPr>
        <w:t>results.</w:t>
      </w:r>
      <w:r>
        <w:rPr>
          <w:color w:val="231F20"/>
          <w:spacing w:val="-23"/>
          <w:sz w:val="24"/>
        </w:rPr>
        <w:t> </w:t>
      </w:r>
      <w:r>
        <w:rPr>
          <w:color w:val="231F20"/>
          <w:sz w:val="24"/>
        </w:rPr>
        <w:t>And,</w:t>
      </w:r>
      <w:r>
        <w:rPr>
          <w:color w:val="231F20"/>
          <w:spacing w:val="-23"/>
          <w:sz w:val="24"/>
        </w:rPr>
        <w:t> </w:t>
      </w:r>
      <w:r>
        <w:rPr>
          <w:color w:val="231F20"/>
          <w:sz w:val="24"/>
        </w:rPr>
        <w:t>the</w:t>
      </w:r>
      <w:r>
        <w:rPr>
          <w:color w:val="231F20"/>
          <w:spacing w:val="-23"/>
          <w:sz w:val="24"/>
        </w:rPr>
        <w:t> </w:t>
      </w:r>
      <w:r>
        <w:rPr>
          <w:color w:val="231F20"/>
          <w:sz w:val="24"/>
        </w:rPr>
        <w:t>revenue</w:t>
      </w:r>
      <w:r>
        <w:rPr>
          <w:color w:val="231F20"/>
          <w:spacing w:val="-23"/>
          <w:sz w:val="24"/>
        </w:rPr>
        <w:t> </w:t>
      </w:r>
      <w:r>
        <w:rPr>
          <w:color w:val="231F20"/>
          <w:sz w:val="24"/>
        </w:rPr>
        <w:t>generated</w:t>
      </w:r>
      <w:r>
        <w:rPr>
          <w:color w:val="231F20"/>
          <w:spacing w:val="-23"/>
          <w:sz w:val="24"/>
        </w:rPr>
        <w:t> </w:t>
      </w:r>
      <w:r>
        <w:rPr>
          <w:color w:val="231F20"/>
          <w:sz w:val="24"/>
        </w:rPr>
        <w:t>from</w:t>
      </w:r>
      <w:r>
        <w:rPr>
          <w:color w:val="231F20"/>
          <w:spacing w:val="-23"/>
          <w:sz w:val="24"/>
        </w:rPr>
        <w:t> </w:t>
      </w:r>
      <w:r>
        <w:rPr>
          <w:color w:val="231F20"/>
          <w:spacing w:val="-2"/>
          <w:sz w:val="24"/>
        </w:rPr>
        <w:t>our </w:t>
      </w:r>
      <w:r>
        <w:rPr>
          <w:color w:val="231F20"/>
          <w:sz w:val="24"/>
        </w:rPr>
        <w:t>strategic initiatives (AirTran acquisition, Rapid Rewards, Fleet Modernization, B737-800) </w:t>
      </w:r>
      <w:r>
        <w:rPr>
          <w:color w:val="231F20"/>
          <w:spacing w:val="-2"/>
          <w:sz w:val="24"/>
        </w:rPr>
        <w:t>has </w:t>
      </w:r>
      <w:r>
        <w:rPr>
          <w:color w:val="231F20"/>
          <w:sz w:val="24"/>
        </w:rPr>
        <w:t>exceeded our expectations. Finally, the strong revenue results were achieved despite </w:t>
      </w:r>
      <w:r>
        <w:rPr>
          <w:color w:val="231F20"/>
          <w:spacing w:val="-2"/>
          <w:sz w:val="24"/>
        </w:rPr>
        <w:t>the </w:t>
      </w:r>
      <w:r>
        <w:rPr>
          <w:color w:val="231F20"/>
          <w:sz w:val="24"/>
        </w:rPr>
        <w:t>significant</w:t>
      </w:r>
      <w:r>
        <w:rPr>
          <w:color w:val="231F20"/>
          <w:spacing w:val="-23"/>
          <w:sz w:val="24"/>
        </w:rPr>
        <w:t> </w:t>
      </w:r>
      <w:r>
        <w:rPr>
          <w:color w:val="231F20"/>
          <w:sz w:val="24"/>
        </w:rPr>
        <w:t>mix</w:t>
      </w:r>
      <w:r>
        <w:rPr>
          <w:color w:val="231F20"/>
          <w:spacing w:val="-23"/>
          <w:sz w:val="24"/>
        </w:rPr>
        <w:t> </w:t>
      </w:r>
      <w:r>
        <w:rPr>
          <w:color w:val="231F20"/>
          <w:sz w:val="24"/>
        </w:rPr>
        <w:t>of</w:t>
      </w:r>
      <w:r>
        <w:rPr>
          <w:color w:val="231F20"/>
          <w:spacing w:val="-23"/>
          <w:sz w:val="24"/>
        </w:rPr>
        <w:t> </w:t>
      </w:r>
      <w:r>
        <w:rPr>
          <w:color w:val="231F20"/>
          <w:sz w:val="24"/>
        </w:rPr>
        <w:t>developmental</w:t>
      </w:r>
      <w:r>
        <w:rPr>
          <w:color w:val="231F20"/>
          <w:spacing w:val="-23"/>
          <w:sz w:val="24"/>
        </w:rPr>
        <w:t> </w:t>
      </w:r>
      <w:r>
        <w:rPr>
          <w:color w:val="231F20"/>
          <w:sz w:val="24"/>
        </w:rPr>
        <w:t>routes</w:t>
      </w:r>
      <w:r>
        <w:rPr>
          <w:color w:val="231F20"/>
          <w:spacing w:val="-24"/>
          <w:sz w:val="24"/>
        </w:rPr>
        <w:t> </w:t>
      </w:r>
      <w:r>
        <w:rPr>
          <w:color w:val="231F20"/>
          <w:sz w:val="24"/>
        </w:rPr>
        <w:t>generated</w:t>
      </w:r>
      <w:r>
        <w:rPr>
          <w:color w:val="231F20"/>
          <w:spacing w:val="-23"/>
          <w:sz w:val="24"/>
        </w:rPr>
        <w:t> </w:t>
      </w:r>
      <w:r>
        <w:rPr>
          <w:color w:val="231F20"/>
          <w:sz w:val="24"/>
        </w:rPr>
        <w:t>from</w:t>
      </w:r>
      <w:r>
        <w:rPr>
          <w:color w:val="231F20"/>
          <w:spacing w:val="-23"/>
          <w:sz w:val="24"/>
        </w:rPr>
        <w:t> </w:t>
      </w:r>
      <w:r>
        <w:rPr>
          <w:color w:val="231F20"/>
          <w:sz w:val="24"/>
        </w:rPr>
        <w:t>the</w:t>
      </w:r>
      <w:r>
        <w:rPr>
          <w:color w:val="231F20"/>
          <w:spacing w:val="-24"/>
          <w:sz w:val="24"/>
        </w:rPr>
        <w:t> </w:t>
      </w:r>
      <w:r>
        <w:rPr>
          <w:color w:val="231F20"/>
          <w:sz w:val="24"/>
        </w:rPr>
        <w:t>AirTran</w:t>
      </w:r>
      <w:r>
        <w:rPr>
          <w:color w:val="231F20"/>
          <w:spacing w:val="-23"/>
          <w:sz w:val="24"/>
        </w:rPr>
        <w:t> </w:t>
      </w:r>
      <w:r>
        <w:rPr>
          <w:color w:val="231F20"/>
          <w:sz w:val="24"/>
        </w:rPr>
        <w:t>integration,</w:t>
      </w:r>
      <w:r>
        <w:rPr>
          <w:color w:val="231F20"/>
          <w:spacing w:val="-24"/>
          <w:sz w:val="24"/>
        </w:rPr>
        <w:t> </w:t>
      </w:r>
      <w:r>
        <w:rPr>
          <w:color w:val="231F20"/>
          <w:sz w:val="24"/>
        </w:rPr>
        <w:t>the</w:t>
      </w:r>
      <w:r>
        <w:rPr>
          <w:color w:val="231F20"/>
          <w:spacing w:val="-24"/>
          <w:sz w:val="24"/>
        </w:rPr>
        <w:t> </w:t>
      </w:r>
      <w:r>
        <w:rPr>
          <w:color w:val="231F20"/>
          <w:sz w:val="24"/>
        </w:rPr>
        <w:t>Dallas</w:t>
      </w:r>
      <w:r>
        <w:rPr>
          <w:color w:val="231F20"/>
          <w:spacing w:val="-24"/>
          <w:sz w:val="24"/>
        </w:rPr>
        <w:t> </w:t>
      </w:r>
      <w:r>
        <w:rPr>
          <w:color w:val="231F20"/>
          <w:sz w:val="24"/>
        </w:rPr>
        <w:t>Love Field</w:t>
      </w:r>
      <w:r>
        <w:rPr>
          <w:color w:val="231F20"/>
          <w:spacing w:val="-25"/>
          <w:sz w:val="24"/>
        </w:rPr>
        <w:t> </w:t>
      </w:r>
      <w:r>
        <w:rPr>
          <w:color w:val="231F20"/>
          <w:sz w:val="24"/>
        </w:rPr>
        <w:t>expansion,</w:t>
      </w:r>
      <w:r>
        <w:rPr>
          <w:color w:val="231F20"/>
          <w:spacing w:val="-25"/>
          <w:sz w:val="24"/>
        </w:rPr>
        <w:t> </w:t>
      </w:r>
      <w:r>
        <w:rPr>
          <w:color w:val="231F20"/>
          <w:sz w:val="24"/>
        </w:rPr>
        <w:t>and</w:t>
      </w:r>
      <w:r>
        <w:rPr>
          <w:color w:val="231F20"/>
          <w:spacing w:val="-25"/>
          <w:sz w:val="24"/>
        </w:rPr>
        <w:t> </w:t>
      </w:r>
      <w:r>
        <w:rPr>
          <w:color w:val="231F20"/>
          <w:sz w:val="24"/>
        </w:rPr>
        <w:t>the</w:t>
      </w:r>
      <w:r>
        <w:rPr>
          <w:color w:val="231F20"/>
          <w:spacing w:val="-25"/>
          <w:sz w:val="24"/>
        </w:rPr>
        <w:t> </w:t>
      </w:r>
      <w:r>
        <w:rPr>
          <w:color w:val="231F20"/>
          <w:sz w:val="24"/>
        </w:rPr>
        <w:t>slots</w:t>
      </w:r>
      <w:r>
        <w:rPr>
          <w:color w:val="231F20"/>
          <w:spacing w:val="-25"/>
          <w:sz w:val="24"/>
        </w:rPr>
        <w:t> </w:t>
      </w:r>
      <w:r>
        <w:rPr>
          <w:color w:val="231F20"/>
          <w:sz w:val="24"/>
        </w:rPr>
        <w:t>acquired</w:t>
      </w:r>
      <w:r>
        <w:rPr>
          <w:color w:val="231F20"/>
          <w:spacing w:val="-25"/>
          <w:sz w:val="24"/>
        </w:rPr>
        <w:t> </w:t>
      </w:r>
      <w:r>
        <w:rPr>
          <w:color w:val="231F20"/>
          <w:sz w:val="24"/>
        </w:rPr>
        <w:t>at</w:t>
      </w:r>
      <w:r>
        <w:rPr>
          <w:color w:val="231F20"/>
          <w:spacing w:val="-25"/>
          <w:sz w:val="24"/>
        </w:rPr>
        <w:t> </w:t>
      </w:r>
      <w:r>
        <w:rPr>
          <w:color w:val="231F20"/>
          <w:sz w:val="24"/>
        </w:rPr>
        <w:t>LaGuardia</w:t>
      </w:r>
      <w:r>
        <w:rPr>
          <w:color w:val="231F20"/>
          <w:spacing w:val="-25"/>
          <w:sz w:val="24"/>
        </w:rPr>
        <w:t> </w:t>
      </w:r>
      <w:r>
        <w:rPr>
          <w:color w:val="231F20"/>
          <w:sz w:val="24"/>
        </w:rPr>
        <w:t>and</w:t>
      </w:r>
      <w:r>
        <w:rPr>
          <w:color w:val="231F20"/>
          <w:spacing w:val="-25"/>
          <w:sz w:val="24"/>
        </w:rPr>
        <w:t> </w:t>
      </w:r>
      <w:r>
        <w:rPr>
          <w:color w:val="231F20"/>
          <w:sz w:val="24"/>
        </w:rPr>
        <w:t>Reagan</w:t>
      </w:r>
      <w:r>
        <w:rPr>
          <w:color w:val="231F20"/>
          <w:spacing w:val="-25"/>
          <w:sz w:val="24"/>
        </w:rPr>
        <w:t> </w:t>
      </w:r>
      <w:r>
        <w:rPr>
          <w:color w:val="231F20"/>
          <w:sz w:val="24"/>
        </w:rPr>
        <w:t>National.</w:t>
      </w:r>
    </w:p>
    <w:p>
      <w:pPr>
        <w:pStyle w:val="BodyText"/>
        <w:spacing w:before="3"/>
        <w:rPr>
          <w:sz w:val="25"/>
        </w:rPr>
      </w:pPr>
    </w:p>
    <w:p>
      <w:pPr>
        <w:spacing w:line="254" w:lineRule="auto" w:before="0"/>
        <w:ind w:left="119" w:right="117" w:firstLine="0"/>
        <w:jc w:val="left"/>
        <w:rPr>
          <w:sz w:val="18"/>
        </w:rPr>
      </w:pPr>
      <w:r>
        <w:rPr>
          <w:color w:val="231F20"/>
          <w:position w:val="4"/>
          <w:sz w:val="11"/>
        </w:rPr>
        <w:t>1 </w:t>
      </w:r>
      <w:r>
        <w:rPr>
          <w:color w:val="231F20"/>
          <w:sz w:val="18"/>
        </w:rPr>
        <w:t>Additional information regarding non-GAAP financial measures is included in the accompanying Form 10-K for the fiscal year ended December 31, 2014.</w:t>
      </w:r>
    </w:p>
    <w:p>
      <w:pPr>
        <w:spacing w:after="0" w:line="254" w:lineRule="auto"/>
        <w:jc w:val="left"/>
        <w:rPr>
          <w:sz w:val="18"/>
        </w:rPr>
        <w:sectPr>
          <w:type w:val="continuous"/>
          <w:pgSz w:w="11880" w:h="15480"/>
          <w:pgMar w:top="1260" w:bottom="280" w:left="1260" w:right="1260"/>
        </w:sectPr>
      </w:pPr>
    </w:p>
    <w:p>
      <w:pPr>
        <w:spacing w:line="242" w:lineRule="auto" w:before="96"/>
        <w:ind w:left="120" w:right="97" w:firstLine="720"/>
        <w:jc w:val="left"/>
        <w:rPr>
          <w:sz w:val="24"/>
        </w:rPr>
      </w:pPr>
      <w:r>
        <w:rPr>
          <w:color w:val="231F20"/>
          <w:sz w:val="24"/>
        </w:rPr>
        <w:t>While operating revenues grew 5.1 percent, total operating costs were virtually flat, primarily because of declines in jet fuel prices, along with decreases in aircraft maintenance and aircraft rentals. Even excluding the welcome drop in fuel prices, our cost performance was solid, especially considering a record $355 million contribution to the ProfitSharing Plan for 2014. The strategic efforts to control unit costs by modernizing and up-gauging the fleet are producing as planned.</w:t>
      </w:r>
    </w:p>
    <w:p>
      <w:pPr>
        <w:spacing w:line="242" w:lineRule="auto" w:before="230"/>
        <w:ind w:left="120" w:right="313" w:firstLine="720"/>
        <w:jc w:val="left"/>
        <w:rPr>
          <w:sz w:val="24"/>
        </w:rPr>
      </w:pPr>
      <w:r>
        <w:rPr>
          <w:color w:val="231F20"/>
          <w:sz w:val="24"/>
        </w:rPr>
        <w:t>In 2014, our financial position strengthened, and we were able to return significant value to our Shareholders. We have long led the industry in these two categories, consistent with our unmatched record of consecutive profitability. At December 31, 2014, our cash and short-term investments were a strong $3 billion, with a fully-available bank line-of-credit. In May 2014, our Board of Directors authorized a $1 billion share repurchase program and increased the quarterly dividend by 50 percent to $.06 per share.</w:t>
      </w:r>
    </w:p>
    <w:p>
      <w:pPr>
        <w:spacing w:line="242" w:lineRule="auto" w:before="230"/>
        <w:ind w:left="120" w:right="94" w:firstLine="720"/>
        <w:jc w:val="left"/>
        <w:rPr>
          <w:sz w:val="24"/>
        </w:rPr>
      </w:pPr>
      <w:r>
        <w:rPr>
          <w:color w:val="231F20"/>
          <w:sz w:val="24"/>
        </w:rPr>
        <w:t>These actions enabled Southwest to return virtually all of our strong free cash flow</w:t>
      </w:r>
      <w:r>
        <w:rPr>
          <w:color w:val="231F20"/>
          <w:position w:val="6"/>
          <w:sz w:val="15"/>
        </w:rPr>
        <w:t>2 </w:t>
      </w:r>
      <w:r>
        <w:rPr>
          <w:color w:val="231F20"/>
          <w:sz w:val="24"/>
        </w:rPr>
        <w:t>of approximately $1.1 billion to Shareholders through repurchases of $955 million of common stock (33 million shares) and payment of $139 million in dividends. In 2014, Southwest repaid</w:t>
      </w:r>
    </w:p>
    <w:p>
      <w:pPr>
        <w:spacing w:line="242" w:lineRule="auto" w:before="1"/>
        <w:ind w:left="120" w:right="268" w:firstLine="0"/>
        <w:jc w:val="left"/>
        <w:rPr>
          <w:sz w:val="24"/>
        </w:rPr>
      </w:pPr>
      <w:r>
        <w:rPr>
          <w:color w:val="231F20"/>
          <w:sz w:val="24"/>
        </w:rPr>
        <w:t>$261 million of long-term debt and capital lease obligations, net of the new issuance of long- term debt. The net effect on our debt-to-total-capital ratio (including aircraft leases) was a reduction to approximately 35 percent at year end 2014. Southwest has maintained an investment grade credit rating since 1986, earning upgrades in 2014. We remained the only investment grade-rated U.S. airline by all three credit rating agencies.</w:t>
      </w:r>
    </w:p>
    <w:p>
      <w:pPr>
        <w:spacing w:line="242" w:lineRule="auto" w:before="230"/>
        <w:ind w:left="120" w:right="155" w:firstLine="720"/>
        <w:jc w:val="left"/>
        <w:rPr>
          <w:sz w:val="24"/>
        </w:rPr>
      </w:pPr>
      <w:r>
        <w:rPr>
          <w:color w:val="231F20"/>
          <w:sz w:val="24"/>
        </w:rPr>
        <w:t>In the course of completing the AirTran integration, along with the implementation of international capabilities at Southwest, we converted seven AirTran destinations to Southwest service in 2014: Aruba, Montego Bay, the Bahamas, Cancun, Mexico City, Cabo San Lucas, and Punta Cana. On March 7, 2015, we successfully launched service to San Jose, Costa Rica. In 2015, we also plan to add service to Puerto Vallarta in June; and, subject to government approvals, Belize City in October. We are looking forward to the completion of a new five- gate international terminal at Houston’s Hobby Airport, scheduled to be completed in the second half of this year, allowing us to commence nonstop international service from Houston to four destinations in Mexico, to Belize City, Belize, and to San Jose, Costa Rica, each beginning October 2015 and subject to required governmental approvals. Our new near- international flights, along with Southwest’s new service at Love Field, Reagan National, and LaGuardia, will generate the vast majority of our expected available seat mile growth of approximately seven percent in 2015, compared with 2014. We project to end 2015 with approximately 700 aircraft in our fleet, all Boeing 737s. We will also restore the utilization of our fleet to more historic levels as a function of the completion of the AirTran aircraft conversion process and our fleet modernization efforts, which is a very cost-effective means of growing trips and seats.</w:t>
      </w:r>
    </w:p>
    <w:p>
      <w:pPr>
        <w:spacing w:line="242" w:lineRule="auto" w:before="230"/>
        <w:ind w:left="120" w:right="142" w:firstLine="720"/>
        <w:jc w:val="left"/>
        <w:rPr>
          <w:sz w:val="24"/>
        </w:rPr>
      </w:pPr>
      <w:r>
        <w:rPr>
          <w:color w:val="231F20"/>
          <w:sz w:val="24"/>
        </w:rPr>
        <w:t>While the U.S. economy continues to produce modest but steady growth, the big news has been the collapse in oil and jet fuel prices. It is welcome, but we remain wary of volatility.</w:t>
      </w:r>
    </w:p>
    <w:p>
      <w:pPr>
        <w:spacing w:line="254" w:lineRule="auto" w:before="196"/>
        <w:ind w:left="119" w:right="97" w:firstLine="0"/>
        <w:jc w:val="left"/>
        <w:rPr>
          <w:sz w:val="18"/>
        </w:rPr>
      </w:pPr>
      <w:r>
        <w:rPr>
          <w:color w:val="231F20"/>
          <w:position w:val="4"/>
          <w:sz w:val="11"/>
        </w:rPr>
        <w:t>2 </w:t>
      </w:r>
      <w:r>
        <w:rPr>
          <w:color w:val="231F20"/>
          <w:sz w:val="18"/>
        </w:rPr>
        <w:t>Free cash flow is calculated as operating cash flows of $2.90 billion less capital expenditures of $1.75 billion less assets constructed for others of $80 million plus reimbursements for assets constructed for others of $27 million.</w:t>
      </w:r>
    </w:p>
    <w:p>
      <w:pPr>
        <w:spacing w:after="0" w:line="254" w:lineRule="auto"/>
        <w:jc w:val="left"/>
        <w:rPr>
          <w:sz w:val="18"/>
        </w:rPr>
        <w:sectPr>
          <w:pgSz w:w="11880" w:h="15480"/>
          <w:pgMar w:top="1460" w:bottom="280" w:left="1260" w:right="1280"/>
        </w:sectPr>
      </w:pPr>
    </w:p>
    <w:p>
      <w:pPr>
        <w:spacing w:line="242" w:lineRule="auto" w:before="96"/>
        <w:ind w:left="120" w:right="101" w:firstLine="0"/>
        <w:jc w:val="left"/>
        <w:rPr>
          <w:sz w:val="24"/>
        </w:rPr>
      </w:pPr>
      <w:r>
        <w:rPr>
          <w:color w:val="231F20"/>
          <w:sz w:val="24"/>
        </w:rPr>
        <w:t>As of January 22, 2015, we had un-hedged this year’s fuel hedging positions, and substantially reduced future years’ positions. We will continue to carefully manage our fuel hedging portfolio to minimize the ever present risk of rising fuel prices.</w:t>
      </w:r>
    </w:p>
    <w:p>
      <w:pPr>
        <w:spacing w:line="242" w:lineRule="auto" w:before="224"/>
        <w:ind w:left="120" w:right="142" w:firstLine="720"/>
        <w:jc w:val="left"/>
        <w:rPr>
          <w:sz w:val="24"/>
        </w:rPr>
      </w:pPr>
      <w:r>
        <w:rPr>
          <w:color w:val="231F20"/>
          <w:sz w:val="24"/>
        </w:rPr>
        <w:t>As before the collapse in oil prices, we plan to prudently grow our B737 fleet after this year in pursuit of numerous attractive growth opportunities. We have close to 50 additional destinations to consider serving to and from the United States with the B737. In addition, we have attractive opportunities to grow domestically and leverage our position as America’s largest airline, in terms of originating Customers</w:t>
      </w:r>
      <w:r>
        <w:rPr>
          <w:color w:val="231F20"/>
          <w:position w:val="6"/>
          <w:sz w:val="15"/>
        </w:rPr>
        <w:t>3</w:t>
      </w:r>
      <w:r>
        <w:rPr>
          <w:color w:val="231F20"/>
          <w:sz w:val="24"/>
        </w:rPr>
        <w:t>.</w:t>
      </w:r>
    </w:p>
    <w:p>
      <w:pPr>
        <w:spacing w:line="242" w:lineRule="auto" w:before="224"/>
        <w:ind w:left="120" w:right="155" w:firstLine="720"/>
        <w:jc w:val="left"/>
        <w:rPr>
          <w:sz w:val="24"/>
        </w:rPr>
      </w:pPr>
      <w:r>
        <w:rPr>
          <w:color w:val="231F20"/>
          <w:sz w:val="24"/>
        </w:rPr>
        <w:t>Our goals for 2015 are straightforward: grow earnings, meet or beat 2014’s ROIC, and improve upon our already-exceptional service with enhanced Hospitality and Reliability.</w:t>
      </w:r>
    </w:p>
    <w:p>
      <w:pPr>
        <w:spacing w:line="242" w:lineRule="auto" w:before="1"/>
        <w:ind w:left="120" w:right="182" w:firstLine="0"/>
        <w:jc w:val="left"/>
        <w:rPr>
          <w:sz w:val="24"/>
        </w:rPr>
      </w:pPr>
      <w:r>
        <w:rPr>
          <w:color w:val="231F20"/>
          <w:sz w:val="24"/>
        </w:rPr>
        <w:t>While the strategic initiatives of the past four years are essentially complete (or being implemented), work remains, this year and beyond, to fine-tune the changes implemented and to complete the replacement of our reservation system. Beyond 2015, our objectives are to sustain the strong earnings momentum, grow the airline at a sensible rate, and continue to enhance our Customer Service and Experience.</w:t>
      </w:r>
    </w:p>
    <w:p>
      <w:pPr>
        <w:spacing w:line="242" w:lineRule="auto" w:before="224"/>
        <w:ind w:left="120" w:right="102" w:firstLine="720"/>
        <w:jc w:val="left"/>
        <w:rPr>
          <w:sz w:val="24"/>
        </w:rPr>
      </w:pPr>
      <w:r>
        <w:rPr>
          <w:color w:val="231F20"/>
          <w:sz w:val="24"/>
        </w:rPr>
        <w:t>I am enormously proud of our People. These are truly remarkable 2014 results, and they would not have been possible without the Warrior Spirits of our People. It has been a long, decade-plus period of challenges and change. They not only survived it without resorting to bankruptcy, they also delivered Shareholder returns and built a better airline. Now, through their hard work, they have positioned Southwest stronger than ever, and with future opportunities we believe are brighter than ever.</w:t>
      </w:r>
    </w:p>
    <w:p>
      <w:pPr>
        <w:spacing w:line="242" w:lineRule="auto" w:before="224"/>
        <w:ind w:left="119" w:right="249" w:firstLine="720"/>
        <w:jc w:val="left"/>
        <w:rPr>
          <w:sz w:val="24"/>
        </w:rPr>
      </w:pPr>
      <w:r>
        <w:rPr>
          <w:color w:val="231F20"/>
          <w:sz w:val="24"/>
        </w:rPr>
        <w:t>In 1971, Southwest set out to democratize the skies by offering low fares, but with great service. We did that. Our Purpose, then and now, is to connect Customers to what’s important in their lives with friendly, reliable, and low-cost air travel. Today, our Vision is to become the World’s Most Loved, Most Flown, and Most Profitable Airline. </w:t>
      </w:r>
      <w:r>
        <w:rPr>
          <w:i/>
          <w:color w:val="231F20"/>
          <w:sz w:val="24"/>
        </w:rPr>
        <w:t>Air Transport </w:t>
      </w:r>
      <w:r>
        <w:rPr>
          <w:i/>
          <w:color w:val="231F20"/>
          <w:sz w:val="24"/>
        </w:rPr>
        <w:t>World </w:t>
      </w:r>
      <w:r>
        <w:rPr>
          <w:color w:val="231F20"/>
          <w:sz w:val="24"/>
        </w:rPr>
        <w:t>bestowed the terrific honor on our People as “2015 Airline of the Year” for their 2014 performance. And, for the 21</w:t>
      </w:r>
      <w:r>
        <w:rPr>
          <w:color w:val="231F20"/>
          <w:position w:val="6"/>
          <w:sz w:val="15"/>
        </w:rPr>
        <w:t>st </w:t>
      </w:r>
      <w:r>
        <w:rPr>
          <w:color w:val="231F20"/>
          <w:sz w:val="24"/>
        </w:rPr>
        <w:t>consecutive year, Southwest was recently named to FORTUNE</w:t>
      </w:r>
      <w:r>
        <w:rPr>
          <w:i/>
          <w:color w:val="231F20"/>
          <w:sz w:val="24"/>
        </w:rPr>
        <w:t>’</w:t>
      </w:r>
      <w:r>
        <w:rPr>
          <w:color w:val="231F20"/>
          <w:sz w:val="24"/>
        </w:rPr>
        <w:t>s list of World’s Most Admired Companies – the only airline to rank in the Top Ten. As always, but even more so for 2014, I am extraordinarily proud of our People. Please join me in thanking them.</w:t>
      </w:r>
    </w:p>
    <w:p>
      <w:pPr>
        <w:pStyle w:val="BodyText"/>
        <w:spacing w:before="2"/>
        <w:rPr>
          <w:sz w:val="11"/>
        </w:rPr>
      </w:pPr>
      <w:r>
        <w:rPr/>
        <w:drawing>
          <wp:anchor distT="0" distB="0" distL="0" distR="0" allowOverlap="1" layoutInCell="1" locked="0" behindDoc="0" simplePos="0" relativeHeight="0">
            <wp:simplePos x="0" y="0"/>
            <wp:positionH relativeFrom="page">
              <wp:posOffset>2527300</wp:posOffset>
            </wp:positionH>
            <wp:positionV relativeFrom="paragraph">
              <wp:posOffset>106444</wp:posOffset>
            </wp:positionV>
            <wp:extent cx="2047853" cy="5334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47853" cy="533400"/>
                    </a:xfrm>
                    <a:prstGeom prst="rect">
                      <a:avLst/>
                    </a:prstGeom>
                  </pic:spPr>
                </pic:pic>
              </a:graphicData>
            </a:graphic>
          </wp:anchor>
        </w:drawing>
      </w:r>
    </w:p>
    <w:p>
      <w:pPr>
        <w:pStyle w:val="BodyText"/>
        <w:spacing w:before="7"/>
        <w:rPr>
          <w:sz w:val="20"/>
        </w:rPr>
      </w:pPr>
    </w:p>
    <w:p>
      <w:pPr>
        <w:spacing w:line="262" w:lineRule="exact" w:before="0"/>
        <w:ind w:left="2720" w:right="0" w:firstLine="0"/>
        <w:jc w:val="left"/>
        <w:rPr>
          <w:sz w:val="23"/>
        </w:rPr>
      </w:pPr>
      <w:r>
        <w:rPr>
          <w:color w:val="231F20"/>
          <w:sz w:val="23"/>
        </w:rPr>
        <w:t>Gary C. Kelly</w:t>
      </w:r>
    </w:p>
    <w:p>
      <w:pPr>
        <w:spacing w:line="260" w:lineRule="exact" w:before="4"/>
        <w:ind w:left="2720" w:right="3457" w:firstLine="0"/>
        <w:jc w:val="left"/>
        <w:rPr>
          <w:sz w:val="23"/>
        </w:rPr>
      </w:pPr>
      <w:r>
        <w:rPr>
          <w:color w:val="231F20"/>
          <w:sz w:val="23"/>
        </w:rPr>
        <w:t>Chairman of the Board, President, and Chief Executive Officer</w:t>
      </w:r>
    </w:p>
    <w:p>
      <w:pPr>
        <w:spacing w:before="216"/>
        <w:ind w:left="2720" w:right="0" w:firstLine="0"/>
        <w:jc w:val="left"/>
        <w:rPr>
          <w:sz w:val="23"/>
        </w:rPr>
      </w:pPr>
      <w:r>
        <w:rPr>
          <w:color w:val="231F20"/>
          <w:sz w:val="23"/>
        </w:rPr>
        <w:t>March 15, 2015</w:t>
      </w:r>
    </w:p>
    <w:p>
      <w:pPr>
        <w:spacing w:line="254" w:lineRule="auto" w:before="202"/>
        <w:ind w:left="119" w:right="97" w:firstLine="0"/>
        <w:jc w:val="left"/>
        <w:rPr>
          <w:sz w:val="18"/>
        </w:rPr>
      </w:pPr>
      <w:r>
        <w:rPr>
          <w:color w:val="231F20"/>
          <w:position w:val="4"/>
          <w:sz w:val="11"/>
        </w:rPr>
        <w:t>3 </w:t>
      </w:r>
      <w:r>
        <w:rPr>
          <w:color w:val="231F20"/>
          <w:sz w:val="18"/>
        </w:rPr>
        <w:t>As measured by the number of originating domestic passengers boarded and based on data available from the U.S. Department of Transportation (DOT), as of September 30, 2014.</w:t>
      </w:r>
    </w:p>
    <w:p>
      <w:pPr>
        <w:spacing w:after="0" w:line="254" w:lineRule="auto"/>
        <w:jc w:val="left"/>
        <w:rPr>
          <w:sz w:val="18"/>
        </w:rPr>
        <w:sectPr>
          <w:pgSz w:w="11880" w:h="15480"/>
          <w:pgMar w:top="1460" w:bottom="280" w:left="1260" w:right="1280"/>
        </w:sectPr>
      </w:pPr>
    </w:p>
    <w:p>
      <w:pPr>
        <w:pStyle w:val="BodyText"/>
        <w:spacing w:before="4"/>
        <w:rPr>
          <w:sz w:val="17"/>
        </w:rPr>
      </w:pPr>
    </w:p>
    <w:p>
      <w:pPr>
        <w:spacing w:after="0"/>
        <w:rPr>
          <w:sz w:val="17"/>
        </w:rPr>
        <w:sectPr>
          <w:pgSz w:w="11880" w:h="15480"/>
          <w:pgMar w:top="1460" w:bottom="280" w:left="1680" w:right="1680"/>
        </w:sectPr>
      </w:pPr>
    </w:p>
    <w:p>
      <w:pPr>
        <w:pStyle w:val="BodyText"/>
        <w:spacing w:line="70" w:lineRule="exact"/>
        <w:ind w:left="115"/>
        <w:rPr>
          <w:sz w:val="7"/>
        </w:rPr>
      </w:pPr>
      <w:r>
        <w:rPr>
          <w:position w:val="0"/>
          <w:sz w:val="7"/>
        </w:rPr>
        <w:pict>
          <v:group style="width:540.5pt;height:3.5pt;mso-position-horizontal-relative:char;mso-position-vertical-relative:line" coordorigin="0,0" coordsize="10810,70">
            <v:line style="position:absolute" from="5,5" to="10805,5" stroked="true" strokeweight=".5pt" strokecolor="#231f20">
              <v:stroke dashstyle="solid"/>
            </v:line>
            <v:line style="position:absolute" from="5,65" to="10805,65" stroked="true" strokeweight=".5pt" strokecolor="#231f20">
              <v:stroke dashstyle="solid"/>
            </v:line>
          </v:group>
        </w:pict>
      </w:r>
      <w:r>
        <w:rPr>
          <w:position w:val="0"/>
          <w:sz w:val="7"/>
        </w:rPr>
      </w:r>
    </w:p>
    <w:p>
      <w:pPr>
        <w:pStyle w:val="BodyText"/>
        <w:spacing w:before="1"/>
        <w:rPr>
          <w:sz w:val="6"/>
        </w:rPr>
      </w:pPr>
    </w:p>
    <w:p>
      <w:pPr>
        <w:spacing w:after="0"/>
        <w:rPr>
          <w:sz w:val="6"/>
        </w:rPr>
        <w:sectPr>
          <w:pgSz w:w="11880" w:h="15480"/>
          <w:pgMar w:top="540" w:bottom="280" w:left="420" w:right="420"/>
        </w:sectPr>
      </w:pPr>
    </w:p>
    <w:p>
      <w:pPr>
        <w:pStyle w:val="BodyText"/>
      </w:pPr>
    </w:p>
    <w:p>
      <w:pPr>
        <w:pStyle w:val="BodyText"/>
      </w:pPr>
    </w:p>
    <w:p>
      <w:pPr>
        <w:pStyle w:val="BodyText"/>
      </w:pPr>
    </w:p>
    <w:p>
      <w:pPr>
        <w:pStyle w:val="BodyText"/>
      </w:pPr>
    </w:p>
    <w:p>
      <w:pPr>
        <w:pStyle w:val="BodyText"/>
        <w:rPr>
          <w:sz w:val="29"/>
        </w:rPr>
      </w:pPr>
    </w:p>
    <w:p>
      <w:pPr>
        <w:spacing w:before="1"/>
        <w:ind w:left="120" w:right="0" w:firstLine="0"/>
        <w:jc w:val="left"/>
        <w:rPr>
          <w:b/>
          <w:sz w:val="20"/>
        </w:rPr>
      </w:pPr>
      <w:r>
        <w:rPr>
          <w:b/>
          <w:color w:val="231F20"/>
          <w:sz w:val="20"/>
        </w:rPr>
        <w:t>(Mark One)</w:t>
      </w:r>
    </w:p>
    <w:p>
      <w:pPr>
        <w:pStyle w:val="Heading1"/>
        <w:spacing w:before="64"/>
        <w:ind w:left="102" w:right="3130"/>
        <w:jc w:val="center"/>
      </w:pPr>
      <w:r>
        <w:rPr>
          <w:b w:val="0"/>
        </w:rPr>
        <w:br w:type="column"/>
      </w:r>
      <w:r>
        <w:rPr>
          <w:color w:val="231F20"/>
        </w:rPr>
        <w:t>UNITED STATES</w:t>
      </w:r>
    </w:p>
    <w:p>
      <w:pPr>
        <w:spacing w:before="6"/>
        <w:ind w:left="102" w:right="3130" w:firstLine="0"/>
        <w:jc w:val="center"/>
        <w:rPr>
          <w:b/>
          <w:sz w:val="22"/>
        </w:rPr>
      </w:pPr>
      <w:r>
        <w:rPr>
          <w:b/>
          <w:color w:val="231F20"/>
          <w:sz w:val="22"/>
        </w:rPr>
        <w:t>SECURITIES AND EXCHANGE COMMISSION</w:t>
      </w:r>
    </w:p>
    <w:p>
      <w:pPr>
        <w:spacing w:before="6"/>
        <w:ind w:left="101" w:right="3130" w:firstLine="0"/>
        <w:jc w:val="center"/>
        <w:rPr>
          <w:b/>
          <w:sz w:val="22"/>
        </w:rPr>
      </w:pPr>
      <w:r>
        <w:rPr>
          <w:b/>
          <w:color w:val="231F20"/>
          <w:sz w:val="22"/>
        </w:rPr>
        <w:t>Washington, D.C. 20549</w:t>
      </w:r>
    </w:p>
    <w:p>
      <w:pPr>
        <w:spacing w:before="156"/>
        <w:ind w:left="101" w:right="3130" w:firstLine="0"/>
        <w:jc w:val="center"/>
        <w:rPr>
          <w:b/>
          <w:sz w:val="24"/>
        </w:rPr>
      </w:pPr>
      <w:r>
        <w:rPr>
          <w:b/>
          <w:color w:val="231F20"/>
          <w:sz w:val="24"/>
        </w:rPr>
        <w:t>FORM 10-K</w:t>
      </w:r>
    </w:p>
    <w:p>
      <w:pPr>
        <w:spacing w:after="0"/>
        <w:jc w:val="center"/>
        <w:rPr>
          <w:sz w:val="24"/>
        </w:rPr>
        <w:sectPr>
          <w:type w:val="continuous"/>
          <w:pgSz w:w="11880" w:h="15480"/>
          <w:pgMar w:top="1260" w:bottom="280" w:left="420" w:right="420"/>
          <w:cols w:num="2" w:equalWidth="0">
            <w:col w:w="1149" w:space="1881"/>
            <w:col w:w="8010"/>
          </w:cols>
        </w:sectPr>
      </w:pPr>
    </w:p>
    <w:p>
      <w:pPr>
        <w:tabs>
          <w:tab w:pos="919" w:val="left" w:leader="none"/>
        </w:tabs>
        <w:spacing w:before="15"/>
        <w:ind w:left="120" w:right="0" w:firstLine="0"/>
        <w:jc w:val="left"/>
        <w:rPr>
          <w:b/>
          <w:sz w:val="20"/>
        </w:rPr>
      </w:pPr>
      <w:r>
        <w:rPr>
          <w:rFonts w:ascii="39251" w:hAnsi="39251"/>
          <w:color w:val="231F20"/>
          <w:sz w:val="20"/>
        </w:rPr>
        <w:t>Í</w:t>
        <w:tab/>
      </w:r>
      <w:r>
        <w:rPr>
          <w:b/>
          <w:color w:val="231F20"/>
          <w:sz w:val="20"/>
        </w:rPr>
        <w:t>ANNUAL REPORT PURSUANT TO SECTION 13 OR 15(d) OF THE SECURITIES EXCHANGE ACT OF</w:t>
      </w:r>
      <w:r>
        <w:rPr>
          <w:b/>
          <w:color w:val="231F20"/>
          <w:spacing w:val="-19"/>
          <w:sz w:val="20"/>
        </w:rPr>
        <w:t> </w:t>
      </w:r>
      <w:r>
        <w:rPr>
          <w:b/>
          <w:color w:val="231F20"/>
          <w:sz w:val="20"/>
        </w:rPr>
        <w:t>1934</w:t>
      </w:r>
    </w:p>
    <w:p>
      <w:pPr>
        <w:spacing w:line="278" w:lineRule="auto" w:before="36"/>
        <w:ind w:left="920" w:right="6501" w:firstLine="0"/>
        <w:jc w:val="left"/>
        <w:rPr>
          <w:sz w:val="20"/>
        </w:rPr>
      </w:pPr>
      <w:r>
        <w:rPr>
          <w:color w:val="231F20"/>
          <w:sz w:val="20"/>
        </w:rPr>
        <w:t>For the fiscal year ended December 31, 2014 or</w:t>
      </w:r>
    </w:p>
    <w:p>
      <w:pPr>
        <w:tabs>
          <w:tab w:pos="919" w:val="left" w:leader="none"/>
        </w:tabs>
        <w:spacing w:line="220" w:lineRule="exact" w:before="12"/>
        <w:ind w:left="920" w:right="118" w:hanging="800"/>
        <w:jc w:val="left"/>
        <w:rPr>
          <w:b/>
          <w:sz w:val="20"/>
        </w:rPr>
      </w:pPr>
      <w:r>
        <w:rPr>
          <w:rFonts w:ascii="39251" w:hAnsi="39251"/>
          <w:color w:val="231F20"/>
          <w:sz w:val="20"/>
        </w:rPr>
        <w:t>‘</w:t>
        <w:tab/>
      </w:r>
      <w:r>
        <w:rPr>
          <w:b/>
          <w:color w:val="231F20"/>
          <w:sz w:val="20"/>
        </w:rPr>
        <w:t>TRANSITION</w:t>
      </w:r>
      <w:r>
        <w:rPr>
          <w:b/>
          <w:color w:val="231F20"/>
          <w:spacing w:val="18"/>
          <w:sz w:val="20"/>
        </w:rPr>
        <w:t> </w:t>
      </w:r>
      <w:r>
        <w:rPr>
          <w:b/>
          <w:color w:val="231F20"/>
          <w:sz w:val="20"/>
        </w:rPr>
        <w:t>REPORT</w:t>
      </w:r>
      <w:r>
        <w:rPr>
          <w:b/>
          <w:color w:val="231F20"/>
          <w:spacing w:val="18"/>
          <w:sz w:val="20"/>
        </w:rPr>
        <w:t> </w:t>
      </w:r>
      <w:r>
        <w:rPr>
          <w:b/>
          <w:color w:val="231F20"/>
          <w:sz w:val="20"/>
        </w:rPr>
        <w:t>PURSUANT</w:t>
      </w:r>
      <w:r>
        <w:rPr>
          <w:b/>
          <w:color w:val="231F20"/>
          <w:spacing w:val="17"/>
          <w:sz w:val="20"/>
        </w:rPr>
        <w:t> </w:t>
      </w:r>
      <w:r>
        <w:rPr>
          <w:b/>
          <w:color w:val="231F20"/>
          <w:sz w:val="20"/>
        </w:rPr>
        <w:t>TO</w:t>
      </w:r>
      <w:r>
        <w:rPr>
          <w:b/>
          <w:color w:val="231F20"/>
          <w:spacing w:val="20"/>
          <w:sz w:val="20"/>
        </w:rPr>
        <w:t> </w:t>
      </w:r>
      <w:r>
        <w:rPr>
          <w:b/>
          <w:color w:val="231F20"/>
          <w:sz w:val="20"/>
        </w:rPr>
        <w:t>SECTION</w:t>
      </w:r>
      <w:r>
        <w:rPr>
          <w:b/>
          <w:color w:val="231F20"/>
          <w:spacing w:val="18"/>
          <w:sz w:val="20"/>
        </w:rPr>
        <w:t> </w:t>
      </w:r>
      <w:r>
        <w:rPr>
          <w:b/>
          <w:color w:val="231F20"/>
          <w:sz w:val="20"/>
        </w:rPr>
        <w:t>13</w:t>
      </w:r>
      <w:r>
        <w:rPr>
          <w:b/>
          <w:color w:val="231F20"/>
          <w:spacing w:val="20"/>
          <w:sz w:val="20"/>
        </w:rPr>
        <w:t> </w:t>
      </w:r>
      <w:r>
        <w:rPr>
          <w:b/>
          <w:color w:val="231F20"/>
          <w:sz w:val="20"/>
        </w:rPr>
        <w:t>OR</w:t>
      </w:r>
      <w:r>
        <w:rPr>
          <w:b/>
          <w:color w:val="231F20"/>
          <w:spacing w:val="20"/>
          <w:sz w:val="20"/>
        </w:rPr>
        <w:t> </w:t>
      </w:r>
      <w:r>
        <w:rPr>
          <w:b/>
          <w:color w:val="231F20"/>
          <w:sz w:val="20"/>
        </w:rPr>
        <w:t>15(d)</w:t>
      </w:r>
      <w:r>
        <w:rPr>
          <w:b/>
          <w:color w:val="231F20"/>
          <w:spacing w:val="20"/>
          <w:sz w:val="20"/>
        </w:rPr>
        <w:t> </w:t>
      </w:r>
      <w:r>
        <w:rPr>
          <w:b/>
          <w:color w:val="231F20"/>
          <w:sz w:val="20"/>
        </w:rPr>
        <w:t>OF</w:t>
      </w:r>
      <w:r>
        <w:rPr>
          <w:b/>
          <w:color w:val="231F20"/>
          <w:spacing w:val="20"/>
          <w:sz w:val="20"/>
        </w:rPr>
        <w:t> </w:t>
      </w:r>
      <w:r>
        <w:rPr>
          <w:b/>
          <w:color w:val="231F20"/>
          <w:sz w:val="20"/>
        </w:rPr>
        <w:t>THE</w:t>
      </w:r>
      <w:r>
        <w:rPr>
          <w:b/>
          <w:color w:val="231F20"/>
          <w:spacing w:val="19"/>
          <w:sz w:val="20"/>
        </w:rPr>
        <w:t> </w:t>
      </w:r>
      <w:r>
        <w:rPr>
          <w:b/>
          <w:color w:val="231F20"/>
          <w:sz w:val="20"/>
        </w:rPr>
        <w:t>SECURITIES</w:t>
      </w:r>
      <w:r>
        <w:rPr>
          <w:b/>
          <w:color w:val="231F20"/>
          <w:spacing w:val="17"/>
          <w:sz w:val="20"/>
        </w:rPr>
        <w:t> </w:t>
      </w:r>
      <w:r>
        <w:rPr>
          <w:b/>
          <w:color w:val="231F20"/>
          <w:sz w:val="20"/>
        </w:rPr>
        <w:t>EXCHANGE</w:t>
      </w:r>
      <w:r>
        <w:rPr>
          <w:b/>
          <w:color w:val="231F20"/>
          <w:spacing w:val="18"/>
          <w:sz w:val="20"/>
        </w:rPr>
        <w:t> </w:t>
      </w:r>
      <w:r>
        <w:rPr>
          <w:b/>
          <w:color w:val="231F20"/>
          <w:sz w:val="20"/>
        </w:rPr>
        <w:t>ACT</w:t>
      </w:r>
      <w:r>
        <w:rPr>
          <w:b/>
          <w:color w:val="231F20"/>
          <w:spacing w:val="17"/>
          <w:sz w:val="20"/>
        </w:rPr>
        <w:t> </w:t>
      </w:r>
      <w:r>
        <w:rPr>
          <w:b/>
          <w:color w:val="231F20"/>
          <w:sz w:val="20"/>
        </w:rPr>
        <w:t>OF</w:t>
      </w:r>
      <w:r>
        <w:rPr>
          <w:b/>
          <w:color w:val="231F20"/>
          <w:w w:val="100"/>
          <w:sz w:val="20"/>
        </w:rPr>
        <w:t> </w:t>
      </w:r>
      <w:r>
        <w:rPr>
          <w:b/>
          <w:color w:val="231F20"/>
          <w:sz w:val="20"/>
        </w:rPr>
        <w:t>1934</w:t>
      </w:r>
    </w:p>
    <w:p>
      <w:pPr>
        <w:tabs>
          <w:tab w:pos="3952" w:val="left" w:leader="none"/>
          <w:tab w:pos="4808" w:val="left" w:leader="none"/>
        </w:tabs>
        <w:spacing w:before="36"/>
        <w:ind w:left="920" w:right="0" w:firstLine="0"/>
        <w:jc w:val="left"/>
        <w:rPr>
          <w:sz w:val="20"/>
        </w:rPr>
      </w:pPr>
      <w:r>
        <w:rPr>
          <w:color w:val="231F20"/>
          <w:sz w:val="20"/>
        </w:rPr>
        <w:t>For the transition</w:t>
      </w:r>
      <w:r>
        <w:rPr>
          <w:color w:val="231F20"/>
          <w:spacing w:val="2"/>
          <w:sz w:val="20"/>
        </w:rPr>
        <w:t> </w:t>
      </w:r>
      <w:r>
        <w:rPr>
          <w:color w:val="231F20"/>
          <w:sz w:val="20"/>
        </w:rPr>
        <w:t>period</w:t>
      </w:r>
      <w:r>
        <w:rPr>
          <w:color w:val="231F20"/>
          <w:spacing w:val="1"/>
          <w:sz w:val="20"/>
        </w:rPr>
        <w:t> </w:t>
      </w:r>
      <w:r>
        <w:rPr>
          <w:color w:val="231F20"/>
          <w:sz w:val="20"/>
        </w:rPr>
        <w:t>from</w:t>
      </w:r>
      <w:r>
        <w:rPr>
          <w:color w:val="231F20"/>
          <w:sz w:val="20"/>
          <w:u w:val="single" w:color="231F20"/>
        </w:rPr>
        <w:tab/>
      </w:r>
      <w:r>
        <w:rPr>
          <w:color w:val="231F20"/>
          <w:sz w:val="20"/>
        </w:rPr>
        <w:t>to </w:t>
      </w:r>
      <w:r>
        <w:rPr>
          <w:color w:val="231F20"/>
          <w:sz w:val="20"/>
          <w:u w:val="single" w:color="231F20"/>
        </w:rPr>
        <w:t> </w:t>
        <w:tab/>
      </w:r>
    </w:p>
    <w:p>
      <w:pPr>
        <w:spacing w:before="36"/>
        <w:ind w:left="0" w:right="0" w:firstLine="0"/>
        <w:jc w:val="center"/>
        <w:rPr>
          <w:sz w:val="20"/>
        </w:rPr>
      </w:pPr>
      <w:r>
        <w:rPr/>
        <w:pict>
          <v:group style="position:absolute;margin-left:126pt;margin-top:20.036938pt;width:316.850pt;height:51.55pt;mso-position-horizontal-relative:page;mso-position-vertical-relative:paragraph;z-index:1072;mso-wrap-distance-left:0;mso-wrap-distance-right:0" coordorigin="2520,401" coordsize="6337,1031">
            <v:shape style="position:absolute;left:2520;top:401;width:6226;height:1031" coordorigin="2520,401" coordsize="6226,1031" path="m5022,534l4818,534,4818,717,4721,717,4721,892,4818,892,4818,1175,4821,1236,4835,1295,4861,1348,4904,1391,4967,1420,5054,1430,5098,1428,5139,1422,5179,1414,5219,1403,5192,1251,5104,1251,5060,1245,5036,1227,5024,1199,5022,1162,5022,892,5208,892,5208,717,5022,717,5022,534xm5189,1237l5168,1243,5147,1247,5126,1250,5104,1251,5192,1251,5189,1237xm5208,892l5022,892,5208,892,5208,892xm8549,534l8345,534,8345,717,8248,717,8248,892,8345,892,8344,1175,8348,1236,8361,1295,8388,1348,8431,1391,8494,1420,8580,1430,8624,1428,8665,1422,8705,1414,8745,1403,8719,1251,8631,1251,8587,1245,8562,1227,8551,1199,8548,1162,8549,892,8735,892,8735,717,8549,717,8549,534xm8716,1237l8695,1243,8674,1247,8652,1250,8631,1251,8719,1251,8716,1237xm8735,892l8549,892,8735,892,8735,892xm7342,697l7266,703,7197,723,7136,755,7084,799,7042,853,7010,918,6991,992,6984,1075,6990,1152,7008,1222,7037,1282,7078,1334,7129,1375,7191,1406,7263,1424,7345,1431,7419,1426,7488,1413,7554,1394,7619,1368,7598,1255,7378,1255,7301,1246,7248,1220,7216,1181,7202,1131,7650,1131,7654,1085,7656,1059,7656,1046,7657,1035,7652,979,7448,979,7205,979,7218,935,7242,897,7280,871,7333,862,7619,862,7599,823,7554,771,7496,731,7425,706,7342,697xm6122,717l5910,717,6129,1416,6312,1416,6419,1112,6236,1112,6122,717xm6643,1020l6452,1020,6584,1416,6768,1416,6874,1117,6674,1117,6643,1020xm7589,1203l7539,1224,7488,1240,7435,1251,7378,1255,7598,1255,7589,1203xm7650,1131l7202,1131,7650,1131,7650,1131xm7016,717l6799,717,6674,1117,6874,1117,7016,717xm6545,717l6375,717,6236,1112,6419,1112,6452,1020,6643,1020,6545,717xm7619,862l7333,862,7387,873,7422,902,7441,940,7448,979,7652,979,7650,957,7631,886,7619,862xm7729,1223l7698,1394,7761,1410,7824,1422,7888,1429,7954,1432,8044,1424,8117,1401,8172,1365,8211,1319,8234,1264,8234,1262,7937,1262,7884,1259,7832,1252,7781,1240,7729,1223xm7988,697l7901,705,7828,727,7772,762,7730,808,7705,863,7697,926,7705,990,7731,1042,7775,1085,7837,1119,7857,1127,7880,1136,7904,1144,7930,1153,7978,1167,8012,1180,8033,1195,8040,1216,8032,1236,8010,1251,7978,1259,7937,1262,8234,1262,8242,1202,8234,1140,8209,1086,8162,1041,8091,1007,8069,999,8046,992,8022,984,7951,964,7921,951,7904,936,7899,918,7904,897,7920,881,7948,870,7988,867,8186,867,8211,727,8157,716,8103,706,8047,700,7988,697xm8186,867l7988,867,8036,869,8084,876,8131,886,8180,899,8186,867xm5470,401l5265,401,5265,1416,5469,1416,5470,915,5498,905,5528,896,5561,890,5596,887,5893,887,5893,885,5872,817,5837,765,5789,730,5470,730,5470,401xm5893,887l5596,887,5644,893,5675,911,5691,943,5696,990,5695,1416,5900,1416,5900,968,5893,887xm5642,699l5594,702,5548,709,5506,718,5470,730,5789,730,5788,728,5723,706,5642,699xm4237,717l4033,717,4033,1158,4039,1232,4058,1294,4091,1344,4136,1382,4195,1408,4267,1424,4352,1429,4429,1426,4506,1418,4584,1403,4667,1384,4667,1243,4362,1243,4298,1236,4260,1216,4241,1183,4237,1138,4237,717xm4667,717l4463,717,4463,1232,4440,1237,4416,1240,4390,1242,4362,1243,4667,1243,4667,717xm2562,1168l2520,1365,2594,1392,2670,1412,2750,1425,2835,1430,2933,1422,3016,1400,3084,1365,3137,1318,3176,1263,3186,1235,2833,1235,2763,1230,2696,1217,2629,1196,2562,1168xm2897,448l2801,456,2718,477,2649,511,2595,556,2556,611,2532,672,2524,740,2534,824,2566,894,2620,949,2697,992,2724,1002,2753,1013,2784,1023,2816,1033,2898,1060,2949,1084,2977,1109,2985,1142,2975,1182,2947,1211,2900,1229,2833,1235,3186,1235,3199,1200,3207,1132,3198,1058,3173,997,3133,947,3081,907,3018,877,2990,867,2960,857,2928,847,2896,838,2823,815,2776,793,2751,768,2743,735,2752,696,2779,669,2825,652,2893,647,3143,647,3174,503,3108,480,3041,463,2971,452,2897,448xm3143,647l2893,647,2955,651,3016,662,3074,678,3132,699,3143,647xm3615,696l3542,702,3473,721,3411,752,3357,795,3313,847,3279,910,3258,981,3251,1061,3258,1142,3279,1214,3312,1276,3357,1330,3411,1372,3473,1404,3541,1423,3615,1430,3689,1424,3757,1404,3819,1373,3873,1330,3917,1277,3939,1237,3615,1237,3554,1225,3504,1192,3471,1137,3459,1062,3459,1061,3471,987,3504,933,3553,900,3615,889,3940,889,3918,848,3873,795,3819,753,3758,722,3689,702,3615,696xm3940,889l3615,889,3677,900,3726,933,3758,987,3770,1061,3770,1062,3758,1137,3725,1192,3676,1226,3615,1237,3939,1237,3951,1214,3972,1142,3980,1062,3972,982,3951,910,3940,889xe" filled="true" fillcolor="#231f20" stroked="false">
              <v:path arrowok="t"/>
              <v:fill type="solid"/>
            </v:shape>
            <v:shape style="position:absolute;left:8680;top:442;width:176;height:177" type="#_x0000_t75" stroked="false">
              <v:imagedata r:id="rId7" o:title=""/>
            </v:shape>
            <w10:wrap type="topAndBottom"/>
          </v:group>
        </w:pict>
      </w:r>
      <w:r>
        <w:rPr>
          <w:color w:val="231F20"/>
          <w:sz w:val="20"/>
        </w:rPr>
        <w:t>Commission File No. 1-7259</w:t>
      </w:r>
    </w:p>
    <w:p>
      <w:pPr>
        <w:pStyle w:val="BodyText"/>
        <w:spacing w:before="4"/>
        <w:rPr>
          <w:sz w:val="8"/>
        </w:rPr>
      </w:pPr>
    </w:p>
    <w:p>
      <w:pPr>
        <w:spacing w:line="266" w:lineRule="exact" w:before="100"/>
        <w:ind w:left="0" w:right="0" w:firstLine="0"/>
        <w:jc w:val="center"/>
        <w:rPr>
          <w:b/>
          <w:sz w:val="24"/>
        </w:rPr>
      </w:pPr>
      <w:r>
        <w:rPr/>
        <w:pict>
          <v:group style="position:absolute;margin-left:442.373993pt;margin-top:-30.879869pt;width:25.65pt;height:24.6pt;mso-position-horizontal-relative:page;mso-position-vertical-relative:paragraph;z-index:-408664" coordorigin="8847,-618" coordsize="513,492">
            <v:shape style="position:absolute;left:8847;top:-618;width:513;height:491" type="#_x0000_t75" stroked="false">
              <v:imagedata r:id="rId8" o:title=""/>
            </v:shape>
            <v:shape style="position:absolute;left:8862;top:-492;width:338;height:349" type="#_x0000_t75" stroked="false">
              <v:imagedata r:id="rId9" o:title=""/>
            </v:shape>
            <v:shape style="position:absolute;left:8867;top:-603;width:468;height:363" type="#_x0000_t75" stroked="false">
              <v:imagedata r:id="rId10" o:title=""/>
            </v:shape>
            <v:shape style="position:absolute;left:9118;top:-603;width:227;height:170" type="#_x0000_t75" stroked="false">
              <v:imagedata r:id="rId11" o:title=""/>
            </v:shape>
            <v:shape style="position:absolute;left:8847;top:-618;width:513;height:491" type="#_x0000_t75" stroked="false">
              <v:imagedata r:id="rId12" o:title=""/>
            </v:shape>
            <v:shape style="position:absolute;left:8862;top:-492;width:338;height:349" type="#_x0000_t75" stroked="false">
              <v:imagedata r:id="rId13" o:title=""/>
            </v:shape>
            <v:shape style="position:absolute;left:8867;top:-603;width:468;height:363" type="#_x0000_t75" stroked="false">
              <v:imagedata r:id="rId14" o:title=""/>
            </v:shape>
            <v:shape style="position:absolute;left:9118;top:-603;width:227;height:170" type="#_x0000_t75" stroked="false">
              <v:imagedata r:id="rId15" o:title=""/>
            </v:shape>
            <w10:wrap type="none"/>
          </v:group>
        </w:pict>
      </w:r>
      <w:r>
        <w:rPr>
          <w:b/>
          <w:color w:val="231F20"/>
          <w:sz w:val="24"/>
        </w:rPr>
        <w:t>Southwest Airlines Co.</w:t>
      </w:r>
    </w:p>
    <w:p>
      <w:pPr>
        <w:spacing w:line="197" w:lineRule="exact" w:before="0"/>
        <w:ind w:left="0" w:right="0" w:firstLine="0"/>
        <w:jc w:val="center"/>
        <w:rPr>
          <w:sz w:val="18"/>
        </w:rPr>
      </w:pPr>
      <w:r>
        <w:rPr>
          <w:color w:val="231F20"/>
          <w:sz w:val="18"/>
        </w:rPr>
        <w:t>(Exact name of registrant as specified in its charter)</w:t>
      </w:r>
    </w:p>
    <w:p>
      <w:pPr>
        <w:tabs>
          <w:tab w:pos="5399" w:val="left" w:leader="none"/>
        </w:tabs>
        <w:spacing w:before="107"/>
        <w:ind w:left="94" w:right="0" w:firstLine="0"/>
        <w:jc w:val="center"/>
        <w:rPr>
          <w:sz w:val="18"/>
        </w:rPr>
      </w:pPr>
      <w:r>
        <w:rPr>
          <w:color w:val="231F20"/>
          <w:sz w:val="18"/>
        </w:rPr>
        <w:t>TEXAS</w:t>
        <w:tab/>
        <w:t>74-1563240</w:t>
      </w:r>
    </w:p>
    <w:p>
      <w:pPr>
        <w:tabs>
          <w:tab w:pos="7671" w:val="left" w:leader="none"/>
        </w:tabs>
        <w:spacing w:before="13"/>
        <w:ind w:left="1724" w:right="0" w:firstLine="0"/>
        <w:jc w:val="left"/>
        <w:rPr>
          <w:sz w:val="18"/>
        </w:rPr>
      </w:pPr>
      <w:r>
        <w:rPr>
          <w:color w:val="231F20"/>
          <w:sz w:val="18"/>
        </w:rPr>
        <w:t>(State or other jurisdiction</w:t>
      </w:r>
      <w:r>
        <w:rPr>
          <w:color w:val="231F20"/>
          <w:spacing w:val="-1"/>
          <w:sz w:val="18"/>
        </w:rPr>
        <w:t> </w:t>
      </w:r>
      <w:r>
        <w:rPr>
          <w:color w:val="231F20"/>
          <w:sz w:val="18"/>
        </w:rPr>
        <w:t>of</w:t>
        <w:tab/>
        <w:t>(IRS Employer</w:t>
      </w:r>
    </w:p>
    <w:p>
      <w:pPr>
        <w:tabs>
          <w:tab w:pos="7549" w:val="left" w:leader="none"/>
        </w:tabs>
        <w:spacing w:before="13"/>
        <w:ind w:left="1685" w:right="0" w:firstLine="0"/>
        <w:jc w:val="left"/>
        <w:rPr>
          <w:sz w:val="18"/>
        </w:rPr>
      </w:pPr>
      <w:r>
        <w:rPr>
          <w:color w:val="231F20"/>
          <w:sz w:val="18"/>
        </w:rPr>
        <w:t>incorporation or organization)</w:t>
        <w:tab/>
        <w:t>Identification No.)</w:t>
      </w:r>
    </w:p>
    <w:p>
      <w:pPr>
        <w:spacing w:before="13"/>
        <w:ind w:left="2190" w:right="0" w:firstLine="0"/>
        <w:jc w:val="left"/>
        <w:rPr>
          <w:sz w:val="18"/>
        </w:rPr>
      </w:pPr>
      <w:r>
        <w:rPr>
          <w:color w:val="231F20"/>
          <w:sz w:val="18"/>
        </w:rPr>
        <w:t>P.O. Box 36611</w:t>
      </w:r>
    </w:p>
    <w:p>
      <w:pPr>
        <w:tabs>
          <w:tab w:pos="5504" w:val="left" w:leader="none"/>
        </w:tabs>
        <w:spacing w:before="13"/>
        <w:ind w:left="0" w:right="103" w:firstLine="0"/>
        <w:jc w:val="center"/>
        <w:rPr>
          <w:sz w:val="18"/>
        </w:rPr>
      </w:pPr>
      <w:r>
        <w:rPr>
          <w:color w:val="231F20"/>
          <w:sz w:val="18"/>
        </w:rPr>
        <w:t>Dallas, Texas</w:t>
        <w:tab/>
        <w:t>75235-1611</w:t>
      </w:r>
    </w:p>
    <w:p>
      <w:pPr>
        <w:tabs>
          <w:tab w:pos="7821" w:val="left" w:leader="none"/>
        </w:tabs>
        <w:spacing w:line="340" w:lineRule="auto" w:before="13"/>
        <w:ind w:left="3055" w:right="2421" w:hanging="1715"/>
        <w:jc w:val="left"/>
        <w:rPr>
          <w:b/>
          <w:sz w:val="18"/>
        </w:rPr>
      </w:pPr>
      <w:r>
        <w:rPr/>
        <w:pict>
          <v:line style="position:absolute;mso-position-horizontal-relative:page;mso-position-vertical-relative:paragraph;z-index:1096;mso-wrap-distance-left:0;mso-wrap-distance-right:0" from="249pt,33.953743pt" to="345pt,33.953743pt" stroked="true" strokeweight="1pt" strokecolor="#231f20">
            <v:stroke dashstyle="solid"/>
            <w10:wrap type="topAndBottom"/>
          </v:line>
        </w:pict>
      </w:r>
      <w:r>
        <w:rPr>
          <w:color w:val="231F20"/>
          <w:sz w:val="18"/>
        </w:rPr>
        <w:t>(Address of principal executive offices)</w:t>
        <w:tab/>
        <w:t>(Zip Code) Registrant’s telephone number, including area code: </w:t>
      </w:r>
      <w:r>
        <w:rPr>
          <w:b/>
          <w:color w:val="231F20"/>
          <w:sz w:val="18"/>
        </w:rPr>
        <w:t>(214)</w:t>
      </w:r>
      <w:r>
        <w:rPr>
          <w:b/>
          <w:color w:val="231F20"/>
          <w:spacing w:val="-1"/>
          <w:sz w:val="18"/>
        </w:rPr>
        <w:t> </w:t>
      </w:r>
      <w:r>
        <w:rPr>
          <w:b/>
          <w:color w:val="231F20"/>
          <w:sz w:val="18"/>
        </w:rPr>
        <w:t>792-4000</w:t>
      </w:r>
    </w:p>
    <w:p>
      <w:pPr>
        <w:spacing w:before="97"/>
        <w:ind w:left="0" w:right="0" w:firstLine="0"/>
        <w:jc w:val="center"/>
        <w:rPr>
          <w:b/>
          <w:sz w:val="18"/>
        </w:rPr>
      </w:pPr>
      <w:r>
        <w:rPr>
          <w:b/>
          <w:color w:val="231F20"/>
          <w:sz w:val="18"/>
        </w:rPr>
        <w:t>Securities registered pursuant to Section 12(b) of the Act:</w:t>
      </w:r>
    </w:p>
    <w:p>
      <w:pPr>
        <w:tabs>
          <w:tab w:pos="6554" w:val="left" w:leader="none"/>
        </w:tabs>
        <w:spacing w:before="67" w:after="21"/>
        <w:ind w:left="1907" w:right="0" w:firstLine="0"/>
        <w:jc w:val="left"/>
        <w:rPr>
          <w:b/>
          <w:sz w:val="18"/>
        </w:rPr>
      </w:pPr>
      <w:r>
        <w:rPr>
          <w:b/>
          <w:color w:val="231F20"/>
          <w:sz w:val="18"/>
        </w:rPr>
        <w:t>Title of Each</w:t>
      </w:r>
      <w:r>
        <w:rPr>
          <w:b/>
          <w:color w:val="231F20"/>
          <w:spacing w:val="-1"/>
          <w:sz w:val="18"/>
        </w:rPr>
        <w:t> </w:t>
      </w:r>
      <w:r>
        <w:rPr>
          <w:b/>
          <w:color w:val="231F20"/>
          <w:sz w:val="18"/>
        </w:rPr>
        <w:t>Class</w:t>
        <w:tab/>
        <w:t>Name of Each Exchange on Which</w:t>
      </w:r>
      <w:r>
        <w:rPr>
          <w:b/>
          <w:color w:val="231F20"/>
          <w:spacing w:val="-4"/>
          <w:sz w:val="18"/>
        </w:rPr>
        <w:t> </w:t>
      </w:r>
      <w:r>
        <w:rPr>
          <w:b/>
          <w:color w:val="231F20"/>
          <w:sz w:val="18"/>
        </w:rPr>
        <w:t>Registered</w:t>
      </w:r>
    </w:p>
    <w:p>
      <w:pPr>
        <w:tabs>
          <w:tab w:pos="5710" w:val="left" w:leader="none"/>
        </w:tabs>
        <w:spacing w:line="20" w:lineRule="exact"/>
        <w:ind w:left="110" w:right="0" w:firstLine="0"/>
        <w:rPr>
          <w:sz w:val="2"/>
        </w:rPr>
      </w:pPr>
      <w:r>
        <w:rPr>
          <w:sz w:val="2"/>
        </w:rPr>
        <w:pict>
          <v:group style="width:261pt;height:1pt;mso-position-horizontal-relative:char;mso-position-vertical-relative:line" coordorigin="0,0" coordsize="5220,20">
            <v:line style="position:absolute" from="10,10" to="5210,10" stroked="true" strokeweight="1pt" strokecolor="#231f20">
              <v:stroke dashstyle="solid"/>
            </v:line>
          </v:group>
        </w:pict>
      </w:r>
      <w:r>
        <w:rPr>
          <w:sz w:val="2"/>
        </w:rPr>
      </w:r>
      <w:r>
        <w:rPr>
          <w:sz w:val="2"/>
        </w:rPr>
        <w:tab/>
      </w:r>
      <w:r>
        <w:rPr>
          <w:sz w:val="2"/>
        </w:rPr>
        <w:pict>
          <v:group style="width:261pt;height:1pt;mso-position-horizontal-relative:char;mso-position-vertical-relative:line" coordorigin="0,0" coordsize="5220,20">
            <v:line style="position:absolute" from="10,10" to="5210,10" stroked="true" strokeweight="1pt" strokecolor="#231f20">
              <v:stroke dashstyle="solid"/>
            </v:line>
          </v:group>
        </w:pict>
      </w:r>
      <w:r>
        <w:rPr>
          <w:sz w:val="2"/>
        </w:rPr>
      </w:r>
    </w:p>
    <w:p>
      <w:pPr>
        <w:tabs>
          <w:tab w:pos="7336" w:val="left" w:leader="none"/>
        </w:tabs>
        <w:spacing w:before="32"/>
        <w:ind w:left="1517" w:right="0" w:firstLine="0"/>
        <w:jc w:val="left"/>
        <w:rPr>
          <w:sz w:val="18"/>
        </w:rPr>
      </w:pPr>
      <w:r>
        <w:rPr>
          <w:color w:val="231F20"/>
          <w:sz w:val="18"/>
        </w:rPr>
        <w:t>Common Stock ($1.00</w:t>
      </w:r>
      <w:r>
        <w:rPr>
          <w:color w:val="231F20"/>
          <w:spacing w:val="-2"/>
          <w:sz w:val="18"/>
        </w:rPr>
        <w:t> </w:t>
      </w:r>
      <w:r>
        <w:rPr>
          <w:color w:val="231F20"/>
          <w:sz w:val="18"/>
        </w:rPr>
        <w:t>par value)</w:t>
        <w:tab/>
        <w:t>New York Stock</w:t>
      </w:r>
      <w:r>
        <w:rPr>
          <w:color w:val="231F20"/>
          <w:spacing w:val="-1"/>
          <w:sz w:val="18"/>
        </w:rPr>
        <w:t> </w:t>
      </w:r>
      <w:r>
        <w:rPr>
          <w:color w:val="231F20"/>
          <w:sz w:val="18"/>
        </w:rPr>
        <w:t>Exchange</w:t>
      </w:r>
    </w:p>
    <w:p>
      <w:pPr>
        <w:spacing w:line="340" w:lineRule="auto" w:before="87"/>
        <w:ind w:left="3320" w:right="3318" w:firstLine="0"/>
        <w:jc w:val="center"/>
        <w:rPr>
          <w:b/>
          <w:sz w:val="18"/>
        </w:rPr>
      </w:pPr>
      <w:r>
        <w:rPr>
          <w:b/>
          <w:color w:val="231F20"/>
          <w:sz w:val="18"/>
        </w:rPr>
        <w:t>Securities registered pursuant to Section 12(g) of the Act: None</w:t>
      </w:r>
    </w:p>
    <w:p>
      <w:pPr>
        <w:spacing w:line="210" w:lineRule="exact" w:before="0"/>
        <w:ind w:left="660" w:right="0" w:firstLine="0"/>
        <w:jc w:val="left"/>
        <w:rPr>
          <w:rFonts w:ascii="39251" w:hAnsi="39251"/>
          <w:sz w:val="18"/>
        </w:rPr>
      </w:pPr>
      <w:r>
        <w:rPr>
          <w:color w:val="231F20"/>
          <w:sz w:val="18"/>
        </w:rPr>
        <w:t>Indicate by check mark if the registrant is a well-known seasoned issuer, as defined in Rule 405 of the Securities Act.    Yes  </w:t>
      </w:r>
      <w:r>
        <w:rPr>
          <w:rFonts w:ascii="39251" w:hAnsi="39251"/>
          <w:color w:val="231F20"/>
          <w:sz w:val="18"/>
        </w:rPr>
        <w:t>Í </w:t>
      </w:r>
      <w:r>
        <w:rPr>
          <w:color w:val="231F20"/>
          <w:sz w:val="18"/>
        </w:rPr>
        <w:t>No </w:t>
      </w:r>
      <w:r>
        <w:rPr>
          <w:rFonts w:ascii="39251" w:hAnsi="39251"/>
          <w:color w:val="231F20"/>
          <w:sz w:val="18"/>
        </w:rPr>
        <w:t>‘</w:t>
      </w:r>
    </w:p>
    <w:p>
      <w:pPr>
        <w:spacing w:before="67"/>
        <w:ind w:left="660" w:right="0" w:firstLine="0"/>
        <w:jc w:val="left"/>
        <w:rPr>
          <w:rFonts w:ascii="39251" w:hAnsi="39251"/>
          <w:sz w:val="18"/>
        </w:rPr>
      </w:pPr>
      <w:r>
        <w:rPr>
          <w:color w:val="231F20"/>
          <w:sz w:val="18"/>
        </w:rPr>
        <w:t>Indicate by check mark if the registrant is not required to file reports pursuant to Section 13 or Section 15(d) of the Act.    Yes  </w:t>
      </w:r>
      <w:r>
        <w:rPr>
          <w:rFonts w:ascii="39251" w:hAnsi="39251"/>
          <w:color w:val="231F20"/>
          <w:sz w:val="18"/>
        </w:rPr>
        <w:t>‘ </w:t>
      </w:r>
      <w:r>
        <w:rPr>
          <w:color w:val="231F20"/>
          <w:sz w:val="18"/>
        </w:rPr>
        <w:t>No </w:t>
      </w:r>
      <w:r>
        <w:rPr>
          <w:rFonts w:ascii="39251" w:hAnsi="39251"/>
          <w:color w:val="231F20"/>
          <w:sz w:val="18"/>
        </w:rPr>
        <w:t>Í</w:t>
      </w:r>
    </w:p>
    <w:p>
      <w:pPr>
        <w:spacing w:line="200" w:lineRule="exact" w:before="94"/>
        <w:ind w:left="120" w:right="218" w:firstLine="540"/>
        <w:jc w:val="left"/>
        <w:rPr>
          <w:rFonts w:ascii="39251" w:hAnsi="39251"/>
          <w:sz w:val="18"/>
        </w:rPr>
      </w:pPr>
      <w:r>
        <w:rPr>
          <w:color w:val="231F20"/>
          <w:sz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39251" w:hAnsi="39251"/>
          <w:color w:val="231F20"/>
          <w:sz w:val="18"/>
        </w:rPr>
        <w:t>Í </w:t>
      </w:r>
      <w:r>
        <w:rPr>
          <w:color w:val="231F20"/>
          <w:sz w:val="18"/>
        </w:rPr>
        <w:t>No </w:t>
      </w:r>
      <w:r>
        <w:rPr>
          <w:rFonts w:ascii="39251" w:hAnsi="39251"/>
          <w:color w:val="231F20"/>
          <w:sz w:val="18"/>
        </w:rPr>
        <w:t>‘</w:t>
      </w:r>
    </w:p>
    <w:p>
      <w:pPr>
        <w:spacing w:line="200" w:lineRule="exact" w:before="93"/>
        <w:ind w:left="120" w:right="243" w:firstLine="540"/>
        <w:jc w:val="both"/>
        <w:rPr>
          <w:rFonts w:ascii="39251" w:hAnsi="39251"/>
          <w:sz w:val="18"/>
        </w:rPr>
      </w:pPr>
      <w:r>
        <w:rPr>
          <w:color w:val="231F20"/>
          <w:sz w:val="18"/>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8"/>
        </w:rPr>
        <w:t>Í </w:t>
      </w:r>
      <w:r>
        <w:rPr>
          <w:color w:val="231F20"/>
          <w:sz w:val="18"/>
        </w:rPr>
        <w:t>No </w:t>
      </w:r>
      <w:r>
        <w:rPr>
          <w:rFonts w:ascii="39251" w:hAnsi="39251"/>
          <w:color w:val="231F20"/>
          <w:sz w:val="18"/>
        </w:rPr>
        <w:t>‘</w:t>
      </w:r>
    </w:p>
    <w:p>
      <w:pPr>
        <w:spacing w:line="200" w:lineRule="exact" w:before="93"/>
        <w:ind w:left="120" w:right="173" w:firstLine="540"/>
        <w:jc w:val="left"/>
        <w:rPr>
          <w:rFonts w:ascii="39251" w:hAnsi="39251"/>
          <w:sz w:val="18"/>
        </w:rPr>
      </w:pPr>
      <w:r>
        <w:rPr>
          <w:color w:val="231F20"/>
          <w:sz w:val="18"/>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rFonts w:ascii="39251" w:hAnsi="39251"/>
          <w:color w:val="231F20"/>
          <w:sz w:val="18"/>
        </w:rPr>
        <w:t>Í</w:t>
      </w:r>
    </w:p>
    <w:p>
      <w:pPr>
        <w:spacing w:line="200" w:lineRule="exact" w:before="93"/>
        <w:ind w:left="120" w:right="365" w:firstLine="540"/>
        <w:jc w:val="left"/>
        <w:rPr>
          <w:sz w:val="18"/>
        </w:rPr>
      </w:pPr>
      <w:r>
        <w:rPr>
          <w:color w:val="231F20"/>
          <w:sz w:val="18"/>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tabs>
          <w:tab w:pos="2999" w:val="left" w:leader="none"/>
          <w:tab w:pos="4984" w:val="left" w:leader="none"/>
          <w:tab w:pos="7289" w:val="left" w:leader="none"/>
          <w:tab w:pos="8029" w:val="left" w:leader="none"/>
          <w:tab w:pos="10359" w:val="left" w:leader="none"/>
        </w:tabs>
        <w:spacing w:before="66"/>
        <w:ind w:left="1020" w:right="0" w:firstLine="0"/>
        <w:jc w:val="left"/>
        <w:rPr>
          <w:rFonts w:ascii="39251" w:hAnsi="39251"/>
          <w:sz w:val="18"/>
        </w:rPr>
      </w:pPr>
      <w:r>
        <w:rPr>
          <w:color w:val="231F20"/>
          <w:sz w:val="18"/>
        </w:rPr>
        <w:t>Large accelerated filer</w:t>
        <w:tab/>
      </w:r>
      <w:r>
        <w:rPr>
          <w:rFonts w:ascii="39251" w:hAnsi="39251"/>
          <w:color w:val="231F20"/>
          <w:sz w:val="18"/>
        </w:rPr>
        <w:t>Í</w:t>
      </w:r>
      <w:r>
        <w:rPr>
          <w:rFonts w:ascii="39251" w:hAnsi="39251"/>
          <w:color w:val="231F20"/>
          <w:spacing w:val="60"/>
          <w:sz w:val="18"/>
        </w:rPr>
        <w:t> </w:t>
      </w:r>
      <w:r>
        <w:rPr>
          <w:color w:val="231F20"/>
          <w:sz w:val="18"/>
        </w:rPr>
        <w:t>Accelerated filer</w:t>
        <w:tab/>
      </w:r>
      <w:r>
        <w:rPr>
          <w:rFonts w:ascii="39251" w:hAnsi="39251"/>
          <w:color w:val="231F20"/>
          <w:sz w:val="18"/>
        </w:rPr>
        <w:t>‘</w:t>
      </w:r>
      <w:r>
        <w:rPr>
          <w:rFonts w:ascii="39251" w:hAnsi="39251"/>
          <w:color w:val="231F20"/>
          <w:spacing w:val="60"/>
          <w:sz w:val="18"/>
        </w:rPr>
        <w:t> </w:t>
      </w:r>
      <w:r>
        <w:rPr>
          <w:color w:val="231F20"/>
          <w:sz w:val="18"/>
        </w:rPr>
        <w:t>Non-accelerated filer</w:t>
        <w:tab/>
      </w:r>
      <w:r>
        <w:rPr>
          <w:rFonts w:ascii="39251" w:hAnsi="39251"/>
          <w:color w:val="231F20"/>
          <w:sz w:val="18"/>
        </w:rPr>
        <w:t>‘</w:t>
        <w:tab/>
      </w:r>
      <w:r>
        <w:rPr>
          <w:color w:val="231F20"/>
          <w:sz w:val="18"/>
        </w:rPr>
        <w:t>Smaller reporting company</w:t>
        <w:tab/>
      </w:r>
      <w:r>
        <w:rPr>
          <w:rFonts w:ascii="39251" w:hAnsi="39251"/>
          <w:color w:val="231F20"/>
          <w:sz w:val="18"/>
        </w:rPr>
        <w:t>‘</w:t>
      </w:r>
    </w:p>
    <w:p>
      <w:pPr>
        <w:spacing w:before="67"/>
        <w:ind w:left="659" w:right="0" w:firstLine="0"/>
        <w:jc w:val="left"/>
        <w:rPr>
          <w:rFonts w:ascii="39251" w:hAnsi="39251"/>
          <w:sz w:val="18"/>
        </w:rPr>
      </w:pPr>
      <w:r>
        <w:rPr>
          <w:color w:val="231F20"/>
          <w:sz w:val="18"/>
        </w:rPr>
        <w:t>Indicate by check mark whether the registrant is a shell company (as defined in Rule 12b-2 of the Act).    Yes  </w:t>
      </w:r>
      <w:r>
        <w:rPr>
          <w:rFonts w:ascii="39251" w:hAnsi="39251"/>
          <w:color w:val="231F20"/>
          <w:sz w:val="18"/>
        </w:rPr>
        <w:t>‘ </w:t>
      </w:r>
      <w:r>
        <w:rPr>
          <w:color w:val="231F20"/>
          <w:sz w:val="18"/>
        </w:rPr>
        <w:t>No </w:t>
      </w:r>
      <w:r>
        <w:rPr>
          <w:rFonts w:ascii="39251" w:hAnsi="39251"/>
          <w:color w:val="231F20"/>
          <w:sz w:val="18"/>
        </w:rPr>
        <w:t>Í</w:t>
      </w:r>
    </w:p>
    <w:p>
      <w:pPr>
        <w:spacing w:line="200" w:lineRule="exact" w:before="94"/>
        <w:ind w:left="119" w:right="388" w:firstLine="540"/>
        <w:jc w:val="both"/>
        <w:rPr>
          <w:sz w:val="18"/>
        </w:rPr>
      </w:pPr>
      <w:r>
        <w:rPr>
          <w:color w:val="231F20"/>
          <w:sz w:val="18"/>
        </w:rPr>
        <w:t>The aggregate market value of the common stock held by non-affiliates of the registrant was approximately $18,358,439,198 computed by reference to the closing sale price of the common stock on the New York Stock Exchange on June 30, 2014, the last trading day of the registrant’s most recently completed second fiscal quarter.</w:t>
      </w:r>
    </w:p>
    <w:p>
      <w:pPr>
        <w:spacing w:before="85"/>
        <w:ind w:left="119" w:right="0" w:firstLine="0"/>
        <w:jc w:val="left"/>
        <w:rPr>
          <w:sz w:val="18"/>
        </w:rPr>
      </w:pPr>
      <w:r>
        <w:rPr>
          <w:color w:val="231F20"/>
          <w:sz w:val="18"/>
        </w:rPr>
        <w:t>Number of shares of common stock outstanding as of the close of business on February 4, 2015: 675,993,892 shares</w:t>
      </w:r>
    </w:p>
    <w:p>
      <w:pPr>
        <w:spacing w:before="86"/>
        <w:ind w:left="94" w:right="95" w:firstLine="0"/>
        <w:jc w:val="center"/>
        <w:rPr>
          <w:b/>
          <w:sz w:val="18"/>
        </w:rPr>
      </w:pPr>
      <w:r>
        <w:rPr>
          <w:b/>
          <w:color w:val="231F20"/>
          <w:sz w:val="18"/>
        </w:rPr>
        <w:t>DOCUMENTS INCORPORATED BY REFERENCE</w:t>
      </w:r>
    </w:p>
    <w:p>
      <w:pPr>
        <w:spacing w:line="200" w:lineRule="exact" w:before="47"/>
        <w:ind w:left="119" w:right="423" w:firstLine="540"/>
        <w:jc w:val="left"/>
        <w:rPr>
          <w:sz w:val="18"/>
        </w:rPr>
      </w:pPr>
      <w:r>
        <w:rPr/>
        <w:pict>
          <v:group style="position:absolute;margin-left:26.75pt;margin-top:26.355pt;width:540.5pt;height:3.5pt;mso-position-horizontal-relative:page;mso-position-vertical-relative:paragraph;z-index:1168;mso-wrap-distance-left:0;mso-wrap-distance-right:0" coordorigin="535,527" coordsize="10810,70">
            <v:line style="position:absolute" from="540,532" to="11340,532" stroked="true" strokeweight=".5pt" strokecolor="#231f20">
              <v:stroke dashstyle="solid"/>
            </v:line>
            <v:line style="position:absolute" from="540,592" to="11340,592" stroked="true" strokeweight=".5pt" strokecolor="#231f20">
              <v:stroke dashstyle="solid"/>
            </v:line>
            <w10:wrap type="topAndBottom"/>
          </v:group>
        </w:pict>
      </w:r>
      <w:r>
        <w:rPr>
          <w:color w:val="231F20"/>
          <w:sz w:val="18"/>
        </w:rPr>
        <w:t>Portions of the Definitive Proxy Statement for the Company’s Annual Meeting of Shareholders to be held May 13, 2015, are incorporated into Part III of this Annual Report on Form 10-K.</w:t>
      </w:r>
    </w:p>
    <w:p>
      <w:pPr>
        <w:spacing w:after="0" w:line="200" w:lineRule="exact"/>
        <w:jc w:val="left"/>
        <w:rPr>
          <w:sz w:val="18"/>
        </w:rPr>
        <w:sectPr>
          <w:type w:val="continuous"/>
          <w:pgSz w:w="11880" w:h="15480"/>
          <w:pgMar w:top="1260" w:bottom="280" w:left="420" w:right="420"/>
        </w:sectPr>
      </w:pPr>
    </w:p>
    <w:p>
      <w:pPr>
        <w:pStyle w:val="BodyText"/>
        <w:spacing w:before="4"/>
        <w:rPr>
          <w:sz w:val="17"/>
        </w:rPr>
      </w:pPr>
    </w:p>
    <w:p>
      <w:pPr>
        <w:spacing w:after="0"/>
        <w:rPr>
          <w:sz w:val="17"/>
        </w:rPr>
        <w:sectPr>
          <w:pgSz w:w="11880" w:h="15480"/>
          <w:pgMar w:top="1460" w:bottom="280" w:left="1680" w:right="1680"/>
        </w:sectPr>
      </w:pPr>
    </w:p>
    <w:p>
      <w:pPr>
        <w:spacing w:before="73"/>
        <w:ind w:left="3622" w:right="3620" w:firstLine="0"/>
        <w:jc w:val="center"/>
        <w:rPr>
          <w:b/>
          <w:sz w:val="20"/>
        </w:rPr>
      </w:pPr>
      <w:bookmarkStart w:name="TABLE OF CONTENTS" w:id="1"/>
      <w:bookmarkEnd w:id="1"/>
      <w:r>
        <w:rPr/>
      </w:r>
      <w:r>
        <w:rPr>
          <w:b/>
          <w:color w:val="231F20"/>
          <w:sz w:val="20"/>
        </w:rPr>
        <w:t>TABLE OF CONTENTS</w:t>
      </w:r>
    </w:p>
    <w:p>
      <w:pPr>
        <w:pStyle w:val="BodyText"/>
        <w:rPr>
          <w:b/>
          <w:sz w:val="20"/>
        </w:rPr>
      </w:pPr>
    </w:p>
    <w:p>
      <w:pPr>
        <w:pStyle w:val="BodyText"/>
        <w:rPr>
          <w:b/>
          <w:sz w:val="20"/>
        </w:rPr>
      </w:pPr>
    </w:p>
    <w:p>
      <w:pPr>
        <w:pStyle w:val="BodyText"/>
        <w:spacing w:before="6"/>
        <w:rPr>
          <w:b/>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62"/>
        <w:gridCol w:w="2999"/>
        <w:gridCol w:w="4875"/>
        <w:gridCol w:w="484"/>
      </w:tblGrid>
      <w:tr>
        <w:trPr>
          <w:trHeight w:val="268" w:hRule="exact"/>
        </w:trPr>
        <w:tc>
          <w:tcPr>
            <w:tcW w:w="3861" w:type="dxa"/>
            <w:gridSpan w:val="2"/>
          </w:tcPr>
          <w:p>
            <w:pPr/>
          </w:p>
        </w:tc>
        <w:tc>
          <w:tcPr>
            <w:tcW w:w="4875" w:type="dxa"/>
          </w:tcPr>
          <w:p>
            <w:pPr>
              <w:pStyle w:val="TableParagraph"/>
              <w:spacing w:line="229" w:lineRule="exact" w:before="0"/>
              <w:ind w:left="619"/>
              <w:rPr>
                <w:b/>
                <w:sz w:val="20"/>
              </w:rPr>
            </w:pPr>
            <w:r>
              <w:rPr>
                <w:b/>
                <w:color w:val="231F20"/>
                <w:sz w:val="20"/>
              </w:rPr>
              <w:t>PART I</w:t>
            </w:r>
          </w:p>
        </w:tc>
        <w:tc>
          <w:tcPr>
            <w:tcW w:w="484" w:type="dxa"/>
          </w:tcPr>
          <w:p>
            <w:pPr/>
          </w:p>
        </w:tc>
      </w:tr>
      <w:tr>
        <w:trPr>
          <w:trHeight w:val="290" w:hRule="exact"/>
        </w:trPr>
        <w:tc>
          <w:tcPr>
            <w:tcW w:w="862" w:type="dxa"/>
          </w:tcPr>
          <w:p>
            <w:pPr>
              <w:pStyle w:val="TableParagraph"/>
              <w:spacing w:before="31"/>
              <w:ind w:left="50"/>
              <w:rPr>
                <w:sz w:val="20"/>
              </w:rPr>
            </w:pPr>
            <w:r>
              <w:rPr>
                <w:color w:val="231F20"/>
                <w:sz w:val="20"/>
              </w:rPr>
              <w:t>Item 1.</w:t>
            </w:r>
          </w:p>
        </w:tc>
        <w:tc>
          <w:tcPr>
            <w:tcW w:w="2999" w:type="dxa"/>
          </w:tcPr>
          <w:p>
            <w:pPr>
              <w:pStyle w:val="TableParagraph"/>
              <w:spacing w:before="51"/>
              <w:ind w:left="99"/>
              <w:rPr>
                <w:sz w:val="20"/>
              </w:rPr>
            </w:pPr>
            <w:r>
              <w:rPr>
                <w:color w:val="231F20"/>
                <w:sz w:val="20"/>
              </w:rPr>
              <w:t>Business</w:t>
            </w:r>
          </w:p>
        </w:tc>
        <w:tc>
          <w:tcPr>
            <w:tcW w:w="4875" w:type="dxa"/>
          </w:tcPr>
          <w:p>
            <w:pPr/>
          </w:p>
        </w:tc>
        <w:tc>
          <w:tcPr>
            <w:tcW w:w="484" w:type="dxa"/>
          </w:tcPr>
          <w:p>
            <w:pPr>
              <w:pStyle w:val="TableParagraph"/>
              <w:spacing w:before="51"/>
              <w:ind w:right="48"/>
              <w:jc w:val="right"/>
              <w:rPr>
                <w:sz w:val="20"/>
              </w:rPr>
            </w:pPr>
            <w:r>
              <w:rPr>
                <w:color w:val="231F20"/>
                <w:sz w:val="20"/>
              </w:rPr>
              <w:t>1</w:t>
            </w:r>
          </w:p>
        </w:tc>
      </w:tr>
      <w:tr>
        <w:trPr>
          <w:trHeight w:val="260" w:hRule="exact"/>
        </w:trPr>
        <w:tc>
          <w:tcPr>
            <w:tcW w:w="862" w:type="dxa"/>
          </w:tcPr>
          <w:p>
            <w:pPr>
              <w:pStyle w:val="TableParagraph"/>
              <w:spacing w:before="1"/>
              <w:ind w:left="50"/>
              <w:rPr>
                <w:sz w:val="20"/>
              </w:rPr>
            </w:pPr>
            <w:r>
              <w:rPr>
                <w:color w:val="231F20"/>
                <w:sz w:val="20"/>
              </w:rPr>
              <w:t>Item 1A.</w:t>
            </w:r>
          </w:p>
        </w:tc>
        <w:tc>
          <w:tcPr>
            <w:tcW w:w="2999" w:type="dxa"/>
          </w:tcPr>
          <w:p>
            <w:pPr>
              <w:pStyle w:val="TableParagraph"/>
              <w:spacing w:before="21"/>
              <w:ind w:left="99"/>
              <w:rPr>
                <w:sz w:val="20"/>
              </w:rPr>
            </w:pPr>
            <w:r>
              <w:rPr>
                <w:color w:val="231F20"/>
                <w:sz w:val="20"/>
              </w:rPr>
              <w:t>Risk Factors</w:t>
            </w:r>
          </w:p>
        </w:tc>
        <w:tc>
          <w:tcPr>
            <w:tcW w:w="4875" w:type="dxa"/>
          </w:tcPr>
          <w:p>
            <w:pPr/>
          </w:p>
        </w:tc>
        <w:tc>
          <w:tcPr>
            <w:tcW w:w="484" w:type="dxa"/>
          </w:tcPr>
          <w:p>
            <w:pPr>
              <w:pStyle w:val="TableParagraph"/>
              <w:spacing w:before="21"/>
              <w:ind w:right="48"/>
              <w:jc w:val="right"/>
              <w:rPr>
                <w:sz w:val="20"/>
              </w:rPr>
            </w:pPr>
            <w:r>
              <w:rPr>
                <w:color w:val="231F20"/>
                <w:sz w:val="20"/>
              </w:rPr>
              <w:t>26</w:t>
            </w:r>
          </w:p>
        </w:tc>
      </w:tr>
      <w:tr>
        <w:trPr>
          <w:trHeight w:val="260" w:hRule="exact"/>
        </w:trPr>
        <w:tc>
          <w:tcPr>
            <w:tcW w:w="862" w:type="dxa"/>
          </w:tcPr>
          <w:p>
            <w:pPr>
              <w:pStyle w:val="TableParagraph"/>
              <w:spacing w:before="1"/>
              <w:ind w:left="50"/>
              <w:rPr>
                <w:sz w:val="20"/>
              </w:rPr>
            </w:pPr>
            <w:r>
              <w:rPr>
                <w:color w:val="231F20"/>
                <w:sz w:val="20"/>
              </w:rPr>
              <w:t>Item 1B.</w:t>
            </w:r>
          </w:p>
        </w:tc>
        <w:tc>
          <w:tcPr>
            <w:tcW w:w="2999" w:type="dxa"/>
          </w:tcPr>
          <w:p>
            <w:pPr>
              <w:pStyle w:val="TableParagraph"/>
              <w:spacing w:before="21"/>
              <w:ind w:left="99"/>
              <w:rPr>
                <w:sz w:val="20"/>
              </w:rPr>
            </w:pPr>
            <w:r>
              <w:rPr>
                <w:color w:val="231F20"/>
                <w:sz w:val="20"/>
              </w:rPr>
              <w:t>Unresolved Staff Comments</w:t>
            </w:r>
          </w:p>
        </w:tc>
        <w:tc>
          <w:tcPr>
            <w:tcW w:w="4875" w:type="dxa"/>
          </w:tcPr>
          <w:p>
            <w:pPr/>
          </w:p>
        </w:tc>
        <w:tc>
          <w:tcPr>
            <w:tcW w:w="484" w:type="dxa"/>
          </w:tcPr>
          <w:p>
            <w:pPr>
              <w:pStyle w:val="TableParagraph"/>
              <w:spacing w:before="21"/>
              <w:ind w:right="48"/>
              <w:jc w:val="right"/>
              <w:rPr>
                <w:sz w:val="20"/>
              </w:rPr>
            </w:pPr>
            <w:r>
              <w:rPr>
                <w:color w:val="231F20"/>
                <w:sz w:val="20"/>
              </w:rPr>
              <w:t>36</w:t>
            </w:r>
          </w:p>
        </w:tc>
      </w:tr>
      <w:tr>
        <w:trPr>
          <w:trHeight w:val="260" w:hRule="exact"/>
        </w:trPr>
        <w:tc>
          <w:tcPr>
            <w:tcW w:w="862" w:type="dxa"/>
          </w:tcPr>
          <w:p>
            <w:pPr>
              <w:pStyle w:val="TableParagraph"/>
              <w:spacing w:before="1"/>
              <w:ind w:left="50"/>
              <w:rPr>
                <w:sz w:val="20"/>
              </w:rPr>
            </w:pPr>
            <w:r>
              <w:rPr>
                <w:color w:val="231F20"/>
                <w:sz w:val="20"/>
              </w:rPr>
              <w:t>Item 2.</w:t>
            </w:r>
          </w:p>
        </w:tc>
        <w:tc>
          <w:tcPr>
            <w:tcW w:w="2999" w:type="dxa"/>
          </w:tcPr>
          <w:p>
            <w:pPr>
              <w:pStyle w:val="TableParagraph"/>
              <w:spacing w:before="21"/>
              <w:ind w:left="99"/>
              <w:rPr>
                <w:sz w:val="20"/>
              </w:rPr>
            </w:pPr>
            <w:r>
              <w:rPr>
                <w:color w:val="231F20"/>
                <w:sz w:val="20"/>
              </w:rPr>
              <w:t>Properties</w:t>
            </w:r>
          </w:p>
        </w:tc>
        <w:tc>
          <w:tcPr>
            <w:tcW w:w="4875" w:type="dxa"/>
          </w:tcPr>
          <w:p>
            <w:pPr/>
          </w:p>
        </w:tc>
        <w:tc>
          <w:tcPr>
            <w:tcW w:w="484" w:type="dxa"/>
          </w:tcPr>
          <w:p>
            <w:pPr>
              <w:pStyle w:val="TableParagraph"/>
              <w:spacing w:before="21"/>
              <w:ind w:right="48"/>
              <w:jc w:val="right"/>
              <w:rPr>
                <w:sz w:val="20"/>
              </w:rPr>
            </w:pPr>
            <w:r>
              <w:rPr>
                <w:color w:val="231F20"/>
                <w:sz w:val="20"/>
              </w:rPr>
              <w:t>37</w:t>
            </w:r>
          </w:p>
        </w:tc>
      </w:tr>
      <w:tr>
        <w:trPr>
          <w:trHeight w:val="260" w:hRule="exact"/>
        </w:trPr>
        <w:tc>
          <w:tcPr>
            <w:tcW w:w="862" w:type="dxa"/>
          </w:tcPr>
          <w:p>
            <w:pPr>
              <w:pStyle w:val="TableParagraph"/>
              <w:spacing w:before="1"/>
              <w:ind w:left="50"/>
              <w:rPr>
                <w:sz w:val="20"/>
              </w:rPr>
            </w:pPr>
            <w:r>
              <w:rPr>
                <w:color w:val="231F20"/>
                <w:sz w:val="20"/>
              </w:rPr>
              <w:t>Item 3.</w:t>
            </w:r>
          </w:p>
        </w:tc>
        <w:tc>
          <w:tcPr>
            <w:tcW w:w="2999" w:type="dxa"/>
          </w:tcPr>
          <w:p>
            <w:pPr>
              <w:pStyle w:val="TableParagraph"/>
              <w:spacing w:before="21"/>
              <w:ind w:left="99"/>
              <w:rPr>
                <w:sz w:val="20"/>
              </w:rPr>
            </w:pPr>
            <w:r>
              <w:rPr>
                <w:color w:val="231F20"/>
                <w:sz w:val="20"/>
              </w:rPr>
              <w:t>Legal Proceedings</w:t>
            </w:r>
          </w:p>
        </w:tc>
        <w:tc>
          <w:tcPr>
            <w:tcW w:w="4875" w:type="dxa"/>
          </w:tcPr>
          <w:p>
            <w:pPr/>
          </w:p>
        </w:tc>
        <w:tc>
          <w:tcPr>
            <w:tcW w:w="484" w:type="dxa"/>
          </w:tcPr>
          <w:p>
            <w:pPr>
              <w:pStyle w:val="TableParagraph"/>
              <w:spacing w:before="21"/>
              <w:ind w:right="48"/>
              <w:jc w:val="right"/>
              <w:rPr>
                <w:sz w:val="20"/>
              </w:rPr>
            </w:pPr>
            <w:r>
              <w:rPr>
                <w:color w:val="231F20"/>
                <w:sz w:val="20"/>
              </w:rPr>
              <w:t>39</w:t>
            </w:r>
          </w:p>
        </w:tc>
      </w:tr>
      <w:tr>
        <w:trPr>
          <w:trHeight w:val="387" w:hRule="exact"/>
        </w:trPr>
        <w:tc>
          <w:tcPr>
            <w:tcW w:w="862" w:type="dxa"/>
          </w:tcPr>
          <w:p>
            <w:pPr>
              <w:pStyle w:val="TableParagraph"/>
              <w:spacing w:before="1"/>
              <w:ind w:left="50"/>
              <w:rPr>
                <w:sz w:val="20"/>
              </w:rPr>
            </w:pPr>
            <w:r>
              <w:rPr>
                <w:color w:val="231F20"/>
                <w:sz w:val="20"/>
              </w:rPr>
              <w:t>Item 4.</w:t>
            </w:r>
          </w:p>
        </w:tc>
        <w:tc>
          <w:tcPr>
            <w:tcW w:w="2999" w:type="dxa"/>
          </w:tcPr>
          <w:p>
            <w:pPr>
              <w:pStyle w:val="TableParagraph"/>
              <w:spacing w:before="21"/>
              <w:ind w:left="99"/>
              <w:rPr>
                <w:sz w:val="20"/>
              </w:rPr>
            </w:pPr>
            <w:r>
              <w:rPr>
                <w:color w:val="231F20"/>
                <w:sz w:val="20"/>
              </w:rPr>
              <w:t>Mine Safety Disclosures</w:t>
            </w:r>
          </w:p>
        </w:tc>
        <w:tc>
          <w:tcPr>
            <w:tcW w:w="4875" w:type="dxa"/>
          </w:tcPr>
          <w:p>
            <w:pPr/>
          </w:p>
        </w:tc>
        <w:tc>
          <w:tcPr>
            <w:tcW w:w="484" w:type="dxa"/>
          </w:tcPr>
          <w:p>
            <w:pPr>
              <w:pStyle w:val="TableParagraph"/>
              <w:spacing w:before="21"/>
              <w:ind w:right="48"/>
              <w:jc w:val="right"/>
              <w:rPr>
                <w:sz w:val="20"/>
              </w:rPr>
            </w:pPr>
            <w:r>
              <w:rPr>
                <w:color w:val="231F20"/>
                <w:sz w:val="20"/>
              </w:rPr>
              <w:t>40</w:t>
            </w:r>
          </w:p>
        </w:tc>
      </w:tr>
      <w:tr>
        <w:trPr>
          <w:trHeight w:val="403" w:hRule="exact"/>
        </w:trPr>
        <w:tc>
          <w:tcPr>
            <w:tcW w:w="862" w:type="dxa"/>
          </w:tcPr>
          <w:p>
            <w:pPr/>
          </w:p>
        </w:tc>
        <w:tc>
          <w:tcPr>
            <w:tcW w:w="7874" w:type="dxa"/>
            <w:gridSpan w:val="2"/>
          </w:tcPr>
          <w:p>
            <w:pPr>
              <w:pStyle w:val="TableParagraph"/>
              <w:spacing w:before="134"/>
              <w:ind w:left="3557" w:right="3525"/>
              <w:jc w:val="center"/>
              <w:rPr>
                <w:b/>
                <w:sz w:val="20"/>
              </w:rPr>
            </w:pPr>
            <w:r>
              <w:rPr>
                <w:b/>
                <w:color w:val="231F20"/>
                <w:sz w:val="20"/>
              </w:rPr>
              <w:t>PART II</w:t>
            </w:r>
          </w:p>
        </w:tc>
        <w:tc>
          <w:tcPr>
            <w:tcW w:w="484" w:type="dxa"/>
          </w:tcPr>
          <w:p>
            <w:pPr/>
          </w:p>
        </w:tc>
      </w:tr>
      <w:tr>
        <w:trPr>
          <w:trHeight w:val="300" w:hRule="exact"/>
        </w:trPr>
        <w:tc>
          <w:tcPr>
            <w:tcW w:w="862" w:type="dxa"/>
          </w:tcPr>
          <w:p>
            <w:pPr>
              <w:pStyle w:val="TableParagraph"/>
              <w:spacing w:before="31"/>
              <w:ind w:left="50"/>
              <w:rPr>
                <w:sz w:val="20"/>
              </w:rPr>
            </w:pPr>
            <w:r>
              <w:rPr>
                <w:color w:val="231F20"/>
                <w:sz w:val="20"/>
              </w:rPr>
              <w:t>Item 5.</w:t>
            </w:r>
          </w:p>
        </w:tc>
        <w:tc>
          <w:tcPr>
            <w:tcW w:w="7874" w:type="dxa"/>
            <w:gridSpan w:val="2"/>
          </w:tcPr>
          <w:p>
            <w:pPr>
              <w:pStyle w:val="TableParagraph"/>
              <w:spacing w:before="51"/>
              <w:ind w:left="99"/>
              <w:rPr>
                <w:sz w:val="20"/>
              </w:rPr>
            </w:pPr>
            <w:r>
              <w:rPr>
                <w:color w:val="231F20"/>
                <w:sz w:val="20"/>
              </w:rPr>
              <w:t>Market for Registrant’s Common Equity, Related Stockholder Matters, and Issuer Purchases of</w:t>
            </w:r>
          </w:p>
        </w:tc>
        <w:tc>
          <w:tcPr>
            <w:tcW w:w="484" w:type="dxa"/>
          </w:tcPr>
          <w:p>
            <w:pPr/>
          </w:p>
        </w:tc>
      </w:tr>
      <w:tr>
        <w:trPr>
          <w:trHeight w:val="250" w:hRule="exact"/>
        </w:trPr>
        <w:tc>
          <w:tcPr>
            <w:tcW w:w="862" w:type="dxa"/>
          </w:tcPr>
          <w:p>
            <w:pPr/>
          </w:p>
        </w:tc>
        <w:tc>
          <w:tcPr>
            <w:tcW w:w="7874" w:type="dxa"/>
            <w:gridSpan w:val="2"/>
          </w:tcPr>
          <w:p>
            <w:pPr>
              <w:pStyle w:val="TableParagraph"/>
              <w:spacing w:before="11"/>
              <w:ind w:left="99"/>
              <w:rPr>
                <w:sz w:val="20"/>
              </w:rPr>
            </w:pPr>
            <w:r>
              <w:rPr>
                <w:color w:val="231F20"/>
                <w:sz w:val="20"/>
              </w:rPr>
              <w:t>Equity Securities</w:t>
            </w:r>
          </w:p>
        </w:tc>
        <w:tc>
          <w:tcPr>
            <w:tcW w:w="484" w:type="dxa"/>
          </w:tcPr>
          <w:p>
            <w:pPr>
              <w:pStyle w:val="TableParagraph"/>
              <w:spacing w:before="11"/>
              <w:ind w:right="48"/>
              <w:jc w:val="right"/>
              <w:rPr>
                <w:sz w:val="20"/>
              </w:rPr>
            </w:pPr>
            <w:r>
              <w:rPr>
                <w:color w:val="231F20"/>
                <w:sz w:val="20"/>
              </w:rPr>
              <w:t>43</w:t>
            </w:r>
          </w:p>
        </w:tc>
      </w:tr>
      <w:tr>
        <w:trPr>
          <w:trHeight w:val="260" w:hRule="exact"/>
        </w:trPr>
        <w:tc>
          <w:tcPr>
            <w:tcW w:w="862" w:type="dxa"/>
          </w:tcPr>
          <w:p>
            <w:pPr>
              <w:pStyle w:val="TableParagraph"/>
              <w:spacing w:before="1"/>
              <w:ind w:left="50"/>
              <w:rPr>
                <w:sz w:val="20"/>
              </w:rPr>
            </w:pPr>
            <w:r>
              <w:rPr>
                <w:color w:val="231F20"/>
                <w:sz w:val="20"/>
              </w:rPr>
              <w:t>Item 6.</w:t>
            </w:r>
          </w:p>
        </w:tc>
        <w:tc>
          <w:tcPr>
            <w:tcW w:w="7874" w:type="dxa"/>
            <w:gridSpan w:val="2"/>
          </w:tcPr>
          <w:p>
            <w:pPr>
              <w:pStyle w:val="TableParagraph"/>
              <w:spacing w:before="21"/>
              <w:ind w:left="99"/>
              <w:rPr>
                <w:sz w:val="20"/>
              </w:rPr>
            </w:pPr>
            <w:r>
              <w:rPr>
                <w:color w:val="231F20"/>
                <w:sz w:val="20"/>
              </w:rPr>
              <w:t>Selected Financial Data</w:t>
            </w:r>
          </w:p>
        </w:tc>
        <w:tc>
          <w:tcPr>
            <w:tcW w:w="484" w:type="dxa"/>
          </w:tcPr>
          <w:p>
            <w:pPr>
              <w:pStyle w:val="TableParagraph"/>
              <w:spacing w:before="21"/>
              <w:ind w:right="48"/>
              <w:jc w:val="right"/>
              <w:rPr>
                <w:sz w:val="20"/>
              </w:rPr>
            </w:pPr>
            <w:r>
              <w:rPr>
                <w:color w:val="231F20"/>
                <w:sz w:val="20"/>
              </w:rPr>
              <w:t>45</w:t>
            </w:r>
          </w:p>
        </w:tc>
      </w:tr>
      <w:tr>
        <w:trPr>
          <w:trHeight w:val="270" w:hRule="exact"/>
        </w:trPr>
        <w:tc>
          <w:tcPr>
            <w:tcW w:w="862" w:type="dxa"/>
          </w:tcPr>
          <w:p>
            <w:pPr>
              <w:pStyle w:val="TableParagraph"/>
              <w:spacing w:before="1"/>
              <w:ind w:left="50"/>
              <w:rPr>
                <w:sz w:val="20"/>
              </w:rPr>
            </w:pPr>
            <w:r>
              <w:rPr>
                <w:color w:val="231F20"/>
                <w:sz w:val="20"/>
              </w:rPr>
              <w:t>Item 7.</w:t>
            </w:r>
          </w:p>
        </w:tc>
        <w:tc>
          <w:tcPr>
            <w:tcW w:w="7874" w:type="dxa"/>
            <w:gridSpan w:val="2"/>
          </w:tcPr>
          <w:p>
            <w:pPr>
              <w:pStyle w:val="TableParagraph"/>
              <w:spacing w:before="21"/>
              <w:ind w:left="99"/>
              <w:rPr>
                <w:sz w:val="20"/>
              </w:rPr>
            </w:pPr>
            <w:r>
              <w:rPr>
                <w:color w:val="231F20"/>
                <w:sz w:val="20"/>
              </w:rPr>
              <w:t>Management’s Discussion and Analysis of Financial Condition and Results of Operations</w:t>
            </w:r>
          </w:p>
        </w:tc>
        <w:tc>
          <w:tcPr>
            <w:tcW w:w="484" w:type="dxa"/>
          </w:tcPr>
          <w:p>
            <w:pPr>
              <w:pStyle w:val="TableParagraph"/>
              <w:spacing w:before="21"/>
              <w:ind w:right="48"/>
              <w:jc w:val="right"/>
              <w:rPr>
                <w:sz w:val="20"/>
              </w:rPr>
            </w:pPr>
            <w:r>
              <w:rPr>
                <w:color w:val="231F20"/>
                <w:sz w:val="20"/>
              </w:rPr>
              <w:t>48</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Liquidity and Capital Resources</w:t>
            </w:r>
          </w:p>
        </w:tc>
        <w:tc>
          <w:tcPr>
            <w:tcW w:w="484" w:type="dxa"/>
          </w:tcPr>
          <w:p>
            <w:pPr>
              <w:pStyle w:val="TableParagraph"/>
              <w:spacing w:before="11"/>
              <w:ind w:right="48"/>
              <w:jc w:val="right"/>
              <w:rPr>
                <w:sz w:val="20"/>
              </w:rPr>
            </w:pPr>
            <w:r>
              <w:rPr>
                <w:color w:val="231F20"/>
                <w:sz w:val="20"/>
              </w:rPr>
              <w:t>64</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Off-Balance Sheet Arrangements, Contractual Obligations, and Contingent Liabilities and</w:t>
            </w:r>
          </w:p>
        </w:tc>
        <w:tc>
          <w:tcPr>
            <w:tcW w:w="484" w:type="dxa"/>
          </w:tcPr>
          <w:p>
            <w:pP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Commitments</w:t>
            </w:r>
          </w:p>
        </w:tc>
        <w:tc>
          <w:tcPr>
            <w:tcW w:w="484" w:type="dxa"/>
          </w:tcPr>
          <w:p>
            <w:pPr>
              <w:pStyle w:val="TableParagraph"/>
              <w:spacing w:before="11"/>
              <w:ind w:right="48"/>
              <w:jc w:val="right"/>
              <w:rPr>
                <w:sz w:val="20"/>
              </w:rPr>
            </w:pPr>
            <w:r>
              <w:rPr>
                <w:color w:val="231F20"/>
                <w:sz w:val="20"/>
              </w:rPr>
              <w:t>66</w:t>
            </w:r>
          </w:p>
        </w:tc>
      </w:tr>
      <w:tr>
        <w:trPr>
          <w:trHeight w:val="250" w:hRule="exact"/>
        </w:trPr>
        <w:tc>
          <w:tcPr>
            <w:tcW w:w="862" w:type="dxa"/>
          </w:tcPr>
          <w:p>
            <w:pPr/>
          </w:p>
        </w:tc>
        <w:tc>
          <w:tcPr>
            <w:tcW w:w="7874" w:type="dxa"/>
            <w:gridSpan w:val="2"/>
          </w:tcPr>
          <w:p>
            <w:pPr>
              <w:pStyle w:val="TableParagraph"/>
              <w:spacing w:before="11"/>
              <w:ind w:left="99"/>
              <w:rPr>
                <w:sz w:val="20"/>
              </w:rPr>
            </w:pPr>
            <w:r>
              <w:rPr>
                <w:color w:val="231F20"/>
                <w:sz w:val="20"/>
              </w:rPr>
              <w:t>Critical Accounting Policies and Estimates</w:t>
            </w:r>
          </w:p>
        </w:tc>
        <w:tc>
          <w:tcPr>
            <w:tcW w:w="484" w:type="dxa"/>
          </w:tcPr>
          <w:p>
            <w:pPr>
              <w:pStyle w:val="TableParagraph"/>
              <w:spacing w:before="11"/>
              <w:ind w:right="48"/>
              <w:jc w:val="right"/>
              <w:rPr>
                <w:sz w:val="20"/>
              </w:rPr>
            </w:pPr>
            <w:r>
              <w:rPr>
                <w:color w:val="231F20"/>
                <w:sz w:val="20"/>
              </w:rPr>
              <w:t>70</w:t>
            </w:r>
          </w:p>
        </w:tc>
      </w:tr>
      <w:tr>
        <w:trPr>
          <w:trHeight w:val="260" w:hRule="exact"/>
        </w:trPr>
        <w:tc>
          <w:tcPr>
            <w:tcW w:w="862" w:type="dxa"/>
          </w:tcPr>
          <w:p>
            <w:pPr>
              <w:pStyle w:val="TableParagraph"/>
              <w:spacing w:before="1"/>
              <w:ind w:left="50"/>
              <w:rPr>
                <w:sz w:val="20"/>
              </w:rPr>
            </w:pPr>
            <w:r>
              <w:rPr>
                <w:color w:val="231F20"/>
                <w:sz w:val="20"/>
              </w:rPr>
              <w:t>Item 7A.</w:t>
            </w:r>
          </w:p>
        </w:tc>
        <w:tc>
          <w:tcPr>
            <w:tcW w:w="7874" w:type="dxa"/>
            <w:gridSpan w:val="2"/>
          </w:tcPr>
          <w:p>
            <w:pPr>
              <w:pStyle w:val="TableParagraph"/>
              <w:spacing w:before="21"/>
              <w:ind w:left="99"/>
              <w:rPr>
                <w:sz w:val="20"/>
              </w:rPr>
            </w:pPr>
            <w:r>
              <w:rPr>
                <w:color w:val="231F20"/>
                <w:sz w:val="20"/>
              </w:rPr>
              <w:t>Quantitative and Qualitative Disclosures About Market Risk</w:t>
            </w:r>
          </w:p>
        </w:tc>
        <w:tc>
          <w:tcPr>
            <w:tcW w:w="484" w:type="dxa"/>
          </w:tcPr>
          <w:p>
            <w:pPr>
              <w:pStyle w:val="TableParagraph"/>
              <w:spacing w:before="21"/>
              <w:ind w:right="48"/>
              <w:jc w:val="right"/>
              <w:rPr>
                <w:sz w:val="20"/>
              </w:rPr>
            </w:pPr>
            <w:r>
              <w:rPr>
                <w:color w:val="231F20"/>
                <w:sz w:val="20"/>
              </w:rPr>
              <w:t>78</w:t>
            </w:r>
          </w:p>
        </w:tc>
      </w:tr>
      <w:tr>
        <w:trPr>
          <w:trHeight w:val="270" w:hRule="exact"/>
        </w:trPr>
        <w:tc>
          <w:tcPr>
            <w:tcW w:w="862" w:type="dxa"/>
          </w:tcPr>
          <w:p>
            <w:pPr>
              <w:pStyle w:val="TableParagraph"/>
              <w:spacing w:before="1"/>
              <w:ind w:left="50"/>
              <w:rPr>
                <w:sz w:val="20"/>
              </w:rPr>
            </w:pPr>
            <w:r>
              <w:rPr>
                <w:color w:val="231F20"/>
                <w:sz w:val="20"/>
              </w:rPr>
              <w:t>Item 8.</w:t>
            </w:r>
          </w:p>
        </w:tc>
        <w:tc>
          <w:tcPr>
            <w:tcW w:w="7874" w:type="dxa"/>
            <w:gridSpan w:val="2"/>
          </w:tcPr>
          <w:p>
            <w:pPr>
              <w:pStyle w:val="TableParagraph"/>
              <w:spacing w:before="21"/>
              <w:ind w:left="99"/>
              <w:rPr>
                <w:sz w:val="20"/>
              </w:rPr>
            </w:pPr>
            <w:r>
              <w:rPr>
                <w:color w:val="231F20"/>
                <w:sz w:val="20"/>
              </w:rPr>
              <w:t>Financial Statements and Supplementary Data</w:t>
            </w:r>
          </w:p>
        </w:tc>
        <w:tc>
          <w:tcPr>
            <w:tcW w:w="484" w:type="dxa"/>
          </w:tcPr>
          <w:p>
            <w:pPr>
              <w:pStyle w:val="TableParagraph"/>
              <w:spacing w:before="21"/>
              <w:ind w:right="48"/>
              <w:jc w:val="right"/>
              <w:rPr>
                <w:sz w:val="20"/>
              </w:rPr>
            </w:pPr>
            <w:r>
              <w:rPr>
                <w:color w:val="231F20"/>
                <w:sz w:val="20"/>
              </w:rPr>
              <w:t>84</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Southwest Airlines Co. Consolidated Balance Sheet</w:t>
            </w:r>
          </w:p>
        </w:tc>
        <w:tc>
          <w:tcPr>
            <w:tcW w:w="484" w:type="dxa"/>
          </w:tcPr>
          <w:p>
            <w:pPr>
              <w:pStyle w:val="TableParagraph"/>
              <w:spacing w:before="11"/>
              <w:ind w:right="48"/>
              <w:jc w:val="right"/>
              <w:rPr>
                <w:sz w:val="20"/>
              </w:rPr>
            </w:pPr>
            <w:r>
              <w:rPr>
                <w:color w:val="231F20"/>
                <w:sz w:val="20"/>
              </w:rPr>
              <w:t>84</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Southwest Airlines Co. Consolidated Statement of Income</w:t>
            </w:r>
          </w:p>
        </w:tc>
        <w:tc>
          <w:tcPr>
            <w:tcW w:w="484" w:type="dxa"/>
          </w:tcPr>
          <w:p>
            <w:pPr>
              <w:pStyle w:val="TableParagraph"/>
              <w:spacing w:before="11"/>
              <w:ind w:right="48"/>
              <w:jc w:val="right"/>
              <w:rPr>
                <w:sz w:val="20"/>
              </w:rPr>
            </w:pPr>
            <w:r>
              <w:rPr>
                <w:color w:val="231F20"/>
                <w:sz w:val="20"/>
              </w:rPr>
              <w:t>85</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Southwest Airlines Co. Consolidated Statement of Comprehensive Income</w:t>
            </w:r>
          </w:p>
        </w:tc>
        <w:tc>
          <w:tcPr>
            <w:tcW w:w="484" w:type="dxa"/>
          </w:tcPr>
          <w:p>
            <w:pPr>
              <w:pStyle w:val="TableParagraph"/>
              <w:spacing w:before="11"/>
              <w:ind w:right="48"/>
              <w:jc w:val="right"/>
              <w:rPr>
                <w:sz w:val="20"/>
              </w:rPr>
            </w:pPr>
            <w:r>
              <w:rPr>
                <w:color w:val="231F20"/>
                <w:sz w:val="20"/>
              </w:rPr>
              <w:t>86</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Southwest Airlines Co. Consolidated Statement of Stockholders’ Equity</w:t>
            </w:r>
          </w:p>
        </w:tc>
        <w:tc>
          <w:tcPr>
            <w:tcW w:w="484" w:type="dxa"/>
          </w:tcPr>
          <w:p>
            <w:pPr>
              <w:pStyle w:val="TableParagraph"/>
              <w:spacing w:before="11"/>
              <w:ind w:right="48"/>
              <w:jc w:val="right"/>
              <w:rPr>
                <w:sz w:val="20"/>
              </w:rPr>
            </w:pPr>
            <w:r>
              <w:rPr>
                <w:color w:val="231F20"/>
                <w:sz w:val="20"/>
              </w:rPr>
              <w:t>87</w:t>
            </w:r>
          </w:p>
        </w:tc>
      </w:tr>
      <w:tr>
        <w:trPr>
          <w:trHeight w:val="260" w:hRule="exact"/>
        </w:trPr>
        <w:tc>
          <w:tcPr>
            <w:tcW w:w="862" w:type="dxa"/>
          </w:tcPr>
          <w:p>
            <w:pPr/>
          </w:p>
        </w:tc>
        <w:tc>
          <w:tcPr>
            <w:tcW w:w="7874" w:type="dxa"/>
            <w:gridSpan w:val="2"/>
          </w:tcPr>
          <w:p>
            <w:pPr>
              <w:pStyle w:val="TableParagraph"/>
              <w:spacing w:before="11"/>
              <w:ind w:left="99"/>
              <w:rPr>
                <w:sz w:val="20"/>
              </w:rPr>
            </w:pPr>
            <w:r>
              <w:rPr>
                <w:color w:val="231F20"/>
                <w:sz w:val="20"/>
              </w:rPr>
              <w:t>Southwest Airlines Co. Consolidated Statement of Cash Flows</w:t>
            </w:r>
          </w:p>
        </w:tc>
        <w:tc>
          <w:tcPr>
            <w:tcW w:w="484" w:type="dxa"/>
          </w:tcPr>
          <w:p>
            <w:pPr>
              <w:pStyle w:val="TableParagraph"/>
              <w:spacing w:before="11"/>
              <w:ind w:right="48"/>
              <w:jc w:val="right"/>
              <w:rPr>
                <w:sz w:val="20"/>
              </w:rPr>
            </w:pPr>
            <w:r>
              <w:rPr>
                <w:color w:val="231F20"/>
                <w:sz w:val="20"/>
              </w:rPr>
              <w:t>88</w:t>
            </w:r>
          </w:p>
        </w:tc>
      </w:tr>
      <w:tr>
        <w:trPr>
          <w:trHeight w:val="250" w:hRule="exact"/>
        </w:trPr>
        <w:tc>
          <w:tcPr>
            <w:tcW w:w="862" w:type="dxa"/>
          </w:tcPr>
          <w:p>
            <w:pPr/>
          </w:p>
        </w:tc>
        <w:tc>
          <w:tcPr>
            <w:tcW w:w="7874" w:type="dxa"/>
            <w:gridSpan w:val="2"/>
          </w:tcPr>
          <w:p>
            <w:pPr>
              <w:pStyle w:val="TableParagraph"/>
              <w:spacing w:before="11"/>
              <w:ind w:left="99"/>
              <w:rPr>
                <w:sz w:val="20"/>
              </w:rPr>
            </w:pPr>
            <w:r>
              <w:rPr>
                <w:color w:val="231F20"/>
                <w:sz w:val="20"/>
              </w:rPr>
              <w:t>Notes to Consolidated Financial Statements</w:t>
            </w:r>
          </w:p>
        </w:tc>
        <w:tc>
          <w:tcPr>
            <w:tcW w:w="484" w:type="dxa"/>
          </w:tcPr>
          <w:p>
            <w:pPr>
              <w:pStyle w:val="TableParagraph"/>
              <w:spacing w:before="11"/>
              <w:ind w:right="48"/>
              <w:jc w:val="right"/>
              <w:rPr>
                <w:sz w:val="20"/>
              </w:rPr>
            </w:pPr>
            <w:r>
              <w:rPr>
                <w:color w:val="231F20"/>
                <w:sz w:val="20"/>
              </w:rPr>
              <w:t>89</w:t>
            </w:r>
          </w:p>
        </w:tc>
      </w:tr>
      <w:tr>
        <w:trPr>
          <w:trHeight w:val="260" w:hRule="exact"/>
        </w:trPr>
        <w:tc>
          <w:tcPr>
            <w:tcW w:w="862" w:type="dxa"/>
          </w:tcPr>
          <w:p>
            <w:pPr>
              <w:pStyle w:val="TableParagraph"/>
              <w:spacing w:before="1"/>
              <w:ind w:left="50"/>
              <w:rPr>
                <w:sz w:val="20"/>
              </w:rPr>
            </w:pPr>
            <w:r>
              <w:rPr>
                <w:color w:val="231F20"/>
                <w:sz w:val="20"/>
              </w:rPr>
              <w:t>Item 9.</w:t>
            </w:r>
          </w:p>
        </w:tc>
        <w:tc>
          <w:tcPr>
            <w:tcW w:w="7874" w:type="dxa"/>
            <w:gridSpan w:val="2"/>
          </w:tcPr>
          <w:p>
            <w:pPr>
              <w:pStyle w:val="TableParagraph"/>
              <w:spacing w:before="21"/>
              <w:ind w:left="99"/>
              <w:rPr>
                <w:sz w:val="20"/>
              </w:rPr>
            </w:pPr>
            <w:r>
              <w:rPr>
                <w:color w:val="231F20"/>
                <w:sz w:val="20"/>
              </w:rPr>
              <w:t>Changes in and Disagreements With Accountants on Accounting and Financial Disclosure</w:t>
            </w:r>
          </w:p>
        </w:tc>
        <w:tc>
          <w:tcPr>
            <w:tcW w:w="484" w:type="dxa"/>
          </w:tcPr>
          <w:p>
            <w:pPr>
              <w:pStyle w:val="TableParagraph"/>
              <w:spacing w:before="21"/>
              <w:ind w:right="48"/>
              <w:jc w:val="right"/>
              <w:rPr>
                <w:sz w:val="20"/>
              </w:rPr>
            </w:pPr>
            <w:r>
              <w:rPr>
                <w:color w:val="231F20"/>
                <w:sz w:val="20"/>
              </w:rPr>
              <w:t>137</w:t>
            </w:r>
          </w:p>
        </w:tc>
      </w:tr>
      <w:tr>
        <w:trPr>
          <w:trHeight w:val="260" w:hRule="exact"/>
        </w:trPr>
        <w:tc>
          <w:tcPr>
            <w:tcW w:w="862" w:type="dxa"/>
          </w:tcPr>
          <w:p>
            <w:pPr>
              <w:pStyle w:val="TableParagraph"/>
              <w:spacing w:before="1"/>
              <w:ind w:left="50"/>
              <w:rPr>
                <w:sz w:val="20"/>
              </w:rPr>
            </w:pPr>
            <w:r>
              <w:rPr>
                <w:color w:val="231F20"/>
                <w:sz w:val="20"/>
              </w:rPr>
              <w:t>Item 9A.</w:t>
            </w:r>
          </w:p>
        </w:tc>
        <w:tc>
          <w:tcPr>
            <w:tcW w:w="7874" w:type="dxa"/>
            <w:gridSpan w:val="2"/>
          </w:tcPr>
          <w:p>
            <w:pPr>
              <w:pStyle w:val="TableParagraph"/>
              <w:spacing w:before="21"/>
              <w:ind w:left="99"/>
              <w:rPr>
                <w:sz w:val="20"/>
              </w:rPr>
            </w:pPr>
            <w:r>
              <w:rPr>
                <w:color w:val="231F20"/>
                <w:sz w:val="20"/>
              </w:rPr>
              <w:t>Controls and Procedures</w:t>
            </w:r>
          </w:p>
        </w:tc>
        <w:tc>
          <w:tcPr>
            <w:tcW w:w="484" w:type="dxa"/>
          </w:tcPr>
          <w:p>
            <w:pPr>
              <w:pStyle w:val="TableParagraph"/>
              <w:spacing w:before="21"/>
              <w:ind w:right="48"/>
              <w:jc w:val="right"/>
              <w:rPr>
                <w:sz w:val="20"/>
              </w:rPr>
            </w:pPr>
            <w:r>
              <w:rPr>
                <w:color w:val="231F20"/>
                <w:sz w:val="20"/>
              </w:rPr>
              <w:t>137</w:t>
            </w:r>
          </w:p>
        </w:tc>
      </w:tr>
      <w:tr>
        <w:trPr>
          <w:trHeight w:val="252" w:hRule="exact"/>
        </w:trPr>
        <w:tc>
          <w:tcPr>
            <w:tcW w:w="862" w:type="dxa"/>
          </w:tcPr>
          <w:p>
            <w:pPr>
              <w:pStyle w:val="TableParagraph"/>
              <w:spacing w:before="1"/>
              <w:ind w:left="50"/>
              <w:rPr>
                <w:sz w:val="20"/>
              </w:rPr>
            </w:pPr>
            <w:r>
              <w:rPr>
                <w:color w:val="231F20"/>
                <w:sz w:val="20"/>
              </w:rPr>
              <w:t>Item 9B.</w:t>
            </w:r>
          </w:p>
        </w:tc>
        <w:tc>
          <w:tcPr>
            <w:tcW w:w="7874" w:type="dxa"/>
            <w:gridSpan w:val="2"/>
          </w:tcPr>
          <w:p>
            <w:pPr>
              <w:pStyle w:val="TableParagraph"/>
              <w:spacing w:before="21"/>
              <w:ind w:left="99"/>
              <w:rPr>
                <w:sz w:val="20"/>
              </w:rPr>
            </w:pPr>
            <w:r>
              <w:rPr>
                <w:color w:val="231F20"/>
                <w:sz w:val="20"/>
              </w:rPr>
              <w:t>Other Information</w:t>
            </w:r>
          </w:p>
        </w:tc>
        <w:tc>
          <w:tcPr>
            <w:tcW w:w="484" w:type="dxa"/>
          </w:tcPr>
          <w:p>
            <w:pPr>
              <w:pStyle w:val="TableParagraph"/>
              <w:spacing w:before="21"/>
              <w:ind w:right="48"/>
              <w:jc w:val="right"/>
              <w:rPr>
                <w:sz w:val="20"/>
              </w:rPr>
            </w:pPr>
            <w:r>
              <w:rPr>
                <w:color w:val="231F20"/>
                <w:sz w:val="20"/>
              </w:rPr>
              <w:t>137</w:t>
            </w:r>
          </w:p>
        </w:tc>
      </w:tr>
      <w:tr>
        <w:trPr>
          <w:trHeight w:val="538" w:hRule="exact"/>
        </w:trPr>
        <w:tc>
          <w:tcPr>
            <w:tcW w:w="862" w:type="dxa"/>
          </w:tcPr>
          <w:p>
            <w:pPr/>
          </w:p>
        </w:tc>
        <w:tc>
          <w:tcPr>
            <w:tcW w:w="2999" w:type="dxa"/>
          </w:tcPr>
          <w:p>
            <w:pPr/>
          </w:p>
        </w:tc>
        <w:tc>
          <w:tcPr>
            <w:tcW w:w="4875" w:type="dxa"/>
          </w:tcPr>
          <w:p>
            <w:pPr>
              <w:pStyle w:val="TableParagraph"/>
              <w:spacing w:before="5"/>
              <w:rPr>
                <w:b/>
                <w:sz w:val="23"/>
              </w:rPr>
            </w:pPr>
          </w:p>
          <w:p>
            <w:pPr>
              <w:pStyle w:val="TableParagraph"/>
              <w:spacing w:before="0"/>
              <w:ind w:left="541"/>
              <w:rPr>
                <w:b/>
                <w:sz w:val="20"/>
              </w:rPr>
            </w:pPr>
            <w:r>
              <w:rPr>
                <w:b/>
                <w:color w:val="231F20"/>
                <w:sz w:val="20"/>
              </w:rPr>
              <w:t>PART III</w:t>
            </w:r>
          </w:p>
        </w:tc>
        <w:tc>
          <w:tcPr>
            <w:tcW w:w="484" w:type="dxa"/>
          </w:tcPr>
          <w:p>
            <w:pPr/>
          </w:p>
        </w:tc>
      </w:tr>
      <w:tr>
        <w:trPr>
          <w:trHeight w:val="290" w:hRule="exact"/>
        </w:trPr>
        <w:tc>
          <w:tcPr>
            <w:tcW w:w="862" w:type="dxa"/>
          </w:tcPr>
          <w:p>
            <w:pPr>
              <w:pStyle w:val="TableParagraph"/>
              <w:spacing w:before="31"/>
              <w:ind w:left="50"/>
              <w:rPr>
                <w:sz w:val="20"/>
              </w:rPr>
            </w:pPr>
            <w:r>
              <w:rPr>
                <w:color w:val="231F20"/>
                <w:sz w:val="20"/>
              </w:rPr>
              <w:t>Item 10.</w:t>
            </w:r>
          </w:p>
        </w:tc>
        <w:tc>
          <w:tcPr>
            <w:tcW w:w="7874" w:type="dxa"/>
            <w:gridSpan w:val="2"/>
          </w:tcPr>
          <w:p>
            <w:pPr>
              <w:pStyle w:val="TableParagraph"/>
              <w:spacing w:before="51"/>
              <w:ind w:left="99"/>
              <w:rPr>
                <w:sz w:val="20"/>
              </w:rPr>
            </w:pPr>
            <w:r>
              <w:rPr>
                <w:color w:val="231F20"/>
                <w:sz w:val="20"/>
              </w:rPr>
              <w:t>Directors, Executive Officers, and Corporate Governance</w:t>
            </w:r>
          </w:p>
        </w:tc>
        <w:tc>
          <w:tcPr>
            <w:tcW w:w="484" w:type="dxa"/>
          </w:tcPr>
          <w:p>
            <w:pPr>
              <w:pStyle w:val="TableParagraph"/>
              <w:spacing w:before="51"/>
              <w:ind w:right="48"/>
              <w:jc w:val="right"/>
              <w:rPr>
                <w:sz w:val="20"/>
              </w:rPr>
            </w:pPr>
            <w:r>
              <w:rPr>
                <w:color w:val="231F20"/>
                <w:sz w:val="20"/>
              </w:rPr>
              <w:t>138</w:t>
            </w:r>
          </w:p>
        </w:tc>
      </w:tr>
      <w:tr>
        <w:trPr>
          <w:trHeight w:val="530" w:hRule="exact"/>
        </w:trPr>
        <w:tc>
          <w:tcPr>
            <w:tcW w:w="862" w:type="dxa"/>
          </w:tcPr>
          <w:p>
            <w:pPr>
              <w:pStyle w:val="TableParagraph"/>
              <w:spacing w:before="1"/>
              <w:ind w:left="50"/>
              <w:rPr>
                <w:sz w:val="20"/>
              </w:rPr>
            </w:pPr>
            <w:r>
              <w:rPr>
                <w:color w:val="231F20"/>
                <w:sz w:val="20"/>
              </w:rPr>
              <w:t>Item 11.</w:t>
            </w:r>
          </w:p>
          <w:p>
            <w:pPr>
              <w:pStyle w:val="TableParagraph"/>
              <w:spacing w:before="29"/>
              <w:ind w:left="50"/>
              <w:rPr>
                <w:sz w:val="20"/>
              </w:rPr>
            </w:pPr>
            <w:r>
              <w:rPr>
                <w:color w:val="231F20"/>
                <w:sz w:val="20"/>
              </w:rPr>
              <w:t>Item 12.</w:t>
            </w:r>
          </w:p>
        </w:tc>
        <w:tc>
          <w:tcPr>
            <w:tcW w:w="7874" w:type="dxa"/>
            <w:gridSpan w:val="2"/>
          </w:tcPr>
          <w:p>
            <w:pPr>
              <w:pStyle w:val="TableParagraph"/>
              <w:spacing w:before="21"/>
              <w:ind w:left="99"/>
              <w:rPr>
                <w:sz w:val="20"/>
              </w:rPr>
            </w:pPr>
            <w:r>
              <w:rPr>
                <w:color w:val="231F20"/>
                <w:sz w:val="20"/>
              </w:rPr>
              <w:t>Executive Compensation</w:t>
            </w:r>
          </w:p>
          <w:p>
            <w:pPr>
              <w:pStyle w:val="TableParagraph"/>
              <w:spacing w:before="29"/>
              <w:ind w:left="99"/>
              <w:rPr>
                <w:sz w:val="20"/>
              </w:rPr>
            </w:pPr>
            <w:r>
              <w:rPr>
                <w:color w:val="231F20"/>
                <w:sz w:val="20"/>
              </w:rPr>
              <w:t>Security Ownership of Certain Beneficial Owners and Management and Related Stockholder</w:t>
            </w:r>
          </w:p>
        </w:tc>
        <w:tc>
          <w:tcPr>
            <w:tcW w:w="484" w:type="dxa"/>
          </w:tcPr>
          <w:p>
            <w:pPr>
              <w:pStyle w:val="TableParagraph"/>
              <w:spacing w:before="21"/>
              <w:ind w:right="48"/>
              <w:jc w:val="right"/>
              <w:rPr>
                <w:sz w:val="20"/>
              </w:rPr>
            </w:pPr>
            <w:r>
              <w:rPr>
                <w:color w:val="231F20"/>
                <w:sz w:val="20"/>
              </w:rPr>
              <w:t>138</w:t>
            </w:r>
          </w:p>
        </w:tc>
      </w:tr>
      <w:tr>
        <w:trPr>
          <w:trHeight w:val="250" w:hRule="exact"/>
        </w:trPr>
        <w:tc>
          <w:tcPr>
            <w:tcW w:w="862" w:type="dxa"/>
          </w:tcPr>
          <w:p>
            <w:pPr/>
          </w:p>
        </w:tc>
        <w:tc>
          <w:tcPr>
            <w:tcW w:w="7874" w:type="dxa"/>
            <w:gridSpan w:val="2"/>
          </w:tcPr>
          <w:p>
            <w:pPr>
              <w:pStyle w:val="TableParagraph"/>
              <w:spacing w:before="11"/>
              <w:ind w:left="99"/>
              <w:rPr>
                <w:sz w:val="20"/>
              </w:rPr>
            </w:pPr>
            <w:r>
              <w:rPr>
                <w:color w:val="231F20"/>
                <w:sz w:val="20"/>
              </w:rPr>
              <w:t>Matters</w:t>
            </w:r>
          </w:p>
        </w:tc>
        <w:tc>
          <w:tcPr>
            <w:tcW w:w="484" w:type="dxa"/>
          </w:tcPr>
          <w:p>
            <w:pPr>
              <w:pStyle w:val="TableParagraph"/>
              <w:spacing w:before="11"/>
              <w:ind w:right="48"/>
              <w:jc w:val="right"/>
              <w:rPr>
                <w:sz w:val="20"/>
              </w:rPr>
            </w:pPr>
            <w:r>
              <w:rPr>
                <w:color w:val="231F20"/>
                <w:sz w:val="20"/>
              </w:rPr>
              <w:t>138</w:t>
            </w:r>
          </w:p>
        </w:tc>
      </w:tr>
      <w:tr>
        <w:trPr>
          <w:trHeight w:val="260" w:hRule="exact"/>
        </w:trPr>
        <w:tc>
          <w:tcPr>
            <w:tcW w:w="862" w:type="dxa"/>
          </w:tcPr>
          <w:p>
            <w:pPr>
              <w:pStyle w:val="TableParagraph"/>
              <w:spacing w:before="1"/>
              <w:ind w:left="50"/>
              <w:rPr>
                <w:sz w:val="20"/>
              </w:rPr>
            </w:pPr>
            <w:r>
              <w:rPr>
                <w:color w:val="231F20"/>
                <w:sz w:val="20"/>
              </w:rPr>
              <w:t>Item 13.</w:t>
            </w:r>
          </w:p>
        </w:tc>
        <w:tc>
          <w:tcPr>
            <w:tcW w:w="7874" w:type="dxa"/>
            <w:gridSpan w:val="2"/>
          </w:tcPr>
          <w:p>
            <w:pPr>
              <w:pStyle w:val="TableParagraph"/>
              <w:spacing w:before="21"/>
              <w:ind w:left="99"/>
              <w:rPr>
                <w:sz w:val="20"/>
              </w:rPr>
            </w:pPr>
            <w:r>
              <w:rPr>
                <w:color w:val="231F20"/>
                <w:sz w:val="20"/>
              </w:rPr>
              <w:t>Certain Relationships and Related Transactions, and Director Independence</w:t>
            </w:r>
          </w:p>
        </w:tc>
        <w:tc>
          <w:tcPr>
            <w:tcW w:w="484" w:type="dxa"/>
          </w:tcPr>
          <w:p>
            <w:pPr>
              <w:pStyle w:val="TableParagraph"/>
              <w:spacing w:before="21"/>
              <w:ind w:right="48"/>
              <w:jc w:val="right"/>
              <w:rPr>
                <w:sz w:val="20"/>
              </w:rPr>
            </w:pPr>
            <w:r>
              <w:rPr>
                <w:color w:val="231F20"/>
                <w:sz w:val="20"/>
              </w:rPr>
              <w:t>139</w:t>
            </w:r>
          </w:p>
        </w:tc>
      </w:tr>
      <w:tr>
        <w:trPr>
          <w:trHeight w:val="252" w:hRule="exact"/>
        </w:trPr>
        <w:tc>
          <w:tcPr>
            <w:tcW w:w="862" w:type="dxa"/>
          </w:tcPr>
          <w:p>
            <w:pPr>
              <w:pStyle w:val="TableParagraph"/>
              <w:spacing w:before="1"/>
              <w:ind w:left="50"/>
              <w:rPr>
                <w:sz w:val="20"/>
              </w:rPr>
            </w:pPr>
            <w:r>
              <w:rPr>
                <w:color w:val="231F20"/>
                <w:sz w:val="20"/>
              </w:rPr>
              <w:t>Item 14.</w:t>
            </w:r>
          </w:p>
        </w:tc>
        <w:tc>
          <w:tcPr>
            <w:tcW w:w="7874" w:type="dxa"/>
            <w:gridSpan w:val="2"/>
          </w:tcPr>
          <w:p>
            <w:pPr>
              <w:pStyle w:val="TableParagraph"/>
              <w:spacing w:before="21"/>
              <w:ind w:left="99"/>
              <w:rPr>
                <w:sz w:val="20"/>
              </w:rPr>
            </w:pPr>
            <w:r>
              <w:rPr>
                <w:color w:val="231F20"/>
                <w:sz w:val="20"/>
              </w:rPr>
              <w:t>Principal Accounting Fees and Services</w:t>
            </w:r>
          </w:p>
        </w:tc>
        <w:tc>
          <w:tcPr>
            <w:tcW w:w="484" w:type="dxa"/>
          </w:tcPr>
          <w:p>
            <w:pPr>
              <w:pStyle w:val="TableParagraph"/>
              <w:spacing w:before="21"/>
              <w:ind w:right="48"/>
              <w:jc w:val="right"/>
              <w:rPr>
                <w:sz w:val="20"/>
              </w:rPr>
            </w:pPr>
            <w:r>
              <w:rPr>
                <w:color w:val="231F20"/>
                <w:sz w:val="20"/>
              </w:rPr>
              <w:t>139</w:t>
            </w:r>
          </w:p>
        </w:tc>
      </w:tr>
    </w:tbl>
    <w:p>
      <w:pPr>
        <w:pStyle w:val="BodyText"/>
        <w:spacing w:before="9"/>
        <w:rPr>
          <w:b/>
          <w:sz w:val="14"/>
        </w:rPr>
      </w:pPr>
    </w:p>
    <w:p>
      <w:pPr>
        <w:spacing w:before="99"/>
        <w:ind w:left="3622" w:right="3211" w:firstLine="0"/>
        <w:jc w:val="center"/>
        <w:rPr>
          <w:b/>
          <w:sz w:val="20"/>
        </w:rPr>
      </w:pPr>
      <w:r>
        <w:rPr>
          <w:b/>
          <w:color w:val="231F20"/>
          <w:sz w:val="20"/>
        </w:rPr>
        <w:t>PART IV</w:t>
      </w:r>
    </w:p>
    <w:p>
      <w:pPr>
        <w:tabs>
          <w:tab w:pos="1071" w:val="left" w:leader="none"/>
          <w:tab w:pos="9279" w:val="right" w:leader="none"/>
        </w:tabs>
        <w:spacing w:before="69"/>
        <w:ind w:left="160" w:right="0" w:firstLine="0"/>
        <w:jc w:val="left"/>
        <w:rPr>
          <w:sz w:val="20"/>
        </w:rPr>
      </w:pPr>
      <w:r>
        <w:rPr>
          <w:color w:val="231F20"/>
          <w:position w:val="2"/>
          <w:sz w:val="20"/>
        </w:rPr>
        <w:t>Item</w:t>
      </w:r>
      <w:r>
        <w:rPr>
          <w:color w:val="231F20"/>
          <w:spacing w:val="1"/>
          <w:position w:val="2"/>
          <w:sz w:val="20"/>
        </w:rPr>
        <w:t> </w:t>
      </w:r>
      <w:r>
        <w:rPr>
          <w:color w:val="231F20"/>
          <w:position w:val="2"/>
          <w:sz w:val="20"/>
        </w:rPr>
        <w:t>15.</w:t>
        <w:tab/>
      </w:r>
      <w:r>
        <w:rPr>
          <w:color w:val="231F20"/>
          <w:sz w:val="20"/>
        </w:rPr>
        <w:t>Exhibits and Financial</w:t>
      </w:r>
      <w:r>
        <w:rPr>
          <w:color w:val="231F20"/>
          <w:spacing w:val="2"/>
          <w:sz w:val="20"/>
        </w:rPr>
        <w:t> </w:t>
      </w:r>
      <w:r>
        <w:rPr>
          <w:color w:val="231F20"/>
          <w:sz w:val="20"/>
        </w:rPr>
        <w:t>Statement</w:t>
      </w:r>
      <w:r>
        <w:rPr>
          <w:color w:val="231F20"/>
          <w:spacing w:val="2"/>
          <w:sz w:val="20"/>
        </w:rPr>
        <w:t> </w:t>
      </w:r>
      <w:r>
        <w:rPr>
          <w:color w:val="231F20"/>
          <w:sz w:val="20"/>
        </w:rPr>
        <w:t>Schedules</w:t>
        <w:tab/>
        <w:t>140</w:t>
      </w:r>
    </w:p>
    <w:p>
      <w:pPr>
        <w:spacing w:after="0"/>
        <w:jc w:val="left"/>
        <w:rPr>
          <w:sz w:val="20"/>
        </w:rPr>
        <w:sectPr>
          <w:pgSz w:w="11880" w:h="15480"/>
          <w:pgMar w:top="1240" w:bottom="280" w:left="1220" w:right="1220"/>
        </w:sectPr>
      </w:pPr>
    </w:p>
    <w:p>
      <w:pPr>
        <w:pStyle w:val="BodyText"/>
        <w:spacing w:before="4"/>
        <w:rPr>
          <w:sz w:val="17"/>
        </w:rPr>
      </w:pPr>
    </w:p>
    <w:p>
      <w:pPr>
        <w:spacing w:after="0"/>
        <w:rPr>
          <w:sz w:val="17"/>
        </w:rPr>
        <w:sectPr>
          <w:pgSz w:w="11880" w:h="15480"/>
          <w:pgMar w:top="1460" w:bottom="280" w:left="1680" w:right="1680"/>
        </w:sectPr>
      </w:pPr>
    </w:p>
    <w:p>
      <w:pPr>
        <w:pStyle w:val="Heading1"/>
        <w:ind w:left="0"/>
        <w:jc w:val="center"/>
      </w:pPr>
      <w:bookmarkStart w:name="PART I" w:id="2"/>
      <w:bookmarkEnd w:id="2"/>
      <w:r>
        <w:rPr>
          <w:b w:val="0"/>
        </w:rPr>
      </w:r>
      <w:r>
        <w:rPr>
          <w:color w:val="231F20"/>
        </w:rPr>
        <w:t>PART I</w:t>
      </w:r>
    </w:p>
    <w:p>
      <w:pPr>
        <w:tabs>
          <w:tab w:pos="1329" w:val="left" w:leader="none"/>
        </w:tabs>
        <w:spacing w:before="136"/>
        <w:ind w:left="119" w:right="0" w:firstLine="0"/>
        <w:jc w:val="left"/>
        <w:rPr>
          <w:b/>
          <w:i/>
          <w:sz w:val="22"/>
        </w:rPr>
      </w:pPr>
      <w:bookmarkStart w:name="Item 1. Business" w:id="3"/>
      <w:bookmarkEnd w:id="3"/>
      <w:r>
        <w:rPr/>
      </w:r>
      <w:r>
        <w:rPr>
          <w:b/>
          <w:color w:val="231F20"/>
          <w:sz w:val="22"/>
        </w:rPr>
        <w:t>Item 1.</w:t>
        <w:tab/>
      </w:r>
      <w:r>
        <w:rPr>
          <w:b/>
          <w:i/>
          <w:color w:val="231F20"/>
          <w:sz w:val="22"/>
        </w:rPr>
        <w:t>Business</w:t>
      </w:r>
    </w:p>
    <w:p>
      <w:pPr>
        <w:pStyle w:val="Heading1"/>
        <w:spacing w:before="136"/>
        <w:ind w:left="119"/>
      </w:pPr>
      <w:r>
        <w:rPr>
          <w:color w:val="231F20"/>
        </w:rPr>
        <w:t>Company Overview</w:t>
      </w:r>
    </w:p>
    <w:p>
      <w:pPr>
        <w:pStyle w:val="BodyText"/>
        <w:spacing w:line="247" w:lineRule="auto" w:before="136"/>
        <w:ind w:left="119" w:right="117" w:firstLine="720"/>
        <w:jc w:val="both"/>
      </w:pPr>
      <w:r>
        <w:rPr>
          <w:color w:val="231F20"/>
        </w:rPr>
        <w:t>Southwest Airlines Co. (the “Company”) operates Southwest Airlines (“Southwest”), a major passenger airline that provides scheduled air transportation in the United States and near-international markets. During 2014, the Company also operated AirTran Airways (“AirTran”). AirTran’s final passenger service occurred on December 28, 2014, and the Company reached a major milestone by effectively completing the integration of AirTran into Southwest. In addition, for the 42</w:t>
      </w:r>
      <w:r>
        <w:rPr>
          <w:color w:val="231F20"/>
          <w:position w:val="5"/>
          <w:sz w:val="14"/>
        </w:rPr>
        <w:t>nd </w:t>
      </w:r>
      <w:r>
        <w:rPr>
          <w:color w:val="231F20"/>
        </w:rPr>
        <w:t>consecutive year, the Company was profitable, earning $1.1 billion in net income.</w:t>
      </w:r>
    </w:p>
    <w:p>
      <w:pPr>
        <w:pStyle w:val="BodyText"/>
        <w:spacing w:line="247" w:lineRule="auto" w:before="129"/>
        <w:ind w:left="119" w:right="117" w:firstLine="720"/>
        <w:jc w:val="both"/>
      </w:pPr>
      <w:r>
        <w:rPr>
          <w:color w:val="231F20"/>
        </w:rPr>
        <w:t>Southwest commenced service on June 18, 1971, with three Boeing 737 aircraft serving three Texas cities: Dallas, Houston, and San Antonio. The Company ended 2014 serving 93 destinations in 40 states, the District of Columbia, the Commonwealth of Puerto Rico, and five near-international countries including Mexico (Cancun, Mexico City, and Cabo San Lucas/Los Cabos), Jamaica (Montego Bay), The Bahamas (Nassau), Aruba (Oranjestad), and Dominican Republic (Punta Cana). Southwest’s launch of international service occurred on July 1, 2014, with service to Montego Bay, Nassau, and Oranjestad. The Company also launched service to Cabo San Lucas/Los Cabos and Cancun on August 10, 2014, and to Mexico City and Punta Cana on November 2, 2014. The Company has announced plans to add its first and second destinations in Central America by adding Southwest service to San Jose, Costa Rica beginning in March 2015 and to Belize City, Belize beginning in October 2015, each subject to government approval. The Company has also announced plans to commence Southwest service to Puerto Vallarta, Mexico in June 2015, subject to government  approval. At December 31, 2014, Southwest operated a total of 665 Boeing 737</w:t>
      </w:r>
      <w:r>
        <w:rPr>
          <w:color w:val="231F20"/>
          <w:spacing w:val="-1"/>
        </w:rPr>
        <w:t> </w:t>
      </w:r>
      <w:r>
        <w:rPr>
          <w:color w:val="231F20"/>
        </w:rPr>
        <w:t>aircraft.</w:t>
      </w:r>
    </w:p>
    <w:p>
      <w:pPr>
        <w:pStyle w:val="BodyText"/>
        <w:spacing w:line="247" w:lineRule="auto" w:before="129"/>
        <w:ind w:left="119" w:right="117" w:firstLine="720"/>
        <w:jc w:val="both"/>
      </w:pPr>
      <w:r>
        <w:rPr>
          <w:color w:val="231F20"/>
        </w:rPr>
        <w:t>During 2014, the Company significantly increased Southwest service at New York LaGuardia Airport and Washington Reagan National Airport as a result of the acquisition of slots divested by AMR Corporation, the parent company of American Airlines, Inc., as part of AMR’s merger with US Airways Group, Inc. (a “slot” is the right of an air carrier, pursuant to regulations of the Federal Aviation Administration (“FAA”), to operate a takeoff or landing at a specific time at certain airports). Further, at Dallas Love Field, the Company began serving seven new  nonstop  destinations  on  October 13, 2014, eight new nonstop destinations on November 2, 2014, and two new nonstop destinations on January 6, 2015. These routes were made possible by the repeal of certain federal flight restrictions at Dallas Love Field on October 13, 2014. Additional information regarding these restrictions is discussed in more detail below under “Economic and Operational Regulation - The Wright</w:t>
      </w:r>
      <w:r>
        <w:rPr>
          <w:color w:val="231F20"/>
          <w:spacing w:val="-1"/>
        </w:rPr>
        <w:t> </w:t>
      </w:r>
      <w:r>
        <w:rPr>
          <w:color w:val="231F20"/>
        </w:rPr>
        <w:t>Amendment.”</w:t>
      </w:r>
    </w:p>
    <w:p>
      <w:pPr>
        <w:pStyle w:val="BodyText"/>
        <w:spacing w:line="247" w:lineRule="auto" w:before="129"/>
        <w:ind w:left="119" w:right="117" w:firstLine="720"/>
        <w:jc w:val="both"/>
      </w:pPr>
      <w:r>
        <w:rPr>
          <w:color w:val="231F20"/>
        </w:rPr>
        <w:t>Based on the most recent data available from the U.S. Department of Transportation, as of September 30, 2014, Southwest was the largest domestic air carrier in the United States, as measured by the number of domestic originating passengers</w:t>
      </w:r>
      <w:r>
        <w:rPr>
          <w:color w:val="231F20"/>
          <w:spacing w:val="-2"/>
        </w:rPr>
        <w:t> </w:t>
      </w:r>
      <w:r>
        <w:rPr>
          <w:color w:val="231F20"/>
        </w:rPr>
        <w:t>boarded.</w:t>
      </w:r>
    </w:p>
    <w:p>
      <w:pPr>
        <w:pStyle w:val="Heading1"/>
        <w:spacing w:before="129"/>
        <w:ind w:left="119"/>
      </w:pPr>
      <w:r>
        <w:rPr>
          <w:color w:val="231F20"/>
        </w:rPr>
        <w:t>Industry</w:t>
      </w:r>
    </w:p>
    <w:p>
      <w:pPr>
        <w:pStyle w:val="BodyText"/>
        <w:spacing w:line="247" w:lineRule="auto" w:before="136"/>
        <w:ind w:left="119" w:right="117" w:firstLine="720"/>
        <w:jc w:val="both"/>
      </w:pPr>
      <w:r>
        <w:rPr>
          <w:color w:val="231F20"/>
        </w:rPr>
        <w:t>The airline industry has historically been an extremely volatile industry subject to numerous challenges. Among other things, it has been cyclical, energy intensive, labor intensive, capital intensive, technology intensive, highly regulated, heavily taxed, and extremely competitive. The airline industry has also been particularly susceptible to detrimental events such as acts of terrorism (for example, 9/11), poor weather, and natural disasters. In addition, in recent years the industry was significantly affected by an uncertain economy, high and volatile fuel prices, and government sequestration   and   shutdown.   These   factors   contributed   to   unpredictable   demand   for         </w:t>
      </w:r>
      <w:r>
        <w:rPr>
          <w:color w:val="231F20"/>
          <w:spacing w:val="11"/>
        </w:rPr>
        <w:t> </w:t>
      </w:r>
      <w:r>
        <w:rPr>
          <w:color w:val="231F20"/>
        </w:rPr>
        <w:t>air</w:t>
      </w:r>
    </w:p>
    <w:p>
      <w:pPr>
        <w:spacing w:after="0" w:line="247" w:lineRule="auto"/>
        <w:jc w:val="both"/>
        <w:sectPr>
          <w:footerReference w:type="default" r:id="rId16"/>
          <w:pgSz w:w="11880" w:h="15480"/>
          <w:pgMar w:footer="1240" w:header="0" w:top="1240" w:bottom="1420" w:left="1260" w:right="1260"/>
          <w:pgNumType w:start="1"/>
        </w:sectPr>
      </w:pPr>
    </w:p>
    <w:p>
      <w:pPr>
        <w:pStyle w:val="BodyText"/>
        <w:spacing w:line="247" w:lineRule="auto" w:before="74"/>
        <w:ind w:left="100" w:right="97"/>
      </w:pPr>
      <w:r>
        <w:rPr>
          <w:color w:val="231F20"/>
        </w:rPr>
        <w:t>travel and related cost and pricing challenges. Reflecting the numerous industry challenges, many U.S. airlines ceased operations or reorganized through bankruptcy.</w:t>
      </w:r>
    </w:p>
    <w:p>
      <w:pPr>
        <w:pStyle w:val="BodyText"/>
        <w:spacing w:line="247" w:lineRule="auto" w:before="129"/>
        <w:ind w:left="100" w:right="117" w:firstLine="720"/>
        <w:jc w:val="both"/>
      </w:pPr>
      <w:r>
        <w:rPr>
          <w:color w:val="231F20"/>
        </w:rPr>
        <w:t>Although the U.S. economy has experienced a moderate recovery since emerging from a recession in 2009 and the U.S. airline industry has showed measurable improvement during 2013 and 2014, slow economic growth and lingering economic uncertainty have led to continued industry restraint with respect to overall capacity (number of available seat miles). Although many U.S. air carriers, including Southwest, experienced relatively flat to modest year-over-year increases in  capacity during 2014, overall domestic airline industry capacity in 2014 remained below pre-recession levels. Leaner flight schedules over the past several years, along with industry consolidation, have contributed to improvements in industry load factors (percentage of seats filled by fare-paying passengers)</w:t>
      </w:r>
      <w:r>
        <w:rPr>
          <w:color w:val="231F20"/>
          <w:spacing w:val="28"/>
        </w:rPr>
        <w:t> </w:t>
      </w:r>
      <w:r>
        <w:rPr>
          <w:color w:val="231F20"/>
        </w:rPr>
        <w:t>and</w:t>
      </w:r>
      <w:r>
        <w:rPr>
          <w:color w:val="231F20"/>
          <w:spacing w:val="27"/>
        </w:rPr>
        <w:t> </w:t>
      </w:r>
      <w:r>
        <w:rPr>
          <w:color w:val="231F20"/>
        </w:rPr>
        <w:t>yields</w:t>
      </w:r>
      <w:r>
        <w:rPr>
          <w:color w:val="231F20"/>
          <w:spacing w:val="27"/>
        </w:rPr>
        <w:t> </w:t>
      </w:r>
      <w:r>
        <w:rPr>
          <w:color w:val="231F20"/>
        </w:rPr>
        <w:t>(revenue</w:t>
      </w:r>
      <w:r>
        <w:rPr>
          <w:color w:val="231F20"/>
          <w:spacing w:val="27"/>
        </w:rPr>
        <w:t> </w:t>
      </w:r>
      <w:r>
        <w:rPr>
          <w:color w:val="231F20"/>
        </w:rPr>
        <w:t>production</w:t>
      </w:r>
      <w:r>
        <w:rPr>
          <w:color w:val="231F20"/>
          <w:spacing w:val="25"/>
        </w:rPr>
        <w:t> </w:t>
      </w:r>
      <w:r>
        <w:rPr>
          <w:color w:val="231F20"/>
        </w:rPr>
        <w:t>per</w:t>
      </w:r>
      <w:r>
        <w:rPr>
          <w:color w:val="231F20"/>
          <w:spacing w:val="26"/>
        </w:rPr>
        <w:t> </w:t>
      </w:r>
      <w:r>
        <w:rPr>
          <w:color w:val="231F20"/>
        </w:rPr>
        <w:t>passenger</w:t>
      </w:r>
      <w:r>
        <w:rPr>
          <w:color w:val="231F20"/>
          <w:spacing w:val="27"/>
        </w:rPr>
        <w:t> </w:t>
      </w:r>
      <w:r>
        <w:rPr>
          <w:color w:val="231F20"/>
        </w:rPr>
        <w:t>mile).</w:t>
      </w:r>
      <w:r>
        <w:rPr>
          <w:color w:val="231F20"/>
          <w:spacing w:val="25"/>
        </w:rPr>
        <w:t> </w:t>
      </w:r>
      <w:r>
        <w:rPr>
          <w:color w:val="231F20"/>
        </w:rPr>
        <w:t>With</w:t>
      </w:r>
      <w:r>
        <w:rPr>
          <w:color w:val="231F20"/>
          <w:spacing w:val="26"/>
        </w:rPr>
        <w:t> </w:t>
      </w:r>
      <w:r>
        <w:rPr>
          <w:color w:val="231F20"/>
        </w:rPr>
        <w:t>the</w:t>
      </w:r>
      <w:r>
        <w:rPr>
          <w:color w:val="231F20"/>
          <w:spacing w:val="26"/>
        </w:rPr>
        <w:t> </w:t>
      </w:r>
      <w:r>
        <w:rPr>
          <w:color w:val="231F20"/>
        </w:rPr>
        <w:t>continued</w:t>
      </w:r>
      <w:r>
        <w:rPr>
          <w:color w:val="231F20"/>
          <w:spacing w:val="26"/>
        </w:rPr>
        <w:t> </w:t>
      </w:r>
      <w:r>
        <w:rPr>
          <w:color w:val="231F20"/>
        </w:rPr>
        <w:t>recovery</w:t>
      </w:r>
      <w:r>
        <w:rPr>
          <w:color w:val="231F20"/>
          <w:spacing w:val="26"/>
        </w:rPr>
        <w:t> </w:t>
      </w:r>
      <w:r>
        <w:rPr>
          <w:color w:val="231F20"/>
        </w:rPr>
        <w:t>of</w:t>
      </w:r>
      <w:r>
        <w:rPr>
          <w:color w:val="231F20"/>
          <w:spacing w:val="25"/>
        </w:rPr>
        <w:t> </w:t>
      </w:r>
      <w:r>
        <w:rPr>
          <w:color w:val="231F20"/>
        </w:rPr>
        <w:t>the</w:t>
      </w:r>
    </w:p>
    <w:p>
      <w:pPr>
        <w:pStyle w:val="ListParagraph"/>
        <w:numPr>
          <w:ilvl w:val="1"/>
          <w:numId w:val="1"/>
        </w:numPr>
        <w:tabs>
          <w:tab w:pos="546" w:val="left" w:leader="none"/>
        </w:tabs>
        <w:spacing w:line="253" w:lineRule="exact" w:before="0" w:after="0"/>
        <w:ind w:left="546" w:right="0" w:hanging="446"/>
        <w:jc w:val="left"/>
        <w:rPr>
          <w:sz w:val="22"/>
        </w:rPr>
      </w:pPr>
      <w:r>
        <w:rPr>
          <w:color w:val="231F20"/>
          <w:sz w:val="22"/>
        </w:rPr>
        <w:t>economy, the airline industry has modestly increased scheduled domestic</w:t>
      </w:r>
      <w:r>
        <w:rPr>
          <w:color w:val="231F20"/>
          <w:spacing w:val="1"/>
          <w:sz w:val="22"/>
        </w:rPr>
        <w:t> </w:t>
      </w:r>
      <w:r>
        <w:rPr>
          <w:color w:val="231F20"/>
          <w:sz w:val="22"/>
        </w:rPr>
        <w:t>capacity.</w:t>
      </w:r>
    </w:p>
    <w:p>
      <w:pPr>
        <w:pStyle w:val="Heading1"/>
        <w:spacing w:line="369" w:lineRule="auto" w:before="137"/>
        <w:ind w:left="320" w:right="7197" w:hanging="220"/>
      </w:pPr>
      <w:r>
        <w:rPr>
          <w:color w:val="231F20"/>
        </w:rPr>
        <w:t>Company Operations Route Structure</w:t>
      </w:r>
    </w:p>
    <w:p>
      <w:pPr>
        <w:pStyle w:val="Heading2"/>
        <w:spacing w:before="5"/>
        <w:ind w:left="160" w:right="7464"/>
        <w:jc w:val="center"/>
        <w:rPr>
          <w:i/>
        </w:rPr>
      </w:pPr>
      <w:r>
        <w:rPr>
          <w:i/>
          <w:color w:val="231F20"/>
        </w:rPr>
        <w:t>General</w:t>
      </w:r>
    </w:p>
    <w:p>
      <w:pPr>
        <w:pStyle w:val="BodyText"/>
        <w:spacing w:line="247" w:lineRule="auto" w:before="136"/>
        <w:ind w:left="100" w:right="117" w:firstLine="720"/>
        <w:jc w:val="both"/>
      </w:pPr>
      <w:r>
        <w:rPr>
          <w:color w:val="231F20"/>
        </w:rPr>
        <w:t>Southwest principally provides point-to-point service, rather than the “hub-and-spoke” service provided by most major U.S. airlines. The hub-and-spoke system concentrates most of an airline’s operations at a limited number of central hub cities and serves most other destinations in the system by providing one-stop or connecting service through a hub. By not concentrating operations through one or more central transfer points, Southwest’s point-to-point route structure has allowed for more direct nonstop routing than hub-and-spoke service. For 2014, approximately 73 percent of the Company’s Customers flew nonstop, and the average aircraft trip stage length was 721 miles, with an average duration of approximately 2.0 hours. For 2013, approximately 72 percent of the Company’s Customers flew nonstop, and average aircraft trip stage length was 703 miles, with an average duration of approximately 2.0 hours.</w:t>
      </w:r>
    </w:p>
    <w:p>
      <w:pPr>
        <w:pStyle w:val="BodyText"/>
        <w:spacing w:line="247" w:lineRule="auto" w:before="129"/>
        <w:ind w:left="100" w:right="117" w:firstLine="720"/>
        <w:jc w:val="both"/>
      </w:pPr>
      <w:r>
        <w:rPr>
          <w:color w:val="231F20"/>
        </w:rPr>
        <w:t>Southwest’s point-to-point service has also enabled it to provide its markets with frequent, conveniently timed flights and low fares. For example, Southwest currently offers 21 weekday roundtrips from Dallas Love Field to Houston Hobby, nine weekday roundtrips from Washington Reagan to Chicago Midway, 11 weekday roundtrips from Phoenix to Las Vegas, and 14 weekday roundtrips from Los Angeles International to Oakland. Southwest complements these high-frequency routes with long-haul nonstop service between markets such as Los Angeles and Nashville, Las Vegas and Orlando, San Diego and Baltimore, and Houston and New York LaGuardia. As of December 31, 2014, Southwest served 581 nonstop city pairs.</w:t>
      </w:r>
    </w:p>
    <w:p>
      <w:pPr>
        <w:pStyle w:val="Heading2"/>
        <w:spacing w:before="129"/>
        <w:ind w:left="819"/>
        <w:rPr>
          <w:i/>
        </w:rPr>
      </w:pPr>
      <w:r>
        <w:rPr>
          <w:i/>
          <w:color w:val="231F20"/>
        </w:rPr>
        <w:t>International Service</w:t>
      </w:r>
    </w:p>
    <w:p>
      <w:pPr>
        <w:pStyle w:val="BodyText"/>
        <w:spacing w:line="247" w:lineRule="auto" w:before="136"/>
        <w:ind w:left="100" w:right="117" w:firstLine="720"/>
        <w:jc w:val="both"/>
      </w:pPr>
      <w:r>
        <w:rPr>
          <w:color w:val="231F20"/>
        </w:rPr>
        <w:t>In 2014, the Company fully converted AirTran international service into Southwest service. The Company began selling its first international itineraries to be flown by Southwest aircraft in January 2014, and Southwest’s launch of international service occurred on July 1, 2014, with service to Jamaica (Montego Bay), The Bahamas (Nassau), and Aruba (Oranjestad). Southwest commenced international service to Mexico (Cabo San Lucas/Los Cabos and Cancun) on August 10, 2014, and to Mexico City and Dominican Republic (Punta Cana) on November 2, 2014. The Company has announced plans to add its first and second destinations in Central America by commencing Southwest service to San Jose, Costa Rica in March 2015 and to Belize City, Belize in October 2015, each subject to government approval. The Company has also announced plans to commence Southwest service to Puerto Vallarta, Mexico in June 2015, subject to government approval.</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As part of the Company’s near-international service efforts, the Company has agreed with the City of Houston (“City”) to expand the City’s existing William P. Hobby airport facility. Pursuant to the agreement, the Company and the City have entered into an Airport Use and Lease Agreement to control the execution of this expansion and its financial terms. This project provides for a new five- gate international terminal with international passenger processing facilities, expansion of the existing security checkpoint, and upgrades to the Southwest ticketing area. Construction began during third quarter 2013 and is estimated to be completed during the second half of 2015. In December 2014, the Company announced plans to commence Southwest service at the new Houston Hobby terminal facility in October 2015 to four destinations in Mexico (Cancun, Cabo San Lucas/Los Cabos, Puerto Vallarta, and Mexico City), to Belize City, Belize, and to San Jose, Costa Rica, each subject to government approval. Additional information regarding this project is provided below under “Management’s Discussion and Analysis of Financial Condition and Results of Operations” and in Note 4 to the Consolidated Financial</w:t>
      </w:r>
      <w:r>
        <w:rPr>
          <w:color w:val="231F20"/>
          <w:spacing w:val="-1"/>
        </w:rPr>
        <w:t> </w:t>
      </w:r>
      <w:r>
        <w:rPr>
          <w:color w:val="231F20"/>
        </w:rPr>
        <w:t>Statements.</w:t>
      </w:r>
    </w:p>
    <w:p>
      <w:pPr>
        <w:pStyle w:val="BodyText"/>
        <w:spacing w:line="247" w:lineRule="auto" w:before="155"/>
        <w:ind w:left="100" w:right="117" w:firstLine="720"/>
        <w:jc w:val="both"/>
      </w:pPr>
      <w:r>
        <w:rPr>
          <w:color w:val="231F20"/>
        </w:rPr>
        <w:t>The Company has also agreed with Broward County, Florida, which owns and operates Fort Lauderdale-Hollywood International Airport, to oversee and manage the design and construction of the airport’s Terminal 1 Modernization Project. In addition to significant improvements to the existing Terminal 1, the project includes the design and construction of a new five-gate Concourse A with an international processing facility. Construction is expected to begin in mid to late 2015. Additional information regarding this project is provided below under “Management’s Discussion and Analysis of Financial Condition and Results of Operations” and in Note 4 to the Consolidated Financial Statements.</w:t>
      </w:r>
    </w:p>
    <w:p>
      <w:pPr>
        <w:pStyle w:val="BodyText"/>
        <w:spacing w:line="247" w:lineRule="auto" w:before="155"/>
        <w:ind w:left="100" w:right="117" w:firstLine="720"/>
        <w:jc w:val="both"/>
      </w:pPr>
      <w:r>
        <w:rPr>
          <w:color w:val="231F20"/>
        </w:rPr>
        <w:t>The Company’s 2014 operating revenues attributable to foreign operations (including those attributable to both Southwest and AirTran) were approximately $226 million. The remainder of the Company’s 2014 operating revenues, approximately $18.4 billion, were attributable to domestic operations. The Company’s 2013 operating revenues attributable to foreign operations (all of which were attributable to AirTran) were approximately $212 million. The remainder of the Company’s 2013 operating revenues, approximately $17.5 billion, were attributable to domestic operations. The Company’s tangible assets primarily consist of flight equipment, the majority of which are interchangeable and are deployed systemwide, with no individual aircraft dedicated to any specific route or region; therefore, the Company’s assets are not allocated to a geographic area. For a  discussion of the risks related to the Company’s foreign operations, see “Risk Factors - The  Company’s future results will suffer if it does not effectively manage its expanded operations,  including its international</w:t>
      </w:r>
      <w:r>
        <w:rPr>
          <w:color w:val="231F20"/>
          <w:spacing w:val="-2"/>
        </w:rPr>
        <w:t> </w:t>
      </w:r>
      <w:r>
        <w:rPr>
          <w:color w:val="231F20"/>
        </w:rPr>
        <w:t>operations.”</w:t>
      </w:r>
    </w:p>
    <w:p>
      <w:pPr>
        <w:pStyle w:val="Heading1"/>
        <w:spacing w:before="155"/>
        <w:ind w:left="160" w:right="7190"/>
        <w:jc w:val="center"/>
      </w:pPr>
      <w:r>
        <w:rPr>
          <w:color w:val="231F20"/>
        </w:rPr>
        <w:t>Cost Structure</w:t>
      </w:r>
    </w:p>
    <w:p>
      <w:pPr>
        <w:pStyle w:val="Heading2"/>
        <w:spacing w:before="163"/>
        <w:ind w:left="160" w:right="7124"/>
        <w:jc w:val="center"/>
        <w:rPr>
          <w:i/>
        </w:rPr>
      </w:pPr>
      <w:r>
        <w:rPr>
          <w:i/>
          <w:color w:val="231F20"/>
        </w:rPr>
        <w:t>General</w:t>
      </w:r>
    </w:p>
    <w:p>
      <w:pPr>
        <w:pStyle w:val="BodyText"/>
        <w:spacing w:line="247" w:lineRule="auto" w:before="163"/>
        <w:ind w:left="100" w:right="117" w:firstLine="720"/>
        <w:jc w:val="both"/>
      </w:pPr>
      <w:r>
        <w:rPr>
          <w:color w:val="231F20"/>
        </w:rPr>
        <w:t>A key component of the Company’s business strategy has historically been its low-cost structure, which was designed to allow Southwest to profitably charge low fares. Adjusted for stage length, Southwest has lower unit costs, on average, than the vast majority of major domestic carriers. The Company’s low-cost structure has historically been facilitated by Southwest’s use of a single aircraft type, the Boeing 737, an operationally efficient point-to-point route structure, and highly productive Employees. Southwest’s use of a single aircraft type has allowed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w:t>
      </w:r>
      <w:r>
        <w:rPr>
          <w:color w:val="231F20"/>
          <w:spacing w:val="-1"/>
        </w:rPr>
        <w:t> </w:t>
      </w:r>
      <w:r>
        <w:rPr>
          <w:color w:val="231F20"/>
        </w:rPr>
        <w:t>are</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typically less congested than other airlines’ hub airports, which has contributed to Southwest’s ability  to achieve high asset utilization because aircraft can be scheduled to minimize the amount of time they are on the ground. This, in turn, has reduced the number of aircraft and gate facilities that would otherwise be required and allows for high Employee productivity (headcount per</w:t>
      </w:r>
      <w:r>
        <w:rPr>
          <w:color w:val="231F20"/>
          <w:spacing w:val="-5"/>
        </w:rPr>
        <w:t> </w:t>
      </w:r>
      <w:r>
        <w:rPr>
          <w:color w:val="231F20"/>
        </w:rPr>
        <w:t>aircraft).</w:t>
      </w:r>
    </w:p>
    <w:p>
      <w:pPr>
        <w:pStyle w:val="BodyText"/>
        <w:spacing w:line="247" w:lineRule="auto" w:before="159"/>
        <w:ind w:left="120" w:right="117" w:firstLine="720"/>
        <w:jc w:val="both"/>
      </w:pPr>
      <w:r>
        <w:rPr>
          <w:color w:val="231F20"/>
        </w:rPr>
        <w:t>The Company believes that its fleet modernization initiatives, as well as the continued addition of</w:t>
      </w:r>
      <w:r>
        <w:rPr>
          <w:color w:val="231F20"/>
          <w:spacing w:val="-6"/>
        </w:rPr>
        <w:t> </w:t>
      </w:r>
      <w:r>
        <w:rPr>
          <w:color w:val="231F20"/>
        </w:rPr>
        <w:t>the</w:t>
      </w:r>
      <w:r>
        <w:rPr>
          <w:color w:val="231F20"/>
          <w:spacing w:val="-6"/>
        </w:rPr>
        <w:t> </w:t>
      </w:r>
      <w:r>
        <w:rPr>
          <w:color w:val="231F20"/>
        </w:rPr>
        <w:t>larger</w:t>
      </w:r>
      <w:r>
        <w:rPr>
          <w:color w:val="231F20"/>
          <w:spacing w:val="-7"/>
        </w:rPr>
        <w:t> </w:t>
      </w:r>
      <w:r>
        <w:rPr>
          <w:color w:val="231F20"/>
        </w:rPr>
        <w:t>Boeing</w:t>
      </w:r>
      <w:r>
        <w:rPr>
          <w:color w:val="231F20"/>
          <w:spacing w:val="-6"/>
        </w:rPr>
        <w:t> </w:t>
      </w:r>
      <w:r>
        <w:rPr>
          <w:color w:val="231F20"/>
        </w:rPr>
        <w:t>737-800</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Southwest</w:t>
      </w:r>
      <w:r>
        <w:rPr>
          <w:color w:val="231F20"/>
          <w:spacing w:val="-7"/>
        </w:rPr>
        <w:t> </w:t>
      </w:r>
      <w:r>
        <w:rPr>
          <w:color w:val="231F20"/>
        </w:rPr>
        <w:t>fleet,</w:t>
      </w:r>
      <w:r>
        <w:rPr>
          <w:color w:val="231F20"/>
          <w:spacing w:val="-6"/>
        </w:rPr>
        <w:t> </w:t>
      </w:r>
      <w:r>
        <w:rPr>
          <w:color w:val="231F20"/>
        </w:rPr>
        <w:t>will</w:t>
      </w:r>
      <w:r>
        <w:rPr>
          <w:color w:val="231F20"/>
          <w:spacing w:val="-7"/>
        </w:rPr>
        <w:t> </w:t>
      </w:r>
      <w:r>
        <w:rPr>
          <w:color w:val="231F20"/>
        </w:rPr>
        <w:t>have</w:t>
      </w:r>
      <w:r>
        <w:rPr>
          <w:color w:val="231F20"/>
          <w:spacing w:val="-6"/>
        </w:rPr>
        <w:t> </w:t>
      </w:r>
      <w:r>
        <w:rPr>
          <w:color w:val="231F20"/>
        </w:rPr>
        <w:t>a</w:t>
      </w:r>
      <w:r>
        <w:rPr>
          <w:color w:val="231F20"/>
          <w:spacing w:val="-6"/>
        </w:rPr>
        <w:t> </w:t>
      </w:r>
      <w:r>
        <w:rPr>
          <w:color w:val="231F20"/>
        </w:rPr>
        <w:t>favorable</w:t>
      </w:r>
      <w:r>
        <w:rPr>
          <w:color w:val="231F20"/>
          <w:spacing w:val="-6"/>
        </w:rPr>
        <w:t> </w:t>
      </w:r>
      <w:r>
        <w:rPr>
          <w:color w:val="231F20"/>
        </w:rPr>
        <w:t>impact</w:t>
      </w:r>
      <w:r>
        <w:rPr>
          <w:color w:val="231F20"/>
          <w:spacing w:val="-7"/>
        </w:rPr>
        <w:t> </w:t>
      </w:r>
      <w:r>
        <w:rPr>
          <w:color w:val="231F20"/>
        </w:rPr>
        <w:t>on</w:t>
      </w:r>
      <w:r>
        <w:rPr>
          <w:color w:val="231F20"/>
          <w:spacing w:val="-6"/>
        </w:rPr>
        <w:t> </w:t>
      </w:r>
      <w:r>
        <w:rPr>
          <w:color w:val="231F20"/>
        </w:rPr>
        <w:t>the</w:t>
      </w:r>
      <w:r>
        <w:rPr>
          <w:color w:val="231F20"/>
          <w:spacing w:val="-6"/>
        </w:rPr>
        <w:t> </w:t>
      </w:r>
      <w:r>
        <w:rPr>
          <w:color w:val="231F20"/>
        </w:rPr>
        <w:t>Company’s</w:t>
      </w:r>
      <w:r>
        <w:rPr>
          <w:color w:val="231F20"/>
          <w:spacing w:val="-6"/>
        </w:rPr>
        <w:t> </w:t>
      </w:r>
      <w:r>
        <w:rPr>
          <w:color w:val="231F20"/>
        </w:rPr>
        <w:t>unit costs. These strategic initiatives are discussed in more detail below under “Operating Strategies </w:t>
      </w:r>
      <w:r>
        <w:rPr>
          <w:color w:val="231F20"/>
          <w:spacing w:val="-2"/>
        </w:rPr>
        <w:t>and </w:t>
      </w:r>
      <w:r>
        <w:rPr>
          <w:color w:val="231F20"/>
        </w:rPr>
        <w:t>Initiatives</w:t>
      </w:r>
      <w:r>
        <w:rPr>
          <w:color w:val="231F20"/>
          <w:spacing w:val="-14"/>
        </w:rPr>
        <w:t> </w:t>
      </w:r>
      <w:r>
        <w:rPr>
          <w:color w:val="231F20"/>
        </w:rPr>
        <w:t>-</w:t>
      </w:r>
      <w:r>
        <w:rPr>
          <w:color w:val="231F20"/>
          <w:spacing w:val="-14"/>
        </w:rPr>
        <w:t> </w:t>
      </w:r>
      <w:r>
        <w:rPr>
          <w:color w:val="231F20"/>
        </w:rPr>
        <w:t>Fleet</w:t>
      </w:r>
      <w:r>
        <w:rPr>
          <w:color w:val="231F20"/>
          <w:spacing w:val="-2"/>
        </w:rPr>
        <w:t> </w:t>
      </w:r>
      <w:r>
        <w:rPr>
          <w:color w:val="231F20"/>
        </w:rPr>
        <w:t>Modernization”</w:t>
      </w:r>
      <w:r>
        <w:rPr>
          <w:color w:val="231F20"/>
          <w:spacing w:val="-1"/>
        </w:rPr>
        <w:t> </w:t>
      </w:r>
      <w:r>
        <w:rPr>
          <w:color w:val="231F20"/>
        </w:rPr>
        <w:t>and</w:t>
      </w:r>
      <w:r>
        <w:rPr>
          <w:color w:val="231F20"/>
          <w:spacing w:val="-1"/>
        </w:rPr>
        <w:t> </w:t>
      </w:r>
      <w:r>
        <w:rPr>
          <w:color w:val="231F20"/>
        </w:rPr>
        <w:t>“Operating</w:t>
      </w:r>
      <w:r>
        <w:rPr>
          <w:color w:val="231F20"/>
          <w:spacing w:val="-1"/>
        </w:rPr>
        <w:t> </w:t>
      </w:r>
      <w:r>
        <w:rPr>
          <w:color w:val="231F20"/>
        </w:rPr>
        <w:t>Strategies</w:t>
      </w:r>
      <w:r>
        <w:rPr>
          <w:color w:val="231F20"/>
          <w:spacing w:val="-1"/>
        </w:rPr>
        <w:t> </w:t>
      </w:r>
      <w:r>
        <w:rPr>
          <w:color w:val="231F20"/>
        </w:rPr>
        <w:t>and</w:t>
      </w:r>
      <w:r>
        <w:rPr>
          <w:color w:val="231F20"/>
          <w:spacing w:val="-2"/>
        </w:rPr>
        <w:t> </w:t>
      </w:r>
      <w:r>
        <w:rPr>
          <w:color w:val="231F20"/>
        </w:rPr>
        <w:t>Initiatives</w:t>
      </w:r>
      <w:r>
        <w:rPr>
          <w:color w:val="231F20"/>
          <w:spacing w:val="-14"/>
        </w:rPr>
        <w:t> </w:t>
      </w:r>
      <w:r>
        <w:rPr>
          <w:color w:val="231F20"/>
        </w:rPr>
        <w:t>-</w:t>
      </w:r>
      <w:r>
        <w:rPr>
          <w:color w:val="231F20"/>
          <w:spacing w:val="-14"/>
        </w:rPr>
        <w:t> </w:t>
      </w:r>
      <w:r>
        <w:rPr>
          <w:color w:val="231F20"/>
        </w:rPr>
        <w:t>Continued</w:t>
      </w:r>
      <w:r>
        <w:rPr>
          <w:color w:val="231F20"/>
          <w:spacing w:val="-2"/>
        </w:rPr>
        <w:t> </w:t>
      </w:r>
      <w:r>
        <w:rPr>
          <w:color w:val="231F20"/>
        </w:rPr>
        <w:t>Incorporation</w:t>
      </w:r>
      <w:r>
        <w:rPr>
          <w:color w:val="231F20"/>
          <w:spacing w:val="-2"/>
        </w:rPr>
        <w:t> </w:t>
      </w:r>
      <w:r>
        <w:rPr>
          <w:color w:val="231F20"/>
        </w:rPr>
        <w:t>of the</w:t>
      </w:r>
      <w:r>
        <w:rPr>
          <w:color w:val="231F20"/>
          <w:spacing w:val="-13"/>
        </w:rPr>
        <w:t> </w:t>
      </w:r>
      <w:r>
        <w:rPr>
          <w:color w:val="231F20"/>
        </w:rPr>
        <w:t>Larger</w:t>
      </w:r>
      <w:r>
        <w:rPr>
          <w:color w:val="231F20"/>
          <w:spacing w:val="-14"/>
        </w:rPr>
        <w:t> </w:t>
      </w:r>
      <w:r>
        <w:rPr>
          <w:color w:val="231F20"/>
        </w:rPr>
        <w:t>Boeing</w:t>
      </w:r>
      <w:r>
        <w:rPr>
          <w:color w:val="231F20"/>
          <w:spacing w:val="-13"/>
        </w:rPr>
        <w:t> </w:t>
      </w:r>
      <w:r>
        <w:rPr>
          <w:color w:val="231F20"/>
        </w:rPr>
        <w:t>737-800</w:t>
      </w:r>
      <w:r>
        <w:rPr>
          <w:color w:val="231F20"/>
          <w:spacing w:val="-13"/>
        </w:rPr>
        <w:t> </w:t>
      </w:r>
      <w:r>
        <w:rPr>
          <w:color w:val="231F20"/>
        </w:rPr>
        <w:t>into</w:t>
      </w:r>
      <w:r>
        <w:rPr>
          <w:color w:val="231F20"/>
          <w:spacing w:val="-13"/>
        </w:rPr>
        <w:t> </w:t>
      </w:r>
      <w:r>
        <w:rPr>
          <w:color w:val="231F20"/>
        </w:rPr>
        <w:t>the</w:t>
      </w:r>
      <w:r>
        <w:rPr>
          <w:color w:val="231F20"/>
          <w:spacing w:val="-13"/>
        </w:rPr>
        <w:t> </w:t>
      </w:r>
      <w:r>
        <w:rPr>
          <w:color w:val="231F20"/>
        </w:rPr>
        <w:t>Southwest</w:t>
      </w:r>
      <w:r>
        <w:rPr>
          <w:color w:val="231F20"/>
          <w:spacing w:val="-14"/>
        </w:rPr>
        <w:t> </w:t>
      </w:r>
      <w:r>
        <w:rPr>
          <w:color w:val="231F20"/>
          <w:spacing w:val="-3"/>
        </w:rPr>
        <w:t>Fleet.”</w:t>
      </w:r>
    </w:p>
    <w:p>
      <w:pPr>
        <w:pStyle w:val="Heading2"/>
        <w:spacing w:before="159"/>
        <w:ind w:left="839"/>
        <w:rPr>
          <w:i/>
        </w:rPr>
      </w:pPr>
      <w:r>
        <w:rPr>
          <w:i/>
          <w:color w:val="231F20"/>
        </w:rPr>
        <w:t>Impact of Fuel Costs on the Company’s Low-Cost Structure</w:t>
      </w:r>
    </w:p>
    <w:p>
      <w:pPr>
        <w:pStyle w:val="BodyText"/>
        <w:spacing w:line="247" w:lineRule="auto" w:before="166"/>
        <w:ind w:left="120" w:right="118" w:firstLine="720"/>
        <w:jc w:val="both"/>
      </w:pPr>
      <w:r>
        <w:rPr>
          <w:color w:val="231F20"/>
        </w:rPr>
        <w:t>Although 2014 fuel prices were lower than levels experienced in 2013, and dropped significantly late in 2014, Fuel and oil expense remains one of the Company’s largest operating costs. The table below shows the Company’s average cost of jet fuel and oil over the past twelve years and during each quarter of 2014.</w:t>
      </w:r>
    </w:p>
    <w:p>
      <w:pPr>
        <w:spacing w:after="0" w:line="247" w:lineRule="auto"/>
        <w:jc w:val="both"/>
        <w:sectPr>
          <w:pgSz w:w="11880" w:h="15480"/>
          <w:pgMar w:header="0" w:footer="1240" w:top="1240" w:bottom="1420" w:left="1260" w:right="1260"/>
        </w:sectPr>
      </w:pPr>
    </w:p>
    <w:p>
      <w:pPr>
        <w:pStyle w:val="BodyText"/>
        <w:spacing w:before="7"/>
        <w:rPr>
          <w:sz w:val="27"/>
        </w:rPr>
      </w:pPr>
    </w:p>
    <w:p>
      <w:pPr>
        <w:spacing w:before="0"/>
        <w:ind w:left="0" w:right="0" w:firstLine="0"/>
        <w:jc w:val="right"/>
        <w:rPr>
          <w:b/>
          <w:sz w:val="20"/>
        </w:rPr>
      </w:pPr>
      <w:r>
        <w:rPr>
          <w:b/>
          <w:color w:val="231F20"/>
          <w:w w:val="95"/>
          <w:sz w:val="20"/>
        </w:rPr>
        <w:t>Cost</w:t>
      </w:r>
    </w:p>
    <w:p>
      <w:pPr>
        <w:spacing w:line="200" w:lineRule="exact" w:before="144"/>
        <w:ind w:left="896" w:right="-19" w:firstLine="14"/>
        <w:jc w:val="left"/>
        <w:rPr>
          <w:b/>
          <w:sz w:val="20"/>
        </w:rPr>
      </w:pPr>
      <w:r>
        <w:rPr/>
        <w:br w:type="column"/>
      </w:r>
      <w:r>
        <w:rPr>
          <w:b/>
          <w:color w:val="231F20"/>
          <w:sz w:val="20"/>
        </w:rPr>
        <w:t>Average Cost Per</w:t>
      </w:r>
    </w:p>
    <w:p>
      <w:pPr>
        <w:spacing w:line="200" w:lineRule="exact" w:before="144"/>
        <w:ind w:left="651" w:right="219" w:hanging="141"/>
        <w:jc w:val="left"/>
        <w:rPr>
          <w:b/>
          <w:sz w:val="20"/>
        </w:rPr>
      </w:pPr>
      <w:r>
        <w:rPr/>
        <w:br w:type="column"/>
      </w:r>
      <w:r>
        <w:rPr>
          <w:b/>
          <w:color w:val="231F20"/>
          <w:sz w:val="20"/>
        </w:rPr>
        <w:t>Percentage of Operating</w:t>
      </w:r>
    </w:p>
    <w:p>
      <w:pPr>
        <w:spacing w:after="0" w:line="200" w:lineRule="exact"/>
        <w:jc w:val="left"/>
        <w:rPr>
          <w:sz w:val="20"/>
        </w:rPr>
        <w:sectPr>
          <w:type w:val="continuous"/>
          <w:pgSz w:w="11880" w:h="15480"/>
          <w:pgMar w:top="1260" w:bottom="280" w:left="1260" w:right="1260"/>
          <w:cols w:num="3" w:equalWidth="0">
            <w:col w:w="5734" w:space="40"/>
            <w:col w:w="1636" w:space="40"/>
            <w:col w:w="1910"/>
          </w:cols>
        </w:sectPr>
      </w:pPr>
    </w:p>
    <w:p>
      <w:pPr>
        <w:pStyle w:val="BodyText"/>
        <w:spacing w:before="9"/>
        <w:rPr>
          <w:b/>
          <w:sz w:val="18"/>
        </w:rPr>
      </w:pPr>
    </w:p>
    <w:p>
      <w:pPr>
        <w:pStyle w:val="BodyText"/>
        <w:spacing w:line="20" w:lineRule="exact"/>
        <w:ind w:left="110"/>
        <w:rPr>
          <w:sz w:val="2"/>
        </w:rPr>
      </w:pPr>
      <w:r>
        <w:rPr>
          <w:sz w:val="2"/>
        </w:rPr>
        <w:pict>
          <v:group style="width:232pt;height:1pt;mso-position-horizontal-relative:char;mso-position-vertical-relative:line" coordorigin="0,0" coordsize="4640,20">
            <v:line style="position:absolute" from="10,10" to="463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BodyText"/>
        <w:spacing w:line="247" w:lineRule="auto" w:before="93"/>
        <w:ind w:left="120" w:right="117" w:firstLine="720"/>
        <w:jc w:val="both"/>
      </w:pPr>
      <w:r>
        <w:rPr/>
        <w:pict>
          <v:shape style="position:absolute;margin-left:69pt;margin-top:-243.380463pt;width:456pt;height:236.5pt;mso-position-horizontal-relative:page;mso-position-vertical-relative:paragraph;z-index:12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20"/>
                    <w:gridCol w:w="100"/>
                    <w:gridCol w:w="1450"/>
                    <w:gridCol w:w="1450"/>
                    <w:gridCol w:w="100"/>
                    <w:gridCol w:w="1400"/>
                  </w:tblGrid>
                  <w:tr>
                    <w:trPr>
                      <w:trHeight w:val="256" w:hRule="exact"/>
                    </w:trPr>
                    <w:tc>
                      <w:tcPr>
                        <w:tcW w:w="4620" w:type="dxa"/>
                      </w:tcPr>
                      <w:p>
                        <w:pPr>
                          <w:pStyle w:val="TableParagraph"/>
                          <w:spacing w:line="229" w:lineRule="exact" w:before="0"/>
                          <w:ind w:left="60"/>
                          <w:rPr>
                            <w:b/>
                            <w:sz w:val="20"/>
                          </w:rPr>
                        </w:pPr>
                        <w:r>
                          <w:rPr>
                            <w:b/>
                            <w:color w:val="231F20"/>
                            <w:sz w:val="20"/>
                          </w:rPr>
                          <w:t>Year</w:t>
                        </w:r>
                      </w:p>
                    </w:tc>
                    <w:tc>
                      <w:tcPr>
                        <w:tcW w:w="100" w:type="dxa"/>
                      </w:tcPr>
                      <w:p>
                        <w:pPr/>
                      </w:p>
                    </w:tc>
                    <w:tc>
                      <w:tcPr>
                        <w:tcW w:w="1450" w:type="dxa"/>
                        <w:tcBorders>
                          <w:bottom w:val="single" w:sz="8" w:space="0" w:color="231F20"/>
                        </w:tcBorders>
                      </w:tcPr>
                      <w:p>
                        <w:pPr>
                          <w:pStyle w:val="TableParagraph"/>
                          <w:spacing w:line="229" w:lineRule="exact" w:before="0"/>
                          <w:ind w:left="49" w:right="99"/>
                          <w:jc w:val="center"/>
                          <w:rPr>
                            <w:b/>
                            <w:sz w:val="20"/>
                          </w:rPr>
                        </w:pPr>
                        <w:r>
                          <w:rPr>
                            <w:b/>
                            <w:color w:val="231F20"/>
                            <w:sz w:val="20"/>
                          </w:rPr>
                          <w:t>(Millions)</w:t>
                        </w:r>
                      </w:p>
                    </w:tc>
                    <w:tc>
                      <w:tcPr>
                        <w:tcW w:w="1450" w:type="dxa"/>
                        <w:tcBorders>
                          <w:bottom w:val="single" w:sz="8" w:space="0" w:color="231F20"/>
                        </w:tcBorders>
                      </w:tcPr>
                      <w:p>
                        <w:pPr>
                          <w:pStyle w:val="TableParagraph"/>
                          <w:spacing w:line="229" w:lineRule="exact" w:before="0"/>
                          <w:ind w:left="49" w:right="2"/>
                          <w:jc w:val="center"/>
                          <w:rPr>
                            <w:b/>
                            <w:sz w:val="20"/>
                          </w:rPr>
                        </w:pPr>
                        <w:r>
                          <w:rPr>
                            <w:b/>
                            <w:color w:val="231F20"/>
                            <w:sz w:val="20"/>
                          </w:rPr>
                          <w:t>Gallon</w:t>
                        </w:r>
                      </w:p>
                    </w:tc>
                    <w:tc>
                      <w:tcPr>
                        <w:tcW w:w="100" w:type="dxa"/>
                      </w:tcPr>
                      <w:p>
                        <w:pPr/>
                      </w:p>
                    </w:tc>
                    <w:tc>
                      <w:tcPr>
                        <w:tcW w:w="1400" w:type="dxa"/>
                        <w:tcBorders>
                          <w:bottom w:val="single" w:sz="8" w:space="0" w:color="231F20"/>
                        </w:tcBorders>
                      </w:tcPr>
                      <w:p>
                        <w:pPr>
                          <w:pStyle w:val="TableParagraph"/>
                          <w:spacing w:line="229" w:lineRule="exact" w:before="0"/>
                          <w:ind w:left="305"/>
                          <w:rPr>
                            <w:b/>
                            <w:sz w:val="20"/>
                          </w:rPr>
                        </w:pPr>
                        <w:r>
                          <w:rPr>
                            <w:b/>
                            <w:color w:val="231F20"/>
                            <w:sz w:val="20"/>
                          </w:rPr>
                          <w:t>Expenses</w:t>
                        </w:r>
                      </w:p>
                    </w:tc>
                  </w:tr>
                  <w:tr>
                    <w:trPr>
                      <w:trHeight w:val="290" w:hRule="exact"/>
                    </w:trPr>
                    <w:tc>
                      <w:tcPr>
                        <w:tcW w:w="4620" w:type="dxa"/>
                        <w:shd w:val="clear" w:color="auto" w:fill="CCECFC"/>
                      </w:tcPr>
                      <w:p>
                        <w:pPr>
                          <w:pStyle w:val="TableParagraph"/>
                          <w:spacing w:before="33"/>
                          <w:ind w:left="60"/>
                          <w:rPr>
                            <w:sz w:val="20"/>
                          </w:rPr>
                        </w:pPr>
                        <w:r>
                          <w:rPr>
                            <w:color w:val="231F20"/>
                            <w:sz w:val="20"/>
                          </w:rPr>
                          <w:t>2003</w:t>
                        </w:r>
                      </w:p>
                    </w:tc>
                    <w:tc>
                      <w:tcPr>
                        <w:tcW w:w="100" w:type="dxa"/>
                        <w:shd w:val="clear" w:color="auto" w:fill="CCECFC"/>
                      </w:tcPr>
                      <w:p>
                        <w:pPr/>
                      </w:p>
                    </w:tc>
                    <w:tc>
                      <w:tcPr>
                        <w:tcW w:w="1450" w:type="dxa"/>
                        <w:tcBorders>
                          <w:top w:val="single" w:sz="8" w:space="0" w:color="231F20"/>
                        </w:tcBorders>
                        <w:shd w:val="clear" w:color="auto" w:fill="CCECFC"/>
                      </w:tcPr>
                      <w:p>
                        <w:pPr>
                          <w:pStyle w:val="TableParagraph"/>
                          <w:tabs>
                            <w:tab w:pos="1099" w:val="left" w:leader="none"/>
                          </w:tabs>
                          <w:spacing w:before="33"/>
                          <w:ind w:right="48"/>
                          <w:jc w:val="center"/>
                          <w:rPr>
                            <w:sz w:val="20"/>
                          </w:rPr>
                        </w:pPr>
                        <w:r>
                          <w:rPr>
                            <w:color w:val="231F20"/>
                            <w:sz w:val="20"/>
                          </w:rPr>
                          <w:t>$</w:t>
                          <w:tab/>
                          <w:t>920</w:t>
                        </w:r>
                      </w:p>
                    </w:tc>
                    <w:tc>
                      <w:tcPr>
                        <w:tcW w:w="1450" w:type="dxa"/>
                        <w:tcBorders>
                          <w:top w:val="single" w:sz="8" w:space="0" w:color="231F20"/>
                        </w:tcBorders>
                        <w:shd w:val="clear" w:color="auto" w:fill="CCECFC"/>
                      </w:tcPr>
                      <w:p>
                        <w:pPr>
                          <w:pStyle w:val="TableParagraph"/>
                          <w:tabs>
                            <w:tab w:pos="1099" w:val="left" w:leader="none"/>
                          </w:tabs>
                          <w:spacing w:before="33"/>
                          <w:ind w:left="49"/>
                          <w:jc w:val="center"/>
                          <w:rPr>
                            <w:sz w:val="20"/>
                          </w:rPr>
                        </w:pPr>
                        <w:r>
                          <w:rPr>
                            <w:color w:val="231F20"/>
                            <w:sz w:val="20"/>
                          </w:rPr>
                          <w:t>$</w:t>
                          <w:tab/>
                          <w:t>0.80</w:t>
                        </w:r>
                      </w:p>
                    </w:tc>
                    <w:tc>
                      <w:tcPr>
                        <w:tcW w:w="100" w:type="dxa"/>
                        <w:shd w:val="clear" w:color="auto" w:fill="CCECFC"/>
                      </w:tcPr>
                      <w:p>
                        <w:pPr/>
                      </w:p>
                    </w:tc>
                    <w:tc>
                      <w:tcPr>
                        <w:tcW w:w="1400" w:type="dxa"/>
                        <w:tcBorders>
                          <w:top w:val="single" w:sz="8" w:space="0" w:color="231F20"/>
                        </w:tcBorders>
                        <w:shd w:val="clear" w:color="auto" w:fill="CCECFC"/>
                      </w:tcPr>
                      <w:p>
                        <w:pPr>
                          <w:pStyle w:val="TableParagraph"/>
                          <w:spacing w:before="33"/>
                          <w:jc w:val="right"/>
                          <w:rPr>
                            <w:sz w:val="20"/>
                          </w:rPr>
                        </w:pPr>
                        <w:r>
                          <w:rPr>
                            <w:color w:val="231F20"/>
                            <w:sz w:val="20"/>
                          </w:rPr>
                          <w:t>16.5%</w:t>
                        </w:r>
                      </w:p>
                    </w:tc>
                  </w:tr>
                  <w:tr>
                    <w:trPr>
                      <w:trHeight w:val="280" w:hRule="exact"/>
                    </w:trPr>
                    <w:tc>
                      <w:tcPr>
                        <w:tcW w:w="4620" w:type="dxa"/>
                      </w:tcPr>
                      <w:p>
                        <w:pPr>
                          <w:pStyle w:val="TableParagraph"/>
                          <w:spacing w:before="33"/>
                          <w:ind w:left="60"/>
                          <w:rPr>
                            <w:sz w:val="20"/>
                          </w:rPr>
                        </w:pPr>
                        <w:r>
                          <w:rPr>
                            <w:color w:val="231F20"/>
                            <w:sz w:val="20"/>
                          </w:rPr>
                          <w:t>2004</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1,106</w:t>
                        </w:r>
                      </w:p>
                    </w:tc>
                    <w:tc>
                      <w:tcPr>
                        <w:tcW w:w="1450" w:type="dxa"/>
                      </w:tcPr>
                      <w:p>
                        <w:pPr>
                          <w:pStyle w:val="TableParagraph"/>
                          <w:tabs>
                            <w:tab w:pos="1099" w:val="left" w:leader="none"/>
                          </w:tabs>
                          <w:spacing w:before="33"/>
                          <w:ind w:left="49"/>
                          <w:jc w:val="center"/>
                          <w:rPr>
                            <w:sz w:val="20"/>
                          </w:rPr>
                        </w:pPr>
                        <w:r>
                          <w:rPr>
                            <w:color w:val="231F20"/>
                            <w:sz w:val="20"/>
                          </w:rPr>
                          <w:t>$</w:t>
                          <w:tab/>
                          <w:t>0.92</w:t>
                        </w:r>
                      </w:p>
                    </w:tc>
                    <w:tc>
                      <w:tcPr>
                        <w:tcW w:w="100" w:type="dxa"/>
                      </w:tcPr>
                      <w:p>
                        <w:pPr/>
                      </w:p>
                    </w:tc>
                    <w:tc>
                      <w:tcPr>
                        <w:tcW w:w="1400" w:type="dxa"/>
                      </w:tcPr>
                      <w:p>
                        <w:pPr>
                          <w:pStyle w:val="TableParagraph"/>
                          <w:spacing w:before="33"/>
                          <w:jc w:val="right"/>
                          <w:rPr>
                            <w:sz w:val="20"/>
                          </w:rPr>
                        </w:pPr>
                        <w:r>
                          <w:rPr>
                            <w:color w:val="231F20"/>
                            <w:sz w:val="20"/>
                          </w:rPr>
                          <w:t>18.1%</w:t>
                        </w:r>
                      </w:p>
                    </w:tc>
                  </w:tr>
                  <w:tr>
                    <w:trPr>
                      <w:trHeight w:val="280" w:hRule="exact"/>
                    </w:trPr>
                    <w:tc>
                      <w:tcPr>
                        <w:tcW w:w="4620" w:type="dxa"/>
                        <w:shd w:val="clear" w:color="auto" w:fill="CCECFC"/>
                      </w:tcPr>
                      <w:p>
                        <w:pPr>
                          <w:pStyle w:val="TableParagraph"/>
                          <w:spacing w:before="33"/>
                          <w:ind w:left="60"/>
                          <w:rPr>
                            <w:sz w:val="20"/>
                          </w:rPr>
                        </w:pPr>
                        <w:r>
                          <w:rPr>
                            <w:color w:val="231F20"/>
                            <w:sz w:val="20"/>
                          </w:rPr>
                          <w:t>2005</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8"/>
                          <w:jc w:val="center"/>
                          <w:rPr>
                            <w:sz w:val="20"/>
                          </w:rPr>
                        </w:pPr>
                        <w:r>
                          <w:rPr>
                            <w:color w:val="231F20"/>
                            <w:sz w:val="20"/>
                          </w:rPr>
                          <w:t>$</w:t>
                          <w:tab/>
                          <w:t>1,470</w:t>
                        </w:r>
                      </w:p>
                    </w:tc>
                    <w:tc>
                      <w:tcPr>
                        <w:tcW w:w="1450" w:type="dxa"/>
                        <w:shd w:val="clear" w:color="auto" w:fill="CCECFC"/>
                      </w:tcPr>
                      <w:p>
                        <w:pPr>
                          <w:pStyle w:val="TableParagraph"/>
                          <w:tabs>
                            <w:tab w:pos="1099" w:val="left" w:leader="none"/>
                          </w:tabs>
                          <w:spacing w:before="33"/>
                          <w:ind w:left="49"/>
                          <w:jc w:val="center"/>
                          <w:rPr>
                            <w:sz w:val="20"/>
                          </w:rPr>
                        </w:pPr>
                        <w:r>
                          <w:rPr>
                            <w:color w:val="231F20"/>
                            <w:sz w:val="20"/>
                          </w:rPr>
                          <w:t>$</w:t>
                          <w:tab/>
                          <w:t>1.13</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21.4%</w:t>
                        </w:r>
                      </w:p>
                    </w:tc>
                  </w:tr>
                  <w:tr>
                    <w:trPr>
                      <w:trHeight w:val="280" w:hRule="exact"/>
                    </w:trPr>
                    <w:tc>
                      <w:tcPr>
                        <w:tcW w:w="4620" w:type="dxa"/>
                      </w:tcPr>
                      <w:p>
                        <w:pPr>
                          <w:pStyle w:val="TableParagraph"/>
                          <w:spacing w:before="33"/>
                          <w:ind w:left="60"/>
                          <w:rPr>
                            <w:sz w:val="20"/>
                          </w:rPr>
                        </w:pPr>
                        <w:r>
                          <w:rPr>
                            <w:color w:val="231F20"/>
                            <w:sz w:val="20"/>
                          </w:rPr>
                          <w:t>2006</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2,284</w:t>
                        </w:r>
                      </w:p>
                    </w:tc>
                    <w:tc>
                      <w:tcPr>
                        <w:tcW w:w="1450" w:type="dxa"/>
                      </w:tcPr>
                      <w:p>
                        <w:pPr>
                          <w:pStyle w:val="TableParagraph"/>
                          <w:tabs>
                            <w:tab w:pos="1099" w:val="left" w:leader="none"/>
                          </w:tabs>
                          <w:spacing w:before="33"/>
                          <w:ind w:left="49"/>
                          <w:jc w:val="center"/>
                          <w:rPr>
                            <w:sz w:val="20"/>
                          </w:rPr>
                        </w:pPr>
                        <w:r>
                          <w:rPr>
                            <w:color w:val="231F20"/>
                            <w:sz w:val="20"/>
                          </w:rPr>
                          <w:t>$</w:t>
                          <w:tab/>
                          <w:t>1.64</w:t>
                        </w:r>
                      </w:p>
                    </w:tc>
                    <w:tc>
                      <w:tcPr>
                        <w:tcW w:w="100" w:type="dxa"/>
                      </w:tcPr>
                      <w:p>
                        <w:pPr/>
                      </w:p>
                    </w:tc>
                    <w:tc>
                      <w:tcPr>
                        <w:tcW w:w="1400" w:type="dxa"/>
                      </w:tcPr>
                      <w:p>
                        <w:pPr>
                          <w:pStyle w:val="TableParagraph"/>
                          <w:spacing w:before="33"/>
                          <w:jc w:val="right"/>
                          <w:rPr>
                            <w:sz w:val="20"/>
                          </w:rPr>
                        </w:pPr>
                        <w:r>
                          <w:rPr>
                            <w:color w:val="231F20"/>
                            <w:sz w:val="20"/>
                          </w:rPr>
                          <w:t>28.0%</w:t>
                        </w:r>
                      </w:p>
                    </w:tc>
                  </w:tr>
                  <w:tr>
                    <w:trPr>
                      <w:trHeight w:val="280" w:hRule="exact"/>
                    </w:trPr>
                    <w:tc>
                      <w:tcPr>
                        <w:tcW w:w="4620" w:type="dxa"/>
                        <w:shd w:val="clear" w:color="auto" w:fill="CCECFC"/>
                      </w:tcPr>
                      <w:p>
                        <w:pPr>
                          <w:pStyle w:val="TableParagraph"/>
                          <w:spacing w:before="33"/>
                          <w:ind w:left="60"/>
                          <w:rPr>
                            <w:sz w:val="20"/>
                          </w:rPr>
                        </w:pPr>
                        <w:r>
                          <w:rPr>
                            <w:color w:val="231F20"/>
                            <w:sz w:val="20"/>
                          </w:rPr>
                          <w:t>2007</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8"/>
                          <w:jc w:val="center"/>
                          <w:rPr>
                            <w:sz w:val="20"/>
                          </w:rPr>
                        </w:pPr>
                        <w:r>
                          <w:rPr>
                            <w:color w:val="231F20"/>
                            <w:sz w:val="20"/>
                          </w:rPr>
                          <w:t>$</w:t>
                          <w:tab/>
                          <w:t>2,690</w:t>
                        </w:r>
                      </w:p>
                    </w:tc>
                    <w:tc>
                      <w:tcPr>
                        <w:tcW w:w="1450" w:type="dxa"/>
                        <w:shd w:val="clear" w:color="auto" w:fill="CCECFC"/>
                      </w:tcPr>
                      <w:p>
                        <w:pPr>
                          <w:pStyle w:val="TableParagraph"/>
                          <w:tabs>
                            <w:tab w:pos="1099" w:val="left" w:leader="none"/>
                          </w:tabs>
                          <w:spacing w:before="33"/>
                          <w:ind w:left="49"/>
                          <w:jc w:val="center"/>
                          <w:rPr>
                            <w:sz w:val="20"/>
                          </w:rPr>
                        </w:pPr>
                        <w:r>
                          <w:rPr>
                            <w:color w:val="231F20"/>
                            <w:sz w:val="20"/>
                          </w:rPr>
                          <w:t>$</w:t>
                          <w:tab/>
                          <w:t>1.80</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29.7%</w:t>
                        </w:r>
                      </w:p>
                    </w:tc>
                  </w:tr>
                  <w:tr>
                    <w:trPr>
                      <w:trHeight w:val="280" w:hRule="exact"/>
                    </w:trPr>
                    <w:tc>
                      <w:tcPr>
                        <w:tcW w:w="4620" w:type="dxa"/>
                      </w:tcPr>
                      <w:p>
                        <w:pPr>
                          <w:pStyle w:val="TableParagraph"/>
                          <w:spacing w:before="33"/>
                          <w:ind w:left="60"/>
                          <w:rPr>
                            <w:sz w:val="20"/>
                          </w:rPr>
                        </w:pPr>
                        <w:r>
                          <w:rPr>
                            <w:color w:val="231F20"/>
                            <w:sz w:val="20"/>
                          </w:rPr>
                          <w:t>2008</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3,713</w:t>
                        </w:r>
                      </w:p>
                    </w:tc>
                    <w:tc>
                      <w:tcPr>
                        <w:tcW w:w="1450" w:type="dxa"/>
                      </w:tcPr>
                      <w:p>
                        <w:pPr>
                          <w:pStyle w:val="TableParagraph"/>
                          <w:tabs>
                            <w:tab w:pos="1099" w:val="left" w:leader="none"/>
                          </w:tabs>
                          <w:spacing w:before="33"/>
                          <w:ind w:left="49"/>
                          <w:jc w:val="center"/>
                          <w:rPr>
                            <w:sz w:val="20"/>
                          </w:rPr>
                        </w:pPr>
                        <w:r>
                          <w:rPr>
                            <w:color w:val="231F20"/>
                            <w:sz w:val="20"/>
                          </w:rPr>
                          <w:t>$</w:t>
                          <w:tab/>
                          <w:t>2.44</w:t>
                        </w:r>
                      </w:p>
                    </w:tc>
                    <w:tc>
                      <w:tcPr>
                        <w:tcW w:w="100" w:type="dxa"/>
                      </w:tcPr>
                      <w:p>
                        <w:pPr/>
                      </w:p>
                    </w:tc>
                    <w:tc>
                      <w:tcPr>
                        <w:tcW w:w="1400" w:type="dxa"/>
                      </w:tcPr>
                      <w:p>
                        <w:pPr>
                          <w:pStyle w:val="TableParagraph"/>
                          <w:spacing w:before="33"/>
                          <w:jc w:val="right"/>
                          <w:rPr>
                            <w:sz w:val="20"/>
                          </w:rPr>
                        </w:pPr>
                        <w:r>
                          <w:rPr>
                            <w:color w:val="231F20"/>
                            <w:sz w:val="20"/>
                          </w:rPr>
                          <w:t>35.1%</w:t>
                        </w:r>
                      </w:p>
                    </w:tc>
                  </w:tr>
                  <w:tr>
                    <w:trPr>
                      <w:trHeight w:val="280" w:hRule="exact"/>
                    </w:trPr>
                    <w:tc>
                      <w:tcPr>
                        <w:tcW w:w="4620" w:type="dxa"/>
                        <w:shd w:val="clear" w:color="auto" w:fill="CCECFC"/>
                      </w:tcPr>
                      <w:p>
                        <w:pPr>
                          <w:pStyle w:val="TableParagraph"/>
                          <w:spacing w:before="33"/>
                          <w:ind w:left="60"/>
                          <w:rPr>
                            <w:sz w:val="20"/>
                          </w:rPr>
                        </w:pPr>
                        <w:r>
                          <w:rPr>
                            <w:color w:val="231F20"/>
                            <w:sz w:val="20"/>
                          </w:rPr>
                          <w:t>2009</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8"/>
                          <w:jc w:val="center"/>
                          <w:rPr>
                            <w:sz w:val="20"/>
                          </w:rPr>
                        </w:pPr>
                        <w:r>
                          <w:rPr>
                            <w:color w:val="231F20"/>
                            <w:sz w:val="20"/>
                          </w:rPr>
                          <w:t>$</w:t>
                          <w:tab/>
                          <w:t>3,044</w:t>
                        </w:r>
                      </w:p>
                    </w:tc>
                    <w:tc>
                      <w:tcPr>
                        <w:tcW w:w="1450" w:type="dxa"/>
                        <w:shd w:val="clear" w:color="auto" w:fill="CCECFC"/>
                      </w:tcPr>
                      <w:p>
                        <w:pPr>
                          <w:pStyle w:val="TableParagraph"/>
                          <w:tabs>
                            <w:tab w:pos="1099" w:val="left" w:leader="none"/>
                          </w:tabs>
                          <w:spacing w:before="33"/>
                          <w:ind w:left="49"/>
                          <w:jc w:val="center"/>
                          <w:rPr>
                            <w:sz w:val="20"/>
                          </w:rPr>
                        </w:pPr>
                        <w:r>
                          <w:rPr>
                            <w:color w:val="231F20"/>
                            <w:sz w:val="20"/>
                          </w:rPr>
                          <w:t>$</w:t>
                          <w:tab/>
                          <w:t>2.12</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30.2%</w:t>
                        </w:r>
                      </w:p>
                    </w:tc>
                  </w:tr>
                  <w:tr>
                    <w:trPr>
                      <w:trHeight w:val="280" w:hRule="exact"/>
                    </w:trPr>
                    <w:tc>
                      <w:tcPr>
                        <w:tcW w:w="4620" w:type="dxa"/>
                      </w:tcPr>
                      <w:p>
                        <w:pPr>
                          <w:pStyle w:val="TableParagraph"/>
                          <w:spacing w:before="33"/>
                          <w:ind w:left="60"/>
                          <w:rPr>
                            <w:sz w:val="20"/>
                          </w:rPr>
                        </w:pPr>
                        <w:r>
                          <w:rPr>
                            <w:color w:val="231F20"/>
                            <w:sz w:val="20"/>
                          </w:rPr>
                          <w:t>2010</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3,620</w:t>
                        </w:r>
                      </w:p>
                    </w:tc>
                    <w:tc>
                      <w:tcPr>
                        <w:tcW w:w="1450" w:type="dxa"/>
                      </w:tcPr>
                      <w:p>
                        <w:pPr>
                          <w:pStyle w:val="TableParagraph"/>
                          <w:tabs>
                            <w:tab w:pos="1099" w:val="left" w:leader="none"/>
                          </w:tabs>
                          <w:spacing w:before="33"/>
                          <w:ind w:left="49"/>
                          <w:jc w:val="center"/>
                          <w:rPr>
                            <w:sz w:val="20"/>
                          </w:rPr>
                        </w:pPr>
                        <w:r>
                          <w:rPr>
                            <w:color w:val="231F20"/>
                            <w:sz w:val="20"/>
                          </w:rPr>
                          <w:t>$</w:t>
                          <w:tab/>
                          <w:t>2.51</w:t>
                        </w:r>
                      </w:p>
                    </w:tc>
                    <w:tc>
                      <w:tcPr>
                        <w:tcW w:w="100" w:type="dxa"/>
                      </w:tcPr>
                      <w:p>
                        <w:pPr/>
                      </w:p>
                    </w:tc>
                    <w:tc>
                      <w:tcPr>
                        <w:tcW w:w="1400" w:type="dxa"/>
                      </w:tcPr>
                      <w:p>
                        <w:pPr>
                          <w:pStyle w:val="TableParagraph"/>
                          <w:spacing w:before="33"/>
                          <w:jc w:val="right"/>
                          <w:rPr>
                            <w:sz w:val="20"/>
                          </w:rPr>
                        </w:pPr>
                        <w:r>
                          <w:rPr>
                            <w:color w:val="231F20"/>
                            <w:sz w:val="20"/>
                          </w:rPr>
                          <w:t>32.6%</w:t>
                        </w:r>
                      </w:p>
                    </w:tc>
                  </w:tr>
                  <w:tr>
                    <w:trPr>
                      <w:trHeight w:val="280" w:hRule="exact"/>
                    </w:trPr>
                    <w:tc>
                      <w:tcPr>
                        <w:tcW w:w="4620" w:type="dxa"/>
                        <w:shd w:val="clear" w:color="auto" w:fill="CCECFC"/>
                      </w:tcPr>
                      <w:p>
                        <w:pPr>
                          <w:pStyle w:val="TableParagraph"/>
                          <w:spacing w:before="33"/>
                          <w:ind w:left="60"/>
                          <w:rPr>
                            <w:sz w:val="20"/>
                          </w:rPr>
                        </w:pPr>
                        <w:r>
                          <w:rPr>
                            <w:color w:val="231F20"/>
                            <w:sz w:val="20"/>
                          </w:rPr>
                          <w:t>2011</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8"/>
                          <w:jc w:val="center"/>
                          <w:rPr>
                            <w:sz w:val="20"/>
                          </w:rPr>
                        </w:pPr>
                        <w:r>
                          <w:rPr>
                            <w:color w:val="231F20"/>
                            <w:sz w:val="20"/>
                          </w:rPr>
                          <w:t>$</w:t>
                          <w:tab/>
                          <w:t>5,644</w:t>
                        </w:r>
                      </w:p>
                    </w:tc>
                    <w:tc>
                      <w:tcPr>
                        <w:tcW w:w="1450" w:type="dxa"/>
                        <w:shd w:val="clear" w:color="auto" w:fill="CCECFC"/>
                      </w:tcPr>
                      <w:p>
                        <w:pPr>
                          <w:pStyle w:val="TableParagraph"/>
                          <w:tabs>
                            <w:tab w:pos="1099" w:val="left" w:leader="none"/>
                          </w:tabs>
                          <w:spacing w:before="33"/>
                          <w:ind w:left="49"/>
                          <w:jc w:val="center"/>
                          <w:rPr>
                            <w:sz w:val="20"/>
                          </w:rPr>
                        </w:pPr>
                        <w:r>
                          <w:rPr>
                            <w:color w:val="231F20"/>
                            <w:sz w:val="20"/>
                          </w:rPr>
                          <w:t>$</w:t>
                          <w:tab/>
                          <w:t>3.19</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37.7%</w:t>
                        </w:r>
                      </w:p>
                    </w:tc>
                  </w:tr>
                  <w:tr>
                    <w:trPr>
                      <w:trHeight w:val="280" w:hRule="exact"/>
                    </w:trPr>
                    <w:tc>
                      <w:tcPr>
                        <w:tcW w:w="4620" w:type="dxa"/>
                      </w:tcPr>
                      <w:p>
                        <w:pPr>
                          <w:pStyle w:val="TableParagraph"/>
                          <w:spacing w:before="33"/>
                          <w:ind w:left="60"/>
                          <w:rPr>
                            <w:sz w:val="20"/>
                          </w:rPr>
                        </w:pPr>
                        <w:r>
                          <w:rPr>
                            <w:color w:val="231F20"/>
                            <w:sz w:val="20"/>
                          </w:rPr>
                          <w:t>2012</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6,120</w:t>
                        </w:r>
                      </w:p>
                    </w:tc>
                    <w:tc>
                      <w:tcPr>
                        <w:tcW w:w="1450" w:type="dxa"/>
                      </w:tcPr>
                      <w:p>
                        <w:pPr>
                          <w:pStyle w:val="TableParagraph"/>
                          <w:tabs>
                            <w:tab w:pos="1099" w:val="left" w:leader="none"/>
                          </w:tabs>
                          <w:spacing w:before="33"/>
                          <w:ind w:left="49"/>
                          <w:jc w:val="center"/>
                          <w:rPr>
                            <w:sz w:val="20"/>
                          </w:rPr>
                        </w:pPr>
                        <w:r>
                          <w:rPr>
                            <w:color w:val="231F20"/>
                            <w:sz w:val="20"/>
                          </w:rPr>
                          <w:t>$</w:t>
                          <w:tab/>
                          <w:t>3.30</w:t>
                        </w:r>
                      </w:p>
                    </w:tc>
                    <w:tc>
                      <w:tcPr>
                        <w:tcW w:w="100" w:type="dxa"/>
                      </w:tcPr>
                      <w:p>
                        <w:pPr/>
                      </w:p>
                    </w:tc>
                    <w:tc>
                      <w:tcPr>
                        <w:tcW w:w="1400" w:type="dxa"/>
                      </w:tcPr>
                      <w:p>
                        <w:pPr>
                          <w:pStyle w:val="TableParagraph"/>
                          <w:spacing w:before="33"/>
                          <w:jc w:val="right"/>
                          <w:rPr>
                            <w:sz w:val="20"/>
                          </w:rPr>
                        </w:pPr>
                        <w:r>
                          <w:rPr>
                            <w:color w:val="231F20"/>
                            <w:sz w:val="20"/>
                          </w:rPr>
                          <w:t>37.2%</w:t>
                        </w:r>
                      </w:p>
                    </w:tc>
                  </w:tr>
                  <w:tr>
                    <w:trPr>
                      <w:trHeight w:val="280" w:hRule="exact"/>
                    </w:trPr>
                    <w:tc>
                      <w:tcPr>
                        <w:tcW w:w="4620" w:type="dxa"/>
                        <w:shd w:val="clear" w:color="auto" w:fill="CCECFC"/>
                      </w:tcPr>
                      <w:p>
                        <w:pPr>
                          <w:pStyle w:val="TableParagraph"/>
                          <w:spacing w:before="33"/>
                          <w:ind w:left="60"/>
                          <w:rPr>
                            <w:sz w:val="20"/>
                          </w:rPr>
                        </w:pPr>
                        <w:r>
                          <w:rPr>
                            <w:color w:val="231F20"/>
                            <w:sz w:val="20"/>
                          </w:rPr>
                          <w:t>2013</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8"/>
                          <w:jc w:val="center"/>
                          <w:rPr>
                            <w:sz w:val="20"/>
                          </w:rPr>
                        </w:pPr>
                        <w:r>
                          <w:rPr>
                            <w:color w:val="231F20"/>
                            <w:sz w:val="20"/>
                          </w:rPr>
                          <w:t>$</w:t>
                          <w:tab/>
                          <w:t>5,763</w:t>
                        </w:r>
                      </w:p>
                    </w:tc>
                    <w:tc>
                      <w:tcPr>
                        <w:tcW w:w="1450" w:type="dxa"/>
                        <w:shd w:val="clear" w:color="auto" w:fill="CCECFC"/>
                      </w:tcPr>
                      <w:p>
                        <w:pPr>
                          <w:pStyle w:val="TableParagraph"/>
                          <w:tabs>
                            <w:tab w:pos="1099" w:val="left" w:leader="none"/>
                          </w:tabs>
                          <w:spacing w:before="33"/>
                          <w:ind w:left="49"/>
                          <w:jc w:val="center"/>
                          <w:rPr>
                            <w:sz w:val="20"/>
                          </w:rPr>
                        </w:pPr>
                        <w:r>
                          <w:rPr>
                            <w:color w:val="231F20"/>
                            <w:sz w:val="20"/>
                          </w:rPr>
                          <w:t>$</w:t>
                          <w:tab/>
                          <w:t>3.16</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35.1%</w:t>
                        </w:r>
                      </w:p>
                    </w:tc>
                  </w:tr>
                  <w:tr>
                    <w:trPr>
                      <w:trHeight w:val="280" w:hRule="exact"/>
                    </w:trPr>
                    <w:tc>
                      <w:tcPr>
                        <w:tcW w:w="4620" w:type="dxa"/>
                      </w:tcPr>
                      <w:p>
                        <w:pPr>
                          <w:pStyle w:val="TableParagraph"/>
                          <w:spacing w:before="33"/>
                          <w:ind w:left="60"/>
                          <w:rPr>
                            <w:sz w:val="20"/>
                          </w:rPr>
                        </w:pPr>
                        <w:r>
                          <w:rPr>
                            <w:color w:val="231F20"/>
                            <w:sz w:val="20"/>
                          </w:rPr>
                          <w:t>2014</w:t>
                        </w:r>
                      </w:p>
                    </w:tc>
                    <w:tc>
                      <w:tcPr>
                        <w:tcW w:w="100" w:type="dxa"/>
                      </w:tcPr>
                      <w:p>
                        <w:pPr/>
                      </w:p>
                    </w:tc>
                    <w:tc>
                      <w:tcPr>
                        <w:tcW w:w="1450" w:type="dxa"/>
                      </w:tcPr>
                      <w:p>
                        <w:pPr>
                          <w:pStyle w:val="TableParagraph"/>
                          <w:tabs>
                            <w:tab w:pos="949" w:val="left" w:leader="none"/>
                          </w:tabs>
                          <w:spacing w:before="33"/>
                          <w:ind w:right="48"/>
                          <w:jc w:val="center"/>
                          <w:rPr>
                            <w:sz w:val="20"/>
                          </w:rPr>
                        </w:pPr>
                        <w:r>
                          <w:rPr>
                            <w:color w:val="231F20"/>
                            <w:sz w:val="20"/>
                          </w:rPr>
                          <w:t>$</w:t>
                          <w:tab/>
                          <w:t>5,293</w:t>
                        </w:r>
                      </w:p>
                    </w:tc>
                    <w:tc>
                      <w:tcPr>
                        <w:tcW w:w="1450" w:type="dxa"/>
                      </w:tcPr>
                      <w:p>
                        <w:pPr>
                          <w:pStyle w:val="TableParagraph"/>
                          <w:tabs>
                            <w:tab w:pos="1099" w:val="left" w:leader="none"/>
                          </w:tabs>
                          <w:spacing w:before="33"/>
                          <w:ind w:left="49"/>
                          <w:jc w:val="center"/>
                          <w:rPr>
                            <w:sz w:val="20"/>
                          </w:rPr>
                        </w:pPr>
                        <w:r>
                          <w:rPr>
                            <w:color w:val="231F20"/>
                            <w:sz w:val="20"/>
                          </w:rPr>
                          <w:t>$</w:t>
                          <w:tab/>
                          <w:t>2.93</w:t>
                        </w:r>
                      </w:p>
                    </w:tc>
                    <w:tc>
                      <w:tcPr>
                        <w:tcW w:w="100" w:type="dxa"/>
                      </w:tcPr>
                      <w:p>
                        <w:pPr/>
                      </w:p>
                    </w:tc>
                    <w:tc>
                      <w:tcPr>
                        <w:tcW w:w="1400" w:type="dxa"/>
                      </w:tcPr>
                      <w:p>
                        <w:pPr>
                          <w:pStyle w:val="TableParagraph"/>
                          <w:spacing w:before="33"/>
                          <w:jc w:val="right"/>
                          <w:rPr>
                            <w:sz w:val="20"/>
                          </w:rPr>
                        </w:pPr>
                        <w:r>
                          <w:rPr>
                            <w:color w:val="231F20"/>
                            <w:sz w:val="20"/>
                          </w:rPr>
                          <w:t>32.3%</w:t>
                        </w:r>
                      </w:p>
                    </w:tc>
                  </w:tr>
                  <w:tr>
                    <w:trPr>
                      <w:trHeight w:val="280" w:hRule="exact"/>
                    </w:trPr>
                    <w:tc>
                      <w:tcPr>
                        <w:tcW w:w="4620" w:type="dxa"/>
                        <w:shd w:val="clear" w:color="auto" w:fill="CCECFC"/>
                      </w:tcPr>
                      <w:p>
                        <w:pPr>
                          <w:pStyle w:val="TableParagraph"/>
                          <w:spacing w:before="33"/>
                          <w:ind w:left="60"/>
                          <w:rPr>
                            <w:sz w:val="20"/>
                          </w:rPr>
                        </w:pPr>
                        <w:r>
                          <w:rPr>
                            <w:color w:val="231F20"/>
                            <w:sz w:val="20"/>
                          </w:rPr>
                          <w:t>First Quarter 2014</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9"/>
                          <w:jc w:val="center"/>
                          <w:rPr>
                            <w:sz w:val="20"/>
                          </w:rPr>
                        </w:pPr>
                        <w:r>
                          <w:rPr>
                            <w:color w:val="231F20"/>
                            <w:sz w:val="20"/>
                          </w:rPr>
                          <w:t>$</w:t>
                          <w:tab/>
                          <w:t>1,314</w:t>
                        </w:r>
                      </w:p>
                    </w:tc>
                    <w:tc>
                      <w:tcPr>
                        <w:tcW w:w="1450" w:type="dxa"/>
                        <w:shd w:val="clear" w:color="auto" w:fill="CCECFC"/>
                      </w:tcPr>
                      <w:p>
                        <w:pPr>
                          <w:pStyle w:val="TableParagraph"/>
                          <w:tabs>
                            <w:tab w:pos="1099" w:val="left" w:leader="none"/>
                          </w:tabs>
                          <w:spacing w:before="33"/>
                          <w:ind w:left="50"/>
                          <w:jc w:val="center"/>
                          <w:rPr>
                            <w:sz w:val="20"/>
                          </w:rPr>
                        </w:pPr>
                        <w:r>
                          <w:rPr>
                            <w:color w:val="231F20"/>
                            <w:sz w:val="20"/>
                          </w:rPr>
                          <w:t>$</w:t>
                          <w:tab/>
                          <w:t>3.10</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33.3%</w:t>
                        </w:r>
                      </w:p>
                    </w:tc>
                  </w:tr>
                  <w:tr>
                    <w:trPr>
                      <w:trHeight w:val="280" w:hRule="exact"/>
                    </w:trPr>
                    <w:tc>
                      <w:tcPr>
                        <w:tcW w:w="4620" w:type="dxa"/>
                      </w:tcPr>
                      <w:p>
                        <w:pPr>
                          <w:pStyle w:val="TableParagraph"/>
                          <w:spacing w:before="33"/>
                          <w:ind w:left="60"/>
                          <w:rPr>
                            <w:sz w:val="20"/>
                          </w:rPr>
                        </w:pPr>
                        <w:r>
                          <w:rPr>
                            <w:color w:val="231F20"/>
                            <w:sz w:val="20"/>
                          </w:rPr>
                          <w:t>Second Quarter 2014</w:t>
                        </w:r>
                      </w:p>
                    </w:tc>
                    <w:tc>
                      <w:tcPr>
                        <w:tcW w:w="100" w:type="dxa"/>
                      </w:tcPr>
                      <w:p>
                        <w:pPr/>
                      </w:p>
                    </w:tc>
                    <w:tc>
                      <w:tcPr>
                        <w:tcW w:w="1450" w:type="dxa"/>
                      </w:tcPr>
                      <w:p>
                        <w:pPr>
                          <w:pStyle w:val="TableParagraph"/>
                          <w:tabs>
                            <w:tab w:pos="949" w:val="left" w:leader="none"/>
                          </w:tabs>
                          <w:spacing w:before="33"/>
                          <w:ind w:right="49"/>
                          <w:jc w:val="center"/>
                          <w:rPr>
                            <w:sz w:val="20"/>
                          </w:rPr>
                        </w:pPr>
                        <w:r>
                          <w:rPr>
                            <w:color w:val="231F20"/>
                            <w:sz w:val="20"/>
                          </w:rPr>
                          <w:t>$</w:t>
                          <w:tab/>
                          <w:t>1,425</w:t>
                        </w:r>
                      </w:p>
                    </w:tc>
                    <w:tc>
                      <w:tcPr>
                        <w:tcW w:w="1450" w:type="dxa"/>
                      </w:tcPr>
                      <w:p>
                        <w:pPr>
                          <w:pStyle w:val="TableParagraph"/>
                          <w:tabs>
                            <w:tab w:pos="1099" w:val="left" w:leader="none"/>
                          </w:tabs>
                          <w:spacing w:before="33"/>
                          <w:ind w:left="50"/>
                          <w:jc w:val="center"/>
                          <w:rPr>
                            <w:sz w:val="20"/>
                          </w:rPr>
                        </w:pPr>
                        <w:r>
                          <w:rPr>
                            <w:color w:val="231F20"/>
                            <w:sz w:val="20"/>
                          </w:rPr>
                          <w:t>$</w:t>
                          <w:tab/>
                          <w:t>3.03</w:t>
                        </w:r>
                      </w:p>
                    </w:tc>
                    <w:tc>
                      <w:tcPr>
                        <w:tcW w:w="100" w:type="dxa"/>
                      </w:tcPr>
                      <w:p>
                        <w:pPr/>
                      </w:p>
                    </w:tc>
                    <w:tc>
                      <w:tcPr>
                        <w:tcW w:w="1400" w:type="dxa"/>
                      </w:tcPr>
                      <w:p>
                        <w:pPr>
                          <w:pStyle w:val="TableParagraph"/>
                          <w:spacing w:before="33"/>
                          <w:jc w:val="right"/>
                          <w:rPr>
                            <w:sz w:val="20"/>
                          </w:rPr>
                        </w:pPr>
                        <w:r>
                          <w:rPr>
                            <w:color w:val="231F20"/>
                            <w:sz w:val="20"/>
                          </w:rPr>
                          <w:t>33.6%</w:t>
                        </w:r>
                      </w:p>
                    </w:tc>
                  </w:tr>
                  <w:tr>
                    <w:trPr>
                      <w:trHeight w:val="280" w:hRule="exact"/>
                    </w:trPr>
                    <w:tc>
                      <w:tcPr>
                        <w:tcW w:w="4620" w:type="dxa"/>
                        <w:shd w:val="clear" w:color="auto" w:fill="CCECFC"/>
                      </w:tcPr>
                      <w:p>
                        <w:pPr>
                          <w:pStyle w:val="TableParagraph"/>
                          <w:spacing w:before="33"/>
                          <w:ind w:left="60"/>
                          <w:rPr>
                            <w:sz w:val="20"/>
                          </w:rPr>
                        </w:pPr>
                        <w:r>
                          <w:rPr>
                            <w:color w:val="231F20"/>
                            <w:sz w:val="20"/>
                          </w:rPr>
                          <w:t>Third Quarter 2014</w:t>
                        </w:r>
                      </w:p>
                    </w:tc>
                    <w:tc>
                      <w:tcPr>
                        <w:tcW w:w="100" w:type="dxa"/>
                        <w:shd w:val="clear" w:color="auto" w:fill="CCECFC"/>
                      </w:tcPr>
                      <w:p>
                        <w:pPr/>
                      </w:p>
                    </w:tc>
                    <w:tc>
                      <w:tcPr>
                        <w:tcW w:w="1450" w:type="dxa"/>
                        <w:shd w:val="clear" w:color="auto" w:fill="CCECFC"/>
                      </w:tcPr>
                      <w:p>
                        <w:pPr>
                          <w:pStyle w:val="TableParagraph"/>
                          <w:tabs>
                            <w:tab w:pos="949" w:val="left" w:leader="none"/>
                          </w:tabs>
                          <w:spacing w:before="33"/>
                          <w:ind w:right="49"/>
                          <w:jc w:val="center"/>
                          <w:rPr>
                            <w:sz w:val="20"/>
                          </w:rPr>
                        </w:pPr>
                        <w:r>
                          <w:rPr>
                            <w:color w:val="231F20"/>
                            <w:sz w:val="20"/>
                          </w:rPr>
                          <w:t>$</w:t>
                          <w:tab/>
                          <w:t>1,386</w:t>
                        </w:r>
                      </w:p>
                    </w:tc>
                    <w:tc>
                      <w:tcPr>
                        <w:tcW w:w="1450" w:type="dxa"/>
                        <w:shd w:val="clear" w:color="auto" w:fill="CCECFC"/>
                      </w:tcPr>
                      <w:p>
                        <w:pPr>
                          <w:pStyle w:val="TableParagraph"/>
                          <w:tabs>
                            <w:tab w:pos="1099" w:val="left" w:leader="none"/>
                          </w:tabs>
                          <w:spacing w:before="33"/>
                          <w:ind w:left="50"/>
                          <w:jc w:val="center"/>
                          <w:rPr>
                            <w:sz w:val="20"/>
                          </w:rPr>
                        </w:pPr>
                        <w:r>
                          <w:rPr>
                            <w:color w:val="231F20"/>
                            <w:sz w:val="20"/>
                          </w:rPr>
                          <w:t>$</w:t>
                          <w:tab/>
                          <w:t>2.97</w:t>
                        </w:r>
                      </w:p>
                    </w:tc>
                    <w:tc>
                      <w:tcPr>
                        <w:tcW w:w="100" w:type="dxa"/>
                        <w:shd w:val="clear" w:color="auto" w:fill="CCECFC"/>
                      </w:tcPr>
                      <w:p>
                        <w:pPr/>
                      </w:p>
                    </w:tc>
                    <w:tc>
                      <w:tcPr>
                        <w:tcW w:w="1400" w:type="dxa"/>
                        <w:shd w:val="clear" w:color="auto" w:fill="CCECFC"/>
                      </w:tcPr>
                      <w:p>
                        <w:pPr>
                          <w:pStyle w:val="TableParagraph"/>
                          <w:spacing w:before="33"/>
                          <w:jc w:val="right"/>
                          <w:rPr>
                            <w:sz w:val="20"/>
                          </w:rPr>
                        </w:pPr>
                        <w:r>
                          <w:rPr>
                            <w:color w:val="231F20"/>
                            <w:sz w:val="20"/>
                          </w:rPr>
                          <w:t>33.1%</w:t>
                        </w:r>
                      </w:p>
                    </w:tc>
                  </w:tr>
                  <w:tr>
                    <w:trPr>
                      <w:trHeight w:val="264" w:hRule="exact"/>
                    </w:trPr>
                    <w:tc>
                      <w:tcPr>
                        <w:tcW w:w="4620" w:type="dxa"/>
                      </w:tcPr>
                      <w:p>
                        <w:pPr>
                          <w:pStyle w:val="TableParagraph"/>
                          <w:spacing w:before="33"/>
                          <w:ind w:left="60"/>
                          <w:rPr>
                            <w:sz w:val="20"/>
                          </w:rPr>
                        </w:pPr>
                        <w:r>
                          <w:rPr>
                            <w:color w:val="231F20"/>
                            <w:sz w:val="20"/>
                          </w:rPr>
                          <w:t>Fourth Quarter 2014</w:t>
                        </w:r>
                      </w:p>
                    </w:tc>
                    <w:tc>
                      <w:tcPr>
                        <w:tcW w:w="100" w:type="dxa"/>
                      </w:tcPr>
                      <w:p>
                        <w:pPr/>
                      </w:p>
                    </w:tc>
                    <w:tc>
                      <w:tcPr>
                        <w:tcW w:w="1450" w:type="dxa"/>
                      </w:tcPr>
                      <w:p>
                        <w:pPr>
                          <w:pStyle w:val="TableParagraph"/>
                          <w:tabs>
                            <w:tab w:pos="949" w:val="left" w:leader="none"/>
                          </w:tabs>
                          <w:spacing w:before="33"/>
                          <w:ind w:right="49"/>
                          <w:jc w:val="center"/>
                          <w:rPr>
                            <w:sz w:val="20"/>
                          </w:rPr>
                        </w:pPr>
                        <w:r>
                          <w:rPr>
                            <w:color w:val="231F20"/>
                            <w:sz w:val="20"/>
                          </w:rPr>
                          <w:t>$</w:t>
                          <w:tab/>
                          <w:t>1,167</w:t>
                        </w:r>
                      </w:p>
                    </w:tc>
                    <w:tc>
                      <w:tcPr>
                        <w:tcW w:w="1450" w:type="dxa"/>
                      </w:tcPr>
                      <w:p>
                        <w:pPr>
                          <w:pStyle w:val="TableParagraph"/>
                          <w:tabs>
                            <w:tab w:pos="1099" w:val="left" w:leader="none"/>
                          </w:tabs>
                          <w:spacing w:before="33"/>
                          <w:ind w:left="50"/>
                          <w:jc w:val="center"/>
                          <w:rPr>
                            <w:sz w:val="20"/>
                          </w:rPr>
                        </w:pPr>
                        <w:r>
                          <w:rPr>
                            <w:color w:val="231F20"/>
                            <w:sz w:val="20"/>
                          </w:rPr>
                          <w:t>$</w:t>
                          <w:tab/>
                          <w:t>2.63</w:t>
                        </w:r>
                      </w:p>
                    </w:tc>
                    <w:tc>
                      <w:tcPr>
                        <w:tcW w:w="100" w:type="dxa"/>
                      </w:tcPr>
                      <w:p>
                        <w:pPr/>
                      </w:p>
                    </w:tc>
                    <w:tc>
                      <w:tcPr>
                        <w:tcW w:w="1400" w:type="dxa"/>
                      </w:tcPr>
                      <w:p>
                        <w:pPr>
                          <w:pStyle w:val="TableParagraph"/>
                          <w:spacing w:before="33"/>
                          <w:jc w:val="right"/>
                          <w:rPr>
                            <w:sz w:val="20"/>
                          </w:rPr>
                        </w:pPr>
                        <w:r>
                          <w:rPr>
                            <w:color w:val="231F20"/>
                            <w:sz w:val="20"/>
                          </w:rPr>
                          <w:t>29.1%</w:t>
                        </w:r>
                      </w:p>
                    </w:tc>
                  </w:tr>
                </w:tbl>
                <w:p>
                  <w:pPr>
                    <w:pStyle w:val="BodyText"/>
                  </w:pPr>
                </w:p>
              </w:txbxContent>
            </v:textbox>
            <w10:wrap type="none"/>
          </v:shape>
        </w:pict>
      </w:r>
      <w:r>
        <w:rPr>
          <w:color w:val="231F20"/>
        </w:rPr>
        <w:t>The Company enters into fuel derivative contracts to manage its risk associated with  significant increases in fuel prices; however, because energy prices can fluctuate significantly in a relatively short amount of time, the Company must also continually monitor and adjust its fuel hedge portfolio and strategies to address not only fuel price increases, but also fuel price volatility and hedge collateral requirements. As evidenced by the extreme decline in jet fuel prices during the fourth quarter of 2014, jet fuel prices are subject to significant volatility based on a variety of factors. In addition, the cost of hedging generally increases with sustained high potential for volatility in the fuel market. The Company’s fuel hedging activities are discussed in more detail below under “Risk Factors,” “Management’s Discussion and Analysis of Financial Condition and Results of Operations,” and    Note 10 to the Consolidated Financial</w:t>
      </w:r>
      <w:r>
        <w:rPr>
          <w:color w:val="231F20"/>
          <w:spacing w:val="-1"/>
        </w:rPr>
        <w:t> </w:t>
      </w:r>
      <w:r>
        <w:rPr>
          <w:color w:val="231F20"/>
        </w:rPr>
        <w:t>Statements.</w:t>
      </w:r>
    </w:p>
    <w:p>
      <w:pPr>
        <w:spacing w:after="0" w:line="247" w:lineRule="auto"/>
        <w:jc w:val="both"/>
        <w:sectPr>
          <w:type w:val="continuous"/>
          <w:pgSz w:w="11880" w:h="15480"/>
          <w:pgMar w:top="1260" w:bottom="280" w:left="1260" w:right="1260"/>
        </w:sectPr>
      </w:pPr>
    </w:p>
    <w:p>
      <w:pPr>
        <w:pStyle w:val="Heading1"/>
        <w:ind w:left="480"/>
      </w:pPr>
      <w:r>
        <w:rPr>
          <w:color w:val="231F20"/>
        </w:rPr>
        <w:t>Fare Structure</w:t>
      </w:r>
    </w:p>
    <w:p>
      <w:pPr>
        <w:pStyle w:val="Heading2"/>
        <w:spacing w:before="166"/>
        <w:ind w:left="840"/>
        <w:rPr>
          <w:i/>
        </w:rPr>
      </w:pPr>
      <w:r>
        <w:rPr>
          <w:i/>
          <w:color w:val="231F20"/>
        </w:rPr>
        <w:t>Southwest</w:t>
      </w:r>
    </w:p>
    <w:p>
      <w:pPr>
        <w:pStyle w:val="BodyText"/>
        <w:spacing w:line="247" w:lineRule="auto" w:before="166"/>
        <w:ind w:left="119" w:right="117" w:firstLine="720"/>
        <w:jc w:val="both"/>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w:t>
      </w:r>
      <w:r>
        <w:rPr>
          <w:color w:val="231F20"/>
          <w:position w:val="5"/>
          <w:sz w:val="16"/>
        </w:rPr>
        <w:t>®</w:t>
      </w:r>
      <w:r>
        <w:rPr>
          <w:color w:val="231F20"/>
        </w:rPr>
        <w:t>,” “Anytime</w:t>
      </w:r>
      <w:r>
        <w:rPr>
          <w:color w:val="231F20"/>
          <w:position w:val="5"/>
          <w:sz w:val="14"/>
        </w:rPr>
        <w:t>SM</w:t>
      </w:r>
      <w:r>
        <w:rPr>
          <w:color w:val="231F20"/>
        </w:rPr>
        <w:t>,” and “Business Select</w:t>
      </w:r>
      <w:r>
        <w:rPr>
          <w:color w:val="231F20"/>
          <w:position w:val="5"/>
          <w:sz w:val="16"/>
        </w:rPr>
        <w:t>®</w:t>
      </w:r>
      <w:r>
        <w:rPr>
          <w:color w:val="231F20"/>
        </w:rPr>
        <w:t>,” with the goal of making it easier for Customers to choose the fare they prefer. All fare products include the privilege of two free checked bags. In addition, regardless of the fare product, Southwest does not charge fees for changes to flight reservations.</w:t>
      </w:r>
    </w:p>
    <w:p>
      <w:pPr>
        <w:pStyle w:val="ListParagraph"/>
        <w:numPr>
          <w:ilvl w:val="2"/>
          <w:numId w:val="1"/>
        </w:numPr>
        <w:tabs>
          <w:tab w:pos="1200" w:val="left" w:leader="none"/>
        </w:tabs>
        <w:spacing w:line="247" w:lineRule="auto" w:before="159" w:after="0"/>
        <w:ind w:left="1200" w:right="117" w:hanging="360"/>
        <w:jc w:val="both"/>
        <w:rPr>
          <w:sz w:val="22"/>
        </w:rPr>
      </w:pPr>
      <w:r>
        <w:rPr>
          <w:color w:val="231F20"/>
          <w:sz w:val="22"/>
        </w:rPr>
        <w:t>“Wanna Get Away” fares are generally the lowest fares and are subject to advance purchase requirements. They are nonrefundable but, subject to compliance with Southwest’s No Show policy, funds may be applied to future travel on Southwest. As discussed below under “Operating Strategies and Initiatives - Ancillary Services  and Fees,” Southwest has a No Show policy associated with Wanna Get Away tickets that are not canceled or changed at least ten minutes prior to a flight’s scheduled</w:t>
      </w:r>
      <w:r>
        <w:rPr>
          <w:color w:val="231F20"/>
          <w:spacing w:val="-2"/>
          <w:sz w:val="22"/>
        </w:rPr>
        <w:t> </w:t>
      </w:r>
      <w:r>
        <w:rPr>
          <w:color w:val="231F20"/>
          <w:sz w:val="22"/>
        </w:rPr>
        <w:t>departure.</w:t>
      </w:r>
    </w:p>
    <w:p>
      <w:pPr>
        <w:pStyle w:val="ListParagraph"/>
        <w:numPr>
          <w:ilvl w:val="2"/>
          <w:numId w:val="1"/>
        </w:numPr>
        <w:tabs>
          <w:tab w:pos="1200" w:val="left" w:leader="none"/>
        </w:tabs>
        <w:spacing w:line="247" w:lineRule="auto" w:before="159" w:after="0"/>
        <w:ind w:left="1200" w:right="117" w:hanging="360"/>
        <w:jc w:val="both"/>
        <w:rPr>
          <w:sz w:val="22"/>
        </w:rPr>
      </w:pPr>
      <w:r>
        <w:rPr>
          <w:color w:val="231F20"/>
          <w:sz w:val="22"/>
        </w:rPr>
        <w:t>“Anytime” fares are refundable and changeable, and funds may also be applied toward future travel on Southwest. Anytime fares also include a higher frequent flyer point multiplier under Southwest’s Rapid Rewards</w:t>
      </w:r>
      <w:r>
        <w:rPr>
          <w:color w:val="231F20"/>
          <w:position w:val="5"/>
          <w:sz w:val="16"/>
        </w:rPr>
        <w:t>® </w:t>
      </w:r>
      <w:r>
        <w:rPr>
          <w:color w:val="231F20"/>
          <w:sz w:val="22"/>
        </w:rPr>
        <w:t>frequent flyer program than do Wanna Get Away fares.</w:t>
      </w:r>
    </w:p>
    <w:p>
      <w:pPr>
        <w:pStyle w:val="ListParagraph"/>
        <w:numPr>
          <w:ilvl w:val="2"/>
          <w:numId w:val="1"/>
        </w:numPr>
        <w:tabs>
          <w:tab w:pos="1200" w:val="left" w:leader="none"/>
        </w:tabs>
        <w:spacing w:line="247" w:lineRule="auto" w:before="159" w:after="0"/>
        <w:ind w:left="1200" w:right="117" w:hanging="360"/>
        <w:jc w:val="both"/>
        <w:rPr>
          <w:sz w:val="22"/>
        </w:rPr>
      </w:pPr>
      <w:r>
        <w:rPr>
          <w:color w:val="231F20"/>
          <w:sz w:val="22"/>
        </w:rPr>
        <w:t>“Business Select” fares are refundable and changeable, and funds may be applied toward future travel on Southwest. Business Select fares also include additional perks, when available, such as priority boarding in the first 15 boarding positions within boarding  group “A,” a higher frequent flyer point multiplier than other Southwest fares (including twice as many points per dollar spent as compared with Wanna Get Away fares), “Fly By</w:t>
      </w:r>
      <w:r>
        <w:rPr>
          <w:color w:val="231F20"/>
          <w:position w:val="5"/>
          <w:sz w:val="16"/>
        </w:rPr>
        <w:t>®</w:t>
      </w:r>
      <w:r>
        <w:rPr>
          <w:color w:val="231F20"/>
          <w:sz w:val="22"/>
        </w:rPr>
        <w:t>” priority security and ticket counter access in select airports, and one complimentary adult beverage coupon for the day of travel (for Customers of legal drinking</w:t>
      </w:r>
      <w:r>
        <w:rPr>
          <w:color w:val="231F20"/>
          <w:spacing w:val="-4"/>
          <w:sz w:val="22"/>
        </w:rPr>
        <w:t> </w:t>
      </w:r>
      <w:r>
        <w:rPr>
          <w:color w:val="231F20"/>
          <w:sz w:val="22"/>
        </w:rPr>
        <w:t>age).</w:t>
      </w:r>
    </w:p>
    <w:p>
      <w:pPr>
        <w:pStyle w:val="Heading2"/>
        <w:spacing w:before="159"/>
        <w:ind w:left="216" w:right="7148"/>
        <w:jc w:val="center"/>
        <w:rPr>
          <w:i/>
        </w:rPr>
      </w:pPr>
      <w:r>
        <w:rPr>
          <w:i/>
          <w:color w:val="231F20"/>
        </w:rPr>
        <w:t>AirTran</w:t>
      </w:r>
    </w:p>
    <w:p>
      <w:pPr>
        <w:pStyle w:val="BodyText"/>
        <w:spacing w:line="247" w:lineRule="auto" w:before="166"/>
        <w:ind w:left="119" w:right="117" w:firstLine="720"/>
        <w:jc w:val="both"/>
      </w:pPr>
      <w:r>
        <w:rPr>
          <w:color w:val="231F20"/>
        </w:rPr>
        <w:t>During 2014, AirTran offered a user-friendly fare structure that featured a variety of competitive fares and products. Unlike Southwest, AirTran offered a Business Class product. With the exception of Business Class fares, all AirTran fares were nonrefundable, but could be changed prior to departure, subject to payment of a service charge. AirTran Business Class fares were refundable and changeable and included additional perks such as priority boarding, oversized seats with additional leg room, bonus frequent flyer credit, no first or second bag fees, and complimentary cocktails onboard. In addition, AirTran’s Business Class product could be purchased separately or through an upgrade of a non-Business Class fare within 24 hours of travel.</w:t>
      </w:r>
    </w:p>
    <w:p>
      <w:pPr>
        <w:pStyle w:val="Heading1"/>
        <w:spacing w:before="159"/>
        <w:ind w:left="479"/>
      </w:pPr>
      <w:r>
        <w:rPr>
          <w:color w:val="231F20"/>
        </w:rPr>
        <w:t>Websites</w:t>
      </w:r>
    </w:p>
    <w:p>
      <w:pPr>
        <w:pStyle w:val="BodyText"/>
        <w:spacing w:line="247" w:lineRule="auto" w:before="166"/>
        <w:ind w:left="119" w:right="117" w:firstLine="720"/>
        <w:jc w:val="both"/>
      </w:pPr>
      <w:r>
        <w:rPr>
          <w:color w:val="231F20"/>
        </w:rPr>
        <w:t>The Company’s Internet website, southwest.com</w:t>
      </w:r>
      <w:r>
        <w:rPr>
          <w:color w:val="231F20"/>
          <w:position w:val="5"/>
          <w:sz w:val="16"/>
        </w:rPr>
        <w:t>®</w:t>
      </w:r>
      <w:r>
        <w:rPr>
          <w:color w:val="231F20"/>
        </w:rPr>
        <w:t>, is the only avenue for Southwest  Customers to purchase and manage travel online. Any part of a Customer’s trip can be planned directly from the southwest.com home page. Southwest.com is designed to help make the Customer’s experience personal and intuitive with features such as recognizing the Customer’s location to provide relevant deals, remembering recent searches to make it easy to get to trips of interest, and shopping cart functionality allowing Customers to purchase air, hotel, and car all at once. Southwest.com highlights points </w:t>
      </w:r>
      <w:r>
        <w:rPr>
          <w:color w:val="231F20"/>
          <w:spacing w:val="40"/>
        </w:rPr>
        <w:t> </w:t>
      </w:r>
      <w:r>
        <w:rPr>
          <w:color w:val="231F20"/>
        </w:rPr>
        <w:t>of </w:t>
      </w:r>
      <w:r>
        <w:rPr>
          <w:color w:val="231F20"/>
          <w:spacing w:val="39"/>
        </w:rPr>
        <w:t> </w:t>
      </w:r>
      <w:r>
        <w:rPr>
          <w:color w:val="231F20"/>
        </w:rPr>
        <w:t>differentiation </w:t>
      </w:r>
      <w:r>
        <w:rPr>
          <w:color w:val="231F20"/>
          <w:spacing w:val="39"/>
        </w:rPr>
        <w:t> </w:t>
      </w:r>
      <w:r>
        <w:rPr>
          <w:color w:val="231F20"/>
        </w:rPr>
        <w:t>between </w:t>
      </w:r>
      <w:r>
        <w:rPr>
          <w:color w:val="231F20"/>
          <w:spacing w:val="40"/>
        </w:rPr>
        <w:t> </w:t>
      </w:r>
      <w:r>
        <w:rPr>
          <w:color w:val="231F20"/>
        </w:rPr>
        <w:t>Southwest </w:t>
      </w:r>
      <w:r>
        <w:rPr>
          <w:color w:val="231F20"/>
          <w:spacing w:val="40"/>
        </w:rPr>
        <w:t> </w:t>
      </w:r>
      <w:r>
        <w:rPr>
          <w:color w:val="231F20"/>
        </w:rPr>
        <w:t>and </w:t>
      </w:r>
      <w:r>
        <w:rPr>
          <w:color w:val="231F20"/>
          <w:spacing w:val="40"/>
        </w:rPr>
        <w:t> </w:t>
      </w:r>
      <w:r>
        <w:rPr>
          <w:color w:val="231F20"/>
        </w:rPr>
        <w:t>other </w:t>
      </w:r>
      <w:r>
        <w:rPr>
          <w:color w:val="231F20"/>
          <w:spacing w:val="39"/>
        </w:rPr>
        <w:t> </w:t>
      </w:r>
      <w:r>
        <w:rPr>
          <w:color w:val="231F20"/>
        </w:rPr>
        <w:t>air </w:t>
      </w:r>
      <w:r>
        <w:rPr>
          <w:color w:val="231F20"/>
          <w:spacing w:val="39"/>
        </w:rPr>
        <w:t> </w:t>
      </w:r>
      <w:r>
        <w:rPr>
          <w:color w:val="231F20"/>
        </w:rPr>
        <w:t>carriers, </w:t>
      </w:r>
      <w:r>
        <w:rPr>
          <w:color w:val="231F20"/>
          <w:spacing w:val="40"/>
        </w:rPr>
        <w:t> </w:t>
      </w:r>
      <w:r>
        <w:rPr>
          <w:color w:val="231F20"/>
        </w:rPr>
        <w:t>as </w:t>
      </w:r>
      <w:r>
        <w:rPr>
          <w:color w:val="231F20"/>
          <w:spacing w:val="40"/>
        </w:rPr>
        <w:t> </w:t>
      </w:r>
      <w:r>
        <w:rPr>
          <w:color w:val="231F20"/>
        </w:rPr>
        <w:t>well </w:t>
      </w:r>
      <w:r>
        <w:rPr>
          <w:color w:val="231F20"/>
          <w:spacing w:val="40"/>
        </w:rPr>
        <w:t> </w:t>
      </w:r>
      <w:r>
        <w:rPr>
          <w:color w:val="231F20"/>
        </w:rPr>
        <w:t>as </w:t>
      </w:r>
      <w:r>
        <w:rPr>
          <w:color w:val="231F20"/>
          <w:spacing w:val="39"/>
        </w:rPr>
        <w:t> </w:t>
      </w:r>
      <w:r>
        <w:rPr>
          <w:color w:val="231F20"/>
        </w:rPr>
        <w:t>the </w:t>
      </w:r>
      <w:r>
        <w:rPr>
          <w:color w:val="231F20"/>
          <w:spacing w:val="39"/>
        </w:rPr>
        <w:t> </w:t>
      </w:r>
      <w:r>
        <w:rPr>
          <w:color w:val="231F20"/>
        </w:rPr>
        <w:t>fact </w:t>
      </w:r>
      <w:r>
        <w:rPr>
          <w:color w:val="231F20"/>
          <w:spacing w:val="39"/>
        </w:rPr>
        <w:t> </w:t>
      </w:r>
      <w:r>
        <w:rPr>
          <w:color w:val="231F20"/>
        </w:rPr>
        <w:t>that</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southwest.com is the only place where Customers can purchase Southwest fares online. In addition, southwest.com and swabiz.com (the Company’s business travel reservation web page) are available in  a translated Spanish version, which provides Customers who prefer to transact in Spanish the same level of Customer Service provided by the English versions of the websites. Additionally, as discussed further below under “Other Initiatives - Mobile App and Website and Mobile Boarding Passes,” Southwest offers Customers a mobile website and app to provide Customers the ability to transact with Southwest anytime they have access to their mobile device. The Company launched a new southwest.com home page in September 2014 to reflect the new visual expression of its brand. See “Other Initiatives - New Livery and Branding and Aggressive Promotion of the Company’s Points of Differentiation from its Competitors” for further information about the Company’s new visual expression of its brand.</w:t>
      </w:r>
    </w:p>
    <w:p>
      <w:pPr>
        <w:pStyle w:val="BodyText"/>
        <w:spacing w:line="247" w:lineRule="auto" w:before="159"/>
        <w:ind w:left="100" w:right="117" w:firstLine="720"/>
        <w:jc w:val="both"/>
      </w:pPr>
      <w:r>
        <w:rPr>
          <w:color w:val="231F20"/>
        </w:rPr>
        <w:t>The Internet website, airtran.com, was an integral part of AirTran’s distribution  network during the majority of 2014. In November 2014, the Company completed the integration of booking functions into southwest.com, referring all Customers who visit airtran.com to southwest.com. For the year ended December 31, 2014, approximately 80 percent of the Company’s Passenger revenues came through its websites (including revenues from</w:t>
      </w:r>
      <w:r>
        <w:rPr>
          <w:color w:val="231F20"/>
          <w:spacing w:val="1"/>
        </w:rPr>
        <w:t> </w:t>
      </w:r>
      <w:r>
        <w:rPr>
          <w:color w:val="231F20"/>
        </w:rPr>
        <w:t>SWABIZ</w:t>
      </w:r>
      <w:r>
        <w:rPr>
          <w:color w:val="231F20"/>
          <w:position w:val="5"/>
          <w:sz w:val="16"/>
        </w:rPr>
        <w:t>®</w:t>
      </w:r>
      <w:r>
        <w:rPr>
          <w:color w:val="231F20"/>
        </w:rPr>
        <w:t>).</w:t>
      </w:r>
    </w:p>
    <w:p>
      <w:pPr>
        <w:pStyle w:val="Heading1"/>
        <w:spacing w:before="159"/>
        <w:jc w:val="both"/>
      </w:pPr>
      <w:r>
        <w:rPr>
          <w:color w:val="231F20"/>
        </w:rPr>
        <w:t>Operating Strategies and Initiatives</w:t>
      </w:r>
    </w:p>
    <w:p>
      <w:pPr>
        <w:pStyle w:val="BodyText"/>
        <w:spacing w:line="247" w:lineRule="auto" w:before="166"/>
        <w:ind w:left="100" w:right="117" w:firstLine="720"/>
        <w:jc w:val="both"/>
      </w:pPr>
      <w:r>
        <w:rPr>
          <w:color w:val="231F20"/>
        </w:rPr>
        <w:t>During 2014, the Company continued to focus on five strategic initiatives: (i) the integration of Southwest’s and AirTran’s network and operations, (ii) fleet modernization, (iii) the continued incorporation of the larger Boeing 737-800 aircraft into the Southwest fleet, (iv) international capabilities and new reservation system, and (v) the continued growth of Southwest’s Rapid Rewards frequent flyer program. In addition to the Company’s five strategic initiatives, the Company has continued to design, implement, and manage other initiatives to increase revenues, improve cost controls, and attract and retain Customers.</w:t>
      </w:r>
    </w:p>
    <w:p>
      <w:pPr>
        <w:pStyle w:val="Heading1"/>
        <w:spacing w:before="159"/>
        <w:ind w:left="460"/>
      </w:pPr>
      <w:r>
        <w:rPr>
          <w:color w:val="231F20"/>
        </w:rPr>
        <w:t>Strategic Initiatives</w:t>
      </w:r>
    </w:p>
    <w:p>
      <w:pPr>
        <w:pStyle w:val="Heading2"/>
        <w:spacing w:before="166"/>
        <w:ind w:left="820"/>
        <w:rPr>
          <w:i/>
        </w:rPr>
      </w:pPr>
      <w:r>
        <w:rPr>
          <w:i/>
          <w:color w:val="231F20"/>
        </w:rPr>
        <w:t>Integration of Southwest’s and AirTran’s Network and Operations</w:t>
      </w:r>
    </w:p>
    <w:p>
      <w:pPr>
        <w:pStyle w:val="BodyText"/>
        <w:spacing w:line="247" w:lineRule="auto" w:before="166"/>
        <w:ind w:left="100" w:right="117" w:firstLine="720"/>
        <w:jc w:val="both"/>
      </w:pPr>
      <w:r>
        <w:rPr>
          <w:color w:val="231F20"/>
        </w:rPr>
        <w:t>During 2014, the Company effectively completed the process of integrating AirTran into Southwest’s operations and accomplished the following key integration milestones:</w:t>
      </w:r>
    </w:p>
    <w:p>
      <w:pPr>
        <w:pStyle w:val="ListParagraph"/>
        <w:numPr>
          <w:ilvl w:val="3"/>
          <w:numId w:val="1"/>
        </w:numPr>
        <w:tabs>
          <w:tab w:pos="1541" w:val="left" w:leader="none"/>
        </w:tabs>
        <w:spacing w:line="247" w:lineRule="auto" w:before="159" w:after="0"/>
        <w:ind w:left="1540" w:right="117" w:hanging="360"/>
        <w:jc w:val="both"/>
        <w:rPr>
          <w:sz w:val="22"/>
        </w:rPr>
      </w:pPr>
      <w:r>
        <w:rPr>
          <w:color w:val="231F20"/>
          <w:sz w:val="22"/>
        </w:rPr>
        <w:t>The Company converted AirTran international service to Southwest beginning with  the launch of Southwest international service on July 1, 2014, with service to Jamaica (Montego Bay), The Bahamas (Nassau), and Aruba (Oranjestad). Southwest service to Mexico (Cabo San Lucas/Los Cabos and Cancun) commenced on August 10, 2014, and service to Mexico City and Dominican Republic (Punta Cana) began on  November 2, 2014, establishing a Southwest presence in all cities in Southwest’s and AirTran’s combined network. AirTran’s final passenger service occurred on  December 28,</w:t>
      </w:r>
      <w:r>
        <w:rPr>
          <w:color w:val="231F20"/>
          <w:spacing w:val="1"/>
          <w:sz w:val="22"/>
        </w:rPr>
        <w:t> </w:t>
      </w:r>
      <w:r>
        <w:rPr>
          <w:color w:val="231F20"/>
          <w:sz w:val="22"/>
        </w:rPr>
        <w:t>2014.</w:t>
      </w:r>
    </w:p>
    <w:p>
      <w:pPr>
        <w:pStyle w:val="ListParagraph"/>
        <w:numPr>
          <w:ilvl w:val="3"/>
          <w:numId w:val="1"/>
        </w:numPr>
        <w:tabs>
          <w:tab w:pos="1541" w:val="left" w:leader="none"/>
        </w:tabs>
        <w:spacing w:line="247" w:lineRule="auto" w:before="159" w:after="0"/>
        <w:ind w:left="1540" w:right="117" w:hanging="360"/>
        <w:jc w:val="both"/>
        <w:rPr>
          <w:sz w:val="22"/>
        </w:rPr>
      </w:pPr>
      <w:r>
        <w:rPr>
          <w:color w:val="231F20"/>
          <w:sz w:val="22"/>
        </w:rPr>
        <w:t>The Company continued to transfer AirTran Employees to Southwest. As of  December 31, 2014, all AirTran Employees had been converted to Southwest Employees.</w:t>
      </w:r>
    </w:p>
    <w:p>
      <w:pPr>
        <w:pStyle w:val="ListParagraph"/>
        <w:numPr>
          <w:ilvl w:val="3"/>
          <w:numId w:val="1"/>
        </w:numPr>
        <w:tabs>
          <w:tab w:pos="1541" w:val="left" w:leader="none"/>
        </w:tabs>
        <w:spacing w:line="247" w:lineRule="auto" w:before="159" w:after="0"/>
        <w:ind w:left="1540" w:right="117" w:hanging="360"/>
        <w:jc w:val="both"/>
        <w:rPr>
          <w:sz w:val="22"/>
        </w:rPr>
      </w:pPr>
      <w:r>
        <w:rPr>
          <w:color w:val="231F20"/>
          <w:sz w:val="22"/>
        </w:rPr>
        <w:t>The Company removed the remaining 66 AirTran Boeing 717-200 aircraft from service, enabling the Company to once again operate an all-Boeing 737 fleet, with the expected efficiencies associated with operating a single aircraft</w:t>
      </w:r>
      <w:r>
        <w:rPr>
          <w:color w:val="231F20"/>
          <w:spacing w:val="2"/>
          <w:sz w:val="22"/>
        </w:rPr>
        <w:t> </w:t>
      </w:r>
      <w:r>
        <w:rPr>
          <w:color w:val="231F20"/>
          <w:sz w:val="22"/>
        </w:rPr>
        <w:t>type.</w:t>
      </w:r>
    </w:p>
    <w:p>
      <w:pPr>
        <w:spacing w:after="0" w:line="247" w:lineRule="auto"/>
        <w:jc w:val="both"/>
        <w:rPr>
          <w:sz w:val="22"/>
        </w:rPr>
        <w:sectPr>
          <w:pgSz w:w="11880" w:h="15480"/>
          <w:pgMar w:header="0" w:footer="1240" w:top="1240" w:bottom="1420" w:left="1280" w:right="1260"/>
        </w:sectPr>
      </w:pPr>
    </w:p>
    <w:p>
      <w:pPr>
        <w:pStyle w:val="ListParagraph"/>
        <w:numPr>
          <w:ilvl w:val="3"/>
          <w:numId w:val="1"/>
        </w:numPr>
        <w:tabs>
          <w:tab w:pos="1560" w:val="left" w:leader="none"/>
        </w:tabs>
        <w:spacing w:line="247" w:lineRule="auto" w:before="74" w:after="0"/>
        <w:ind w:left="1560" w:right="117" w:hanging="360"/>
        <w:jc w:val="both"/>
        <w:rPr>
          <w:sz w:val="22"/>
        </w:rPr>
      </w:pPr>
      <w:r>
        <w:rPr>
          <w:color w:val="231F20"/>
          <w:sz w:val="22"/>
        </w:rPr>
        <w:t>The Company continued to convert AirTran 737-700 aircraft to the Southwest livery. As of December 31, 2014, 47 out of a total of 52 AirTran 737-700 aircraft had completed the conversion process and re-entered service as Southwest aircraft. The remaining five AirTran 737-700 aircraft have been removed from service to begin the conversion process and are scheduled to re-enter service as Southwest aircraft in early 2015.</w:t>
      </w:r>
    </w:p>
    <w:p>
      <w:pPr>
        <w:pStyle w:val="ListParagraph"/>
        <w:numPr>
          <w:ilvl w:val="3"/>
          <w:numId w:val="1"/>
        </w:numPr>
        <w:tabs>
          <w:tab w:pos="1560" w:val="left" w:leader="none"/>
        </w:tabs>
        <w:spacing w:line="247" w:lineRule="auto" w:before="159" w:after="0"/>
        <w:ind w:left="1560" w:right="117" w:hanging="360"/>
        <w:jc w:val="both"/>
        <w:rPr>
          <w:sz w:val="22"/>
        </w:rPr>
      </w:pPr>
      <w:r>
        <w:rPr>
          <w:color w:val="231F20"/>
          <w:sz w:val="22"/>
        </w:rPr>
        <w:t>The Company completed the integration of booking and frequent flyer functions into southwest.com, referring all Customers who visit airtran.com to southwest.com. The Company transferred AirTran  Customers’  A+  Rewards  account  history  and  any  A+ Rewards credits that had not expired as of November 1, 2014, into Southwest Rapid Rewards</w:t>
      </w:r>
      <w:r>
        <w:rPr>
          <w:color w:val="231F20"/>
          <w:spacing w:val="1"/>
          <w:sz w:val="22"/>
        </w:rPr>
        <w:t> </w:t>
      </w:r>
      <w:r>
        <w:rPr>
          <w:color w:val="231F20"/>
          <w:sz w:val="22"/>
        </w:rPr>
        <w:t>accounts.</w:t>
      </w:r>
    </w:p>
    <w:p>
      <w:pPr>
        <w:pStyle w:val="Heading2"/>
        <w:spacing w:before="159"/>
        <w:ind w:left="840"/>
        <w:rPr>
          <w:i/>
        </w:rPr>
      </w:pPr>
      <w:r>
        <w:rPr>
          <w:i/>
          <w:color w:val="231F20"/>
        </w:rPr>
        <w:t>Fleet Modernization</w:t>
      </w:r>
    </w:p>
    <w:p>
      <w:pPr>
        <w:pStyle w:val="BodyText"/>
        <w:spacing w:line="247" w:lineRule="auto" w:before="166"/>
        <w:ind w:left="120" w:right="117" w:firstLine="720"/>
        <w:jc w:val="both"/>
      </w:pPr>
      <w:r>
        <w:rPr>
          <w:color w:val="231F20"/>
        </w:rPr>
        <w:t>As discussed below, the Company has multiple efforts underway to replace its older aircraft with newer aircraft that are less maintenance intensive and more fuel efficient and that also have a greater range. The Company expects its long-term fleet modernization plan to provide substantial flexibility to manage its fleet needs in a variety of economic conditions. The Company’s future aircraft delivery schedule is set forth in more detail below under “Properties - Aircraft.”</w:t>
      </w:r>
    </w:p>
    <w:p>
      <w:pPr>
        <w:pStyle w:val="BodyText"/>
        <w:spacing w:line="247" w:lineRule="auto" w:before="159"/>
        <w:ind w:left="120" w:right="117" w:firstLine="720"/>
        <w:jc w:val="both"/>
      </w:pPr>
      <w:r>
        <w:rPr>
          <w:i/>
          <w:color w:val="231F20"/>
          <w:u w:val="single" w:color="231F20"/>
        </w:rPr>
        <w:t>The Boeing 737 MAX. </w:t>
      </w:r>
      <w:r>
        <w:rPr>
          <w:color w:val="231F20"/>
        </w:rPr>
        <w:t>The Company is scheduled to be the launch customer for the new Boeing 737 MAX aircraft, which is designed to be more fuel efficient and environmentally friendly than the Company’s current Boeing aircraft. The Company has placed firm orders for 170 of the Boeing 737 MAX 8 aircraft and expects to begin to take delivery in 2017. Additionally, in 2013 the Company placed a firm order for 30 of the Boeing 737 MAX 7 aircraft and expects to begin to take delivery in 2019. The Company also has options to purchase an additional 191 Boeing 737 MAX aircraft during the period from 2021 through 2027. The Company believes the 737 MAX will (i) have the lowest operating unit costs in the single-aisle segment and (ii) benefit the Company with an engine/ airframe combination that is uniquely designed to optimize operating performance of the Company’s fleet.</w:t>
      </w:r>
    </w:p>
    <w:p>
      <w:pPr>
        <w:pStyle w:val="BodyText"/>
        <w:spacing w:line="247" w:lineRule="auto" w:before="159"/>
        <w:ind w:left="119" w:right="117" w:firstLine="720"/>
        <w:jc w:val="both"/>
      </w:pPr>
      <w:r>
        <w:rPr>
          <w:i/>
          <w:color w:val="231F20"/>
          <w:u w:val="single" w:color="231F20"/>
        </w:rPr>
        <w:t>The Boeing Next-Generation 737. </w:t>
      </w:r>
      <w:r>
        <w:rPr>
          <w:color w:val="231F20"/>
        </w:rPr>
        <w:t>The Company has also expanded its orders for the Boeing Next-Generation 737 aircraft. From 2012 through 2014, the Company purchased 78 Boeing Next- Generation 737-800 aircraft and leased, from third parties, seven Boeing 737-800 aircraft. Additionally, during the same time period, the Company acquired 24 pre-owned 737-700 aircraft from third parties. Including the 737 MAX firm orders described above, the Company has overall total firm orders with Boeing of 275 aircraft for 2015 through 2024. Additionally, for 2015 and 2016, combined, as of December 31, 2014, the Company had agreed to acquire an additional 20 pre-owned 737-700 aircraft from third parties, 14 of which are expected to be leased aircraft. The orders from Boeing and acquisitions from third parties are intended to predominately serve as replacement aircraft for older 737-300 and 737-500 aircraft continuing to be retired from the Company’s fleet and for 717-200 aircraft that the Company has transitioned out of its fleet. The Company also has options with Boeing  to purchase an additional 35 Boeing 737 Next-Generation aircraft during the period from 2016 through 2018.</w:t>
      </w:r>
    </w:p>
    <w:p>
      <w:pPr>
        <w:pStyle w:val="BodyText"/>
        <w:spacing w:line="247" w:lineRule="auto" w:before="159"/>
        <w:ind w:left="120" w:right="117" w:firstLine="720"/>
        <w:jc w:val="both"/>
      </w:pPr>
      <w:r>
        <w:rPr>
          <w:i/>
          <w:color w:val="231F20"/>
          <w:u w:val="single" w:color="231F20"/>
        </w:rPr>
        <w:t>Transition of Boeing 717 Aircraft. </w:t>
      </w:r>
      <w:r>
        <w:rPr>
          <w:color w:val="231F20"/>
        </w:rPr>
        <w:t>Pursuant to an agreement with Delta Air Lines, Inc. and Boeing Capital Corp., during 2014, the Company continued transitioning AirTran’s Boeing 717-200 aircraft out of the Company’s fleet for delivery to Delta. Deliveries to Delta began in September 2013 and are expected to continue at the rate of approximately three aircraft per month. As of December  31,</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2014, all 88 of AirTran’s Boeing 717-200 aircraft had been removed from service and 52 had been delivered to Delta. From a fleet management perspective, this transition allows the Company to minimize the impact of this transaction on operations, as the Boeing 717 capacity lost is expected to be replaced through the capacity gained as a result of (i) the Company’s extension of the retirement dates for a portion of its 737-300 and 737-500 aircraft and (ii) deliveries from Boeing of new 737 aircraft or deliveries of used 737 aircraft from other sources. Transitioning the Boeing 717 aircraft out of the Company’s fleet avoids added complexity to the Company’s operations, as the Company has historically operated an all-Boeing 737 fleet. Replacement of the Boeing 717 aircraft capacity with Boeing 737 capacity provides revenue opportunities with more seats per aircraft, while costing approximately the same amount to fly on a per-trip basis as the smaller Boeing 717 aircraft.</w:t>
      </w:r>
    </w:p>
    <w:p>
      <w:pPr>
        <w:pStyle w:val="Heading2"/>
        <w:spacing w:before="147"/>
        <w:ind w:left="819"/>
        <w:rPr>
          <w:i/>
        </w:rPr>
      </w:pPr>
      <w:r>
        <w:rPr>
          <w:i/>
          <w:color w:val="231F20"/>
        </w:rPr>
        <w:t>Continued Incorporation of the Larger Boeing 737-800 into the Southwest Fleet</w:t>
      </w:r>
    </w:p>
    <w:p>
      <w:pPr>
        <w:pStyle w:val="BodyText"/>
        <w:spacing w:line="247" w:lineRule="auto" w:before="155"/>
        <w:ind w:left="100" w:right="117" w:firstLine="720"/>
        <w:jc w:val="both"/>
      </w:pPr>
      <w:r>
        <w:rPr>
          <w:color w:val="231F20"/>
        </w:rPr>
        <w:t>To further support its fleet modernization efforts, during 2014, the Company continued to incorporate the Boeing 737-800 into the Southwest fleet. The 737-800’s all coach seating configuration of 175 offers significantly more Customer seating capacity than Southwest’s other aircraft. In addition to the 737-800’s added seating capacity, its configuration includes The Boeing Company’s Sky  Interior, which features a quieter cabin, improved operational security features, and LED reading and ceiling lighting. In addition, the domestic airline industry has experienced a decline in short-haul flying since 2000, and the 737-800 allows the Company to adjust its route network to allow for more long- haul flying. The Company expects the 737-800 will continue to enable it to (i) more economically serve long-haul routes; (ii) improve scheduling flexibility and more economically serve high-demand, slot-controlled, and gate-restricted airports by adding seats to such markets without increasing the number of flights; and (iii) boost fuel efficiency to reduce overall unit costs. Additionally, the Company expects the 737-800 will enable Southwest to profitably expand to new destinations, including extended routes over water, and potentially fly to more distant markets such as Hawaii, Alaska, Canada, and other near-international locations. The Company has taken delivery of 85 Boeing 737-800 aircraft from 2012 through 2014 and currently expects  to take delivery of an additional         19 Boeing 737-800s during 2015. The Company’s fleet composition and delivery schedule is discussed in more detail below under “Properties -</w:t>
      </w:r>
      <w:r>
        <w:rPr>
          <w:color w:val="231F20"/>
          <w:spacing w:val="-3"/>
        </w:rPr>
        <w:t> </w:t>
      </w:r>
      <w:r>
        <w:rPr>
          <w:color w:val="231F20"/>
        </w:rPr>
        <w:t>Aircraft.”</w:t>
      </w:r>
    </w:p>
    <w:p>
      <w:pPr>
        <w:pStyle w:val="Heading2"/>
        <w:spacing w:before="148"/>
        <w:ind w:left="819"/>
        <w:rPr>
          <w:i/>
        </w:rPr>
      </w:pPr>
      <w:r>
        <w:rPr>
          <w:i/>
          <w:color w:val="231F20"/>
        </w:rPr>
        <w:t>International Capabilities and New Reservation System</w:t>
      </w:r>
    </w:p>
    <w:p>
      <w:pPr>
        <w:pStyle w:val="BodyText"/>
        <w:spacing w:line="247" w:lineRule="auto" w:before="155"/>
        <w:ind w:left="100" w:right="117" w:firstLine="720"/>
        <w:jc w:val="both"/>
      </w:pPr>
      <w:r>
        <w:rPr>
          <w:color w:val="231F20"/>
        </w:rPr>
        <w:t>In January 2014, the Company launched an international reservation system and, as discussed above under “Company Operations - International Service,” began selling its inaugural international daily nonstop service to be flown by Southwest aircraft beginning July 1, 2014. The Company worked with Amadeus IT Group to launch Amadeus’ Altéa reservations solution to support the Company’s international service.</w:t>
      </w:r>
    </w:p>
    <w:p>
      <w:pPr>
        <w:pStyle w:val="BodyText"/>
        <w:spacing w:line="247" w:lineRule="auto" w:before="147"/>
        <w:ind w:left="100" w:right="117" w:firstLine="720"/>
        <w:jc w:val="both"/>
      </w:pPr>
      <w:r>
        <w:rPr>
          <w:color w:val="231F20"/>
        </w:rPr>
        <w:t>After the successful launch of the Amadeus Altéa international reservation system, the Company announced in May 2014 that it selected Amadeus’ Altéa reservations solution as the Company’s future single reservation system for both domestic and international reservations. This single reservation system is expected to be delivered over a multi-year period.</w:t>
      </w:r>
    </w:p>
    <w:p>
      <w:pPr>
        <w:pStyle w:val="Heading2"/>
        <w:spacing w:before="147"/>
        <w:ind w:left="819"/>
        <w:rPr>
          <w:i/>
        </w:rPr>
      </w:pPr>
      <w:r>
        <w:rPr>
          <w:i/>
          <w:color w:val="231F20"/>
        </w:rPr>
        <w:t>Continued Growth of Southwest’s Rapid Rewards Frequent Flyer Program</w:t>
      </w:r>
    </w:p>
    <w:p>
      <w:pPr>
        <w:pStyle w:val="BodyText"/>
        <w:spacing w:line="247" w:lineRule="auto" w:before="154"/>
        <w:ind w:left="100" w:right="117" w:firstLine="720"/>
        <w:jc w:val="both"/>
      </w:pPr>
      <w:r>
        <w:rPr>
          <w:color w:val="231F20"/>
        </w:rPr>
        <w:t>Southwest’s Rapid Rewards frequent flyer program enables members to earn points for every dollar spent. The amount of points earned under the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Rapid Rewards Member has points-earning activity during the most recent 24 months.</w:t>
      </w:r>
    </w:p>
    <w:p>
      <w:pPr>
        <w:pStyle w:val="BodyText"/>
        <w:spacing w:line="247" w:lineRule="auto" w:before="159"/>
        <w:ind w:left="100" w:right="117" w:firstLine="720"/>
        <w:jc w:val="both"/>
      </w:pPr>
      <w:r>
        <w:rPr>
          <w:color w:val="231F20"/>
        </w:rPr>
        <w:t>Under the program, members continue to accumulate points until the time they decide to redeem them. As a result, the program provides members significant flexibility and options for earning and redeeming rewards. For example, members can earn more points (and/or achieve tiered status such as A-List and Companion Pass faster) by purchasing higher fare tickets. Members also have significant flexibility in redeeming points, such as the opportunity to book in advance to take advantage of a lower fare (including many fare sales) ticket by redeeming fewer points or by being able to redeem more points and book at the last minute if seats are still available for sale. Rapid Rewards Members can also earn points through qualifying purchases with Rapid Rewards Partners (which include, for example,  car rental agencies, hotels, restaurants, and retail locations), as well as by using Southwest’s  co-branded Chase</w:t>
      </w:r>
      <w:r>
        <w:rPr>
          <w:color w:val="231F20"/>
          <w:position w:val="5"/>
          <w:sz w:val="16"/>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 for revenue flights and qualifying purchases with Rapid Rewards Partners, Rapid Rewards Members also have the ability to purchase</w:t>
      </w:r>
      <w:r>
        <w:rPr>
          <w:color w:val="231F20"/>
          <w:spacing w:val="1"/>
        </w:rPr>
        <w:t> </w:t>
      </w:r>
      <w:r>
        <w:rPr>
          <w:color w:val="231F20"/>
        </w:rPr>
        <w:t>points.</w:t>
      </w:r>
    </w:p>
    <w:p>
      <w:pPr>
        <w:pStyle w:val="BodyText"/>
        <w:spacing w:line="247" w:lineRule="auto" w:before="159"/>
        <w:ind w:left="100" w:right="117" w:firstLine="720"/>
        <w:jc w:val="both"/>
      </w:pPr>
      <w:r>
        <w:rPr>
          <w:color w:val="231F20"/>
        </w:rPr>
        <w:t>Southwest’s Rapid Rewards frequent flyer program features tier and Companion Pass  programs for the most active members, including “A-List” and “A-List Preferred” status. Both A-List and A-List Preferred Members enjoy benefits such as “Fly By</w:t>
      </w:r>
      <w:r>
        <w:rPr>
          <w:color w:val="231F20"/>
          <w:position w:val="5"/>
          <w:sz w:val="16"/>
        </w:rPr>
        <w:t>®</w:t>
      </w:r>
      <w:r>
        <w:rPr>
          <w:color w:val="231F20"/>
        </w:rPr>
        <w:t>” priority checkin and security lane access, where available, as well as dedicated phone lines, standby priority, and an earnings bonus on eligible revenue flights (25 percent for A-List and 100 percent for A-List Preferred). In addition, A-List Preferred Members enjoy free inflight WiFi on equipped flights. Rapid Rewards Members who attain A-List or A-List Preferred status receive priority boarding privileges for an entire year. When these Customers purchase travel at least 36 hours prior to flight time, they receive the best boarding pass number available (generally, an “A” boarding pass). Rapid Rewards Members who fly 100 qualifying one-way flights or earn 110,000 qualifying points in a calendar year automatically receive a Companion Pass, which provides for unlimited free travel for one year to any destination available on Southwest for a designated companion of the qualifying Rapid Rewards Member. The Rapid Rewards Member and designated companion must travel together on the same</w:t>
      </w:r>
      <w:r>
        <w:rPr>
          <w:color w:val="231F20"/>
          <w:spacing w:val="1"/>
        </w:rPr>
        <w:t> </w:t>
      </w:r>
      <w:r>
        <w:rPr>
          <w:color w:val="231F20"/>
        </w:rPr>
        <w:t>flight.</w:t>
      </w:r>
    </w:p>
    <w:p>
      <w:pPr>
        <w:pStyle w:val="BodyText"/>
        <w:spacing w:line="247" w:lineRule="auto" w:before="159"/>
        <w:ind w:left="100" w:right="117" w:firstLine="720"/>
        <w:jc w:val="both"/>
      </w:pPr>
      <w:r>
        <w:rPr>
          <w:color w:val="231F20"/>
        </w:rPr>
        <w:t>Southwest’s Rapid Rewards frequent flyer program has been designed to drive more revenue by (i) bringing in new Customers, including new Rapid Rewards Members, as well as new holders of Southwest’s co-branded Chase Visa credit card; (ii) increasing business from existing Customers;   and</w:t>
      </w:r>
    </w:p>
    <w:p>
      <w:pPr>
        <w:pStyle w:val="ListParagraph"/>
        <w:numPr>
          <w:ilvl w:val="0"/>
          <w:numId w:val="2"/>
        </w:numPr>
        <w:tabs>
          <w:tab w:pos="495" w:val="left" w:leader="none"/>
        </w:tabs>
        <w:spacing w:line="247" w:lineRule="auto" w:before="0" w:after="0"/>
        <w:ind w:left="100" w:right="117" w:firstLine="0"/>
        <w:jc w:val="both"/>
        <w:rPr>
          <w:sz w:val="22"/>
        </w:rPr>
      </w:pPr>
      <w:r>
        <w:rPr>
          <w:color w:val="231F20"/>
          <w:sz w:val="22"/>
        </w:rPr>
        <w:t>strengthening the Company’s Rapid Rewards hotel, rental car, credit card, and retail partnerships. To date, the program has exceeded the Company’s expectations with respect to the number of frequent flyer members added, the amount spent per member on airfare, the number of flights taken by members, the number of Southwest’s co-branded Chase Visa credit card holders added, the number of points sold to business partners, and the number of frequent flyer points purchased by program members.</w:t>
      </w:r>
    </w:p>
    <w:p>
      <w:pPr>
        <w:pStyle w:val="BodyText"/>
        <w:spacing w:line="247" w:lineRule="auto" w:before="160"/>
        <w:ind w:left="100" w:right="117" w:firstLine="720"/>
        <w:jc w:val="both"/>
      </w:pPr>
      <w:r>
        <w:rPr>
          <w:color w:val="231F20"/>
        </w:rPr>
        <w:t>During 2014, AirTran’s A+ Rewards frequent flyer program offered a number of ways to earn free travel, including bonus earnings for Business Class travel. A+ Rewards members could earn a credit for each one-way trip flown or 1.5 credits for one-way Business Class travel. A+ Rewards  credits could also be earned for purchases made with an AirTran A+ Rewards Chase Visa credit card. The</w:t>
      </w:r>
      <w:r>
        <w:rPr>
          <w:color w:val="231F20"/>
          <w:spacing w:val="21"/>
        </w:rPr>
        <w:t> </w:t>
      </w:r>
      <w:r>
        <w:rPr>
          <w:color w:val="231F20"/>
        </w:rPr>
        <w:t>last</w:t>
      </w:r>
      <w:r>
        <w:rPr>
          <w:color w:val="231F20"/>
          <w:spacing w:val="21"/>
        </w:rPr>
        <w:t> </w:t>
      </w:r>
      <w:r>
        <w:rPr>
          <w:color w:val="231F20"/>
        </w:rPr>
        <w:t>day</w:t>
      </w:r>
      <w:r>
        <w:rPr>
          <w:color w:val="231F20"/>
          <w:spacing w:val="21"/>
        </w:rPr>
        <w:t> </w:t>
      </w:r>
      <w:r>
        <w:rPr>
          <w:color w:val="231F20"/>
        </w:rPr>
        <w:t>to</w:t>
      </w:r>
      <w:r>
        <w:rPr>
          <w:color w:val="231F20"/>
          <w:spacing w:val="21"/>
        </w:rPr>
        <w:t> </w:t>
      </w:r>
      <w:r>
        <w:rPr>
          <w:color w:val="231F20"/>
        </w:rPr>
        <w:t>earn</w:t>
      </w:r>
      <w:r>
        <w:rPr>
          <w:color w:val="231F20"/>
          <w:spacing w:val="21"/>
        </w:rPr>
        <w:t> </w:t>
      </w:r>
      <w:r>
        <w:rPr>
          <w:color w:val="231F20"/>
        </w:rPr>
        <w:t>or</w:t>
      </w:r>
      <w:r>
        <w:rPr>
          <w:color w:val="231F20"/>
          <w:spacing w:val="21"/>
        </w:rPr>
        <w:t> </w:t>
      </w:r>
      <w:r>
        <w:rPr>
          <w:color w:val="231F20"/>
        </w:rPr>
        <w:t>redeem</w:t>
      </w:r>
      <w:r>
        <w:rPr>
          <w:color w:val="231F20"/>
          <w:spacing w:val="21"/>
        </w:rPr>
        <w:t> </w:t>
      </w:r>
      <w:r>
        <w:rPr>
          <w:color w:val="231F20"/>
        </w:rPr>
        <w:t>A+Rewards</w:t>
      </w:r>
      <w:r>
        <w:rPr>
          <w:color w:val="231F20"/>
          <w:spacing w:val="22"/>
        </w:rPr>
        <w:t> </w:t>
      </w:r>
      <w:r>
        <w:rPr>
          <w:color w:val="231F20"/>
        </w:rPr>
        <w:t>credits</w:t>
      </w:r>
      <w:r>
        <w:rPr>
          <w:color w:val="231F20"/>
          <w:spacing w:val="21"/>
        </w:rPr>
        <w:t> </w:t>
      </w:r>
      <w:r>
        <w:rPr>
          <w:color w:val="231F20"/>
        </w:rPr>
        <w:t>in</w:t>
      </w:r>
      <w:r>
        <w:rPr>
          <w:color w:val="231F20"/>
          <w:spacing w:val="20"/>
        </w:rPr>
        <w:t> </w:t>
      </w:r>
      <w:r>
        <w:rPr>
          <w:color w:val="231F20"/>
        </w:rPr>
        <w:t>AirTran’s</w:t>
      </w:r>
      <w:r>
        <w:rPr>
          <w:color w:val="231F20"/>
          <w:spacing w:val="20"/>
        </w:rPr>
        <w:t> </w:t>
      </w:r>
      <w:r>
        <w:rPr>
          <w:color w:val="231F20"/>
        </w:rPr>
        <w:t>A+</w:t>
      </w:r>
      <w:r>
        <w:rPr>
          <w:color w:val="231F20"/>
          <w:spacing w:val="21"/>
        </w:rPr>
        <w:t> </w:t>
      </w:r>
      <w:r>
        <w:rPr>
          <w:color w:val="231F20"/>
        </w:rPr>
        <w:t>Rewards</w:t>
      </w:r>
      <w:r>
        <w:rPr>
          <w:color w:val="231F20"/>
          <w:spacing w:val="21"/>
        </w:rPr>
        <w:t> </w:t>
      </w:r>
      <w:r>
        <w:rPr>
          <w:color w:val="231F20"/>
        </w:rPr>
        <w:t>frequent</w:t>
      </w:r>
      <w:r>
        <w:rPr>
          <w:color w:val="231F20"/>
          <w:spacing w:val="20"/>
        </w:rPr>
        <w:t> </w:t>
      </w:r>
      <w:r>
        <w:rPr>
          <w:color w:val="231F20"/>
        </w:rPr>
        <w:t>flyer</w:t>
      </w:r>
      <w:r>
        <w:rPr>
          <w:color w:val="231F20"/>
          <w:spacing w:val="20"/>
        </w:rPr>
        <w:t> </w:t>
      </w:r>
      <w:r>
        <w:rPr>
          <w:color w:val="231F20"/>
        </w:rPr>
        <w:t>program</w:t>
      </w:r>
    </w:p>
    <w:p>
      <w:pPr>
        <w:spacing w:after="0" w:line="247" w:lineRule="auto"/>
        <w:jc w:val="both"/>
        <w:sectPr>
          <w:pgSz w:w="11880" w:h="15480"/>
          <w:pgMar w:header="0" w:footer="1240" w:top="1240" w:bottom="1420" w:left="1280" w:right="1260"/>
        </w:sectPr>
      </w:pPr>
    </w:p>
    <w:p>
      <w:pPr>
        <w:pStyle w:val="BodyText"/>
        <w:spacing w:line="247" w:lineRule="auto" w:before="74"/>
        <w:ind w:left="100" w:right="119"/>
        <w:jc w:val="both"/>
      </w:pPr>
      <w:r>
        <w:rPr>
          <w:color w:val="231F20"/>
        </w:rPr>
        <w:t>was on November 1, 2014. After that time, the program ended and all remaining A+ Rewards accounts were converted to Southwest’s Rapid Rewards frequent flyer program, and all remaining A+Rewards credits were converted to Rapid Rewards points.</w:t>
      </w:r>
    </w:p>
    <w:p>
      <w:pPr>
        <w:pStyle w:val="BodyText"/>
        <w:spacing w:line="247" w:lineRule="auto" w:before="129"/>
        <w:ind w:left="100" w:right="117" w:firstLine="720"/>
        <w:jc w:val="both"/>
      </w:pPr>
      <w:r>
        <w:rPr>
          <w:color w:val="231F20"/>
        </w:rPr>
        <w:t>For the Company’s 2014 consolidated results, Customers of Southwest and AirTran redeemed approximately 6.2 million flight awards, accounting for approximately 11.0 percent of revenue passenger miles flown. For the Company’s 2013 consolidated results, Customers of Southwest and AirTran redeemed approximately 5.4 million flight awards, accounting for approximately 9.5 percent of revenue passenger miles flown. For the Company’s 2012 consolidated results, Customers of Southwest and AirTran redeemed approximately 4.5 million flight awards, accounting for approximately 9.0 percent of revenue passenger miles flown. The Company’s accounting policies with respect to its frequent flyer programs are discussed in more detail in Note 1 to the Consolidated Financial Statements.</w:t>
      </w:r>
    </w:p>
    <w:p>
      <w:pPr>
        <w:pStyle w:val="Heading1"/>
        <w:spacing w:before="129"/>
        <w:ind w:left="460"/>
      </w:pPr>
      <w:r>
        <w:rPr>
          <w:color w:val="231F20"/>
        </w:rPr>
        <w:t>Other Initiatives</w:t>
      </w:r>
    </w:p>
    <w:p>
      <w:pPr>
        <w:pStyle w:val="Heading2"/>
        <w:spacing w:before="136"/>
        <w:ind w:left="650"/>
        <w:rPr>
          <w:i/>
        </w:rPr>
      </w:pPr>
      <w:r>
        <w:rPr>
          <w:i/>
          <w:color w:val="231F20"/>
        </w:rPr>
        <w:t>Network Optimization and Revenue Management</w:t>
      </w:r>
    </w:p>
    <w:p>
      <w:pPr>
        <w:pStyle w:val="BodyText"/>
        <w:spacing w:line="247" w:lineRule="auto" w:before="136"/>
        <w:ind w:left="100" w:right="117" w:firstLine="720"/>
        <w:jc w:val="both"/>
      </w:pPr>
      <w:r>
        <w:rPr>
          <w:color w:val="231F20"/>
        </w:rPr>
        <w:t>The Company uses profitability management tools to manage capacity and route expansion though optimization of its flight schedule to, among other things, better match demand in certain markets. Using its profitability management tools, the Company continually adjusts the Company’s network through the addition of new markets and routes, the adjustment of frequencies in existing markets, and the exiting of certain unsustainable markets and redeployment of aircraft to other markets. As part of its continuing network optimization efforts, the Company ceased operations in Branson, Missouri; Key West, Florida; and Jackson, Mississippi in June 2014. The Company believes the continued optimization and alignment of its flight schedule can continue to yield significant synergies and other benefits. Over the next several years, the Company also plans to develop new systems to improve both revenue management and network optimization capabilities.</w:t>
      </w:r>
    </w:p>
    <w:p>
      <w:pPr>
        <w:pStyle w:val="Heading2"/>
        <w:spacing w:before="129"/>
        <w:ind w:left="819"/>
        <w:rPr>
          <w:i/>
        </w:rPr>
      </w:pPr>
      <w:r>
        <w:rPr>
          <w:i/>
          <w:color w:val="231F20"/>
        </w:rPr>
        <w:t>Cost Containment</w:t>
      </w:r>
    </w:p>
    <w:p>
      <w:pPr>
        <w:pStyle w:val="BodyText"/>
        <w:spacing w:line="247" w:lineRule="auto" w:before="137"/>
        <w:ind w:left="100" w:right="117" w:firstLine="720"/>
        <w:jc w:val="both"/>
      </w:pPr>
      <w:r>
        <w:rPr>
          <w:color w:val="231F20"/>
        </w:rPr>
        <w:t>Over the last several years, the Company has undertaken a number of cost-containment  projects for the purpose of preserving Southwest’s low-cost advantage and low-fare brand. These have included the fleet modernization and network optimization strategies discussed above. Among other things, fleet modernization has contributed to lower maintenance and repair expenses, and network optimization is enabling Employee scheduling</w:t>
      </w:r>
      <w:r>
        <w:rPr>
          <w:color w:val="231F20"/>
          <w:spacing w:val="-2"/>
        </w:rPr>
        <w:t> </w:t>
      </w:r>
      <w:r>
        <w:rPr>
          <w:color w:val="231F20"/>
        </w:rPr>
        <w:t>efficiencies.</w:t>
      </w:r>
    </w:p>
    <w:p>
      <w:pPr>
        <w:pStyle w:val="BodyText"/>
        <w:spacing w:line="247" w:lineRule="auto" w:before="129"/>
        <w:ind w:left="100" w:right="118" w:firstLine="720"/>
        <w:jc w:val="both"/>
      </w:pPr>
      <w:r>
        <w:rPr>
          <w:color w:val="231F20"/>
        </w:rPr>
        <w:t>In addition, these cost-containment projects have included various fuel conservation and  carbon emission reduction initiatives such as the following:</w:t>
      </w:r>
    </w:p>
    <w:p>
      <w:pPr>
        <w:pStyle w:val="ListParagraph"/>
        <w:numPr>
          <w:ilvl w:val="1"/>
          <w:numId w:val="2"/>
        </w:numPr>
        <w:tabs>
          <w:tab w:pos="1540" w:val="left" w:leader="none"/>
        </w:tabs>
        <w:spacing w:line="247" w:lineRule="auto" w:before="129" w:after="0"/>
        <w:ind w:left="1540" w:right="117" w:hanging="360"/>
        <w:jc w:val="both"/>
        <w:rPr>
          <w:sz w:val="22"/>
        </w:rPr>
      </w:pPr>
      <w:r>
        <w:rPr>
          <w:color w:val="231F20"/>
          <w:sz w:val="22"/>
        </w:rPr>
        <w:t>installation of blended winglets, which reduce drag and increase fuel efficiency, on all Boeing 737-700 and 737-800 aircraft in Southwest’s fleet and on a majority of Southwest’s 737-300</w:t>
      </w:r>
      <w:r>
        <w:rPr>
          <w:color w:val="231F20"/>
          <w:spacing w:val="-1"/>
          <w:sz w:val="22"/>
        </w:rPr>
        <w:t> </w:t>
      </w:r>
      <w:r>
        <w:rPr>
          <w:color w:val="231F20"/>
          <w:sz w:val="22"/>
        </w:rPr>
        <w:t>aircraft;</w:t>
      </w:r>
    </w:p>
    <w:p>
      <w:pPr>
        <w:pStyle w:val="ListParagraph"/>
        <w:numPr>
          <w:ilvl w:val="1"/>
          <w:numId w:val="2"/>
        </w:numPr>
        <w:tabs>
          <w:tab w:pos="1540" w:val="left" w:leader="none"/>
        </w:tabs>
        <w:spacing w:line="247" w:lineRule="auto" w:before="129" w:after="0"/>
        <w:ind w:left="1540" w:right="117" w:hanging="360"/>
        <w:jc w:val="both"/>
        <w:rPr>
          <w:sz w:val="22"/>
        </w:rPr>
      </w:pPr>
      <w:r>
        <w:rPr>
          <w:color w:val="231F20"/>
          <w:sz w:val="22"/>
        </w:rPr>
        <w:t>upgrading of the Company’s 737-800 fleet during the 2014-2015 timeframe  with newly designed, split scimitar</w:t>
      </w:r>
      <w:r>
        <w:rPr>
          <w:color w:val="231F20"/>
          <w:spacing w:val="-1"/>
          <w:sz w:val="22"/>
        </w:rPr>
        <w:t> </w:t>
      </w:r>
      <w:r>
        <w:rPr>
          <w:color w:val="231F20"/>
          <w:sz w:val="22"/>
        </w:rPr>
        <w:t>winglets;</w:t>
      </w:r>
    </w:p>
    <w:p>
      <w:pPr>
        <w:pStyle w:val="ListParagraph"/>
        <w:numPr>
          <w:ilvl w:val="1"/>
          <w:numId w:val="2"/>
        </w:numPr>
        <w:tabs>
          <w:tab w:pos="1539" w:val="left" w:leader="none"/>
          <w:tab w:pos="1540" w:val="left" w:leader="none"/>
        </w:tabs>
        <w:spacing w:line="240" w:lineRule="auto" w:before="129" w:after="0"/>
        <w:ind w:left="1540" w:right="0" w:hanging="360"/>
        <w:jc w:val="left"/>
        <w:rPr>
          <w:sz w:val="22"/>
        </w:rPr>
      </w:pPr>
      <w:r>
        <w:rPr>
          <w:color w:val="231F20"/>
          <w:sz w:val="22"/>
        </w:rPr>
        <w:t>periodic engine washes;</w:t>
      </w:r>
    </w:p>
    <w:p>
      <w:pPr>
        <w:pStyle w:val="ListParagraph"/>
        <w:numPr>
          <w:ilvl w:val="1"/>
          <w:numId w:val="2"/>
        </w:numPr>
        <w:tabs>
          <w:tab w:pos="1540" w:val="left" w:leader="none"/>
        </w:tabs>
        <w:spacing w:line="247" w:lineRule="auto" w:before="137" w:after="0"/>
        <w:ind w:left="1540" w:right="117" w:hanging="360"/>
        <w:jc w:val="both"/>
        <w:rPr>
          <w:sz w:val="22"/>
        </w:rPr>
      </w:pPr>
      <w:r>
        <w:rPr>
          <w:color w:val="231F20"/>
          <w:sz w:val="22"/>
        </w:rPr>
        <w:t>use of electric ground power for aircraft air and power at the gate and for ground support equipment at select</w:t>
      </w:r>
      <w:r>
        <w:rPr>
          <w:color w:val="231F20"/>
          <w:spacing w:val="1"/>
          <w:sz w:val="22"/>
        </w:rPr>
        <w:t> </w:t>
      </w:r>
      <w:r>
        <w:rPr>
          <w:color w:val="231F20"/>
          <w:sz w:val="22"/>
        </w:rPr>
        <w:t>locations;</w:t>
      </w:r>
    </w:p>
    <w:p>
      <w:pPr>
        <w:pStyle w:val="ListParagraph"/>
        <w:numPr>
          <w:ilvl w:val="1"/>
          <w:numId w:val="2"/>
        </w:numPr>
        <w:tabs>
          <w:tab w:pos="1540" w:val="left" w:leader="none"/>
        </w:tabs>
        <w:spacing w:line="247" w:lineRule="auto" w:before="129" w:after="0"/>
        <w:ind w:left="1540" w:right="118" w:hanging="360"/>
        <w:jc w:val="both"/>
        <w:rPr>
          <w:sz w:val="22"/>
        </w:rPr>
      </w:pPr>
      <w:r>
        <w:rPr>
          <w:color w:val="231F20"/>
          <w:sz w:val="22"/>
        </w:rPr>
        <w:t>deployment of auto-throttle and vertical navigation to maintain optimum cruising speeds;</w:t>
      </w:r>
    </w:p>
    <w:p>
      <w:pPr>
        <w:spacing w:after="0" w:line="247" w:lineRule="auto"/>
        <w:jc w:val="both"/>
        <w:rPr>
          <w:sz w:val="22"/>
        </w:rPr>
        <w:sectPr>
          <w:pgSz w:w="11880" w:h="15480"/>
          <w:pgMar w:header="0" w:footer="1240" w:top="1240" w:bottom="1420" w:left="1280" w:right="1260"/>
        </w:sectPr>
      </w:pPr>
    </w:p>
    <w:p>
      <w:pPr>
        <w:pStyle w:val="ListParagraph"/>
        <w:numPr>
          <w:ilvl w:val="1"/>
          <w:numId w:val="2"/>
        </w:numPr>
        <w:tabs>
          <w:tab w:pos="1539" w:val="left" w:leader="none"/>
          <w:tab w:pos="1540" w:val="left" w:leader="none"/>
        </w:tabs>
        <w:spacing w:line="247" w:lineRule="auto" w:before="74" w:after="0"/>
        <w:ind w:left="1540" w:right="118" w:hanging="360"/>
        <w:jc w:val="left"/>
        <w:rPr>
          <w:sz w:val="22"/>
        </w:rPr>
      </w:pPr>
      <w:r>
        <w:rPr>
          <w:color w:val="231F20"/>
          <w:sz w:val="22"/>
        </w:rPr>
        <w:t>implementation of new engine start procedures to support the introduction of new single engine taxi procedures;</w:t>
      </w:r>
    </w:p>
    <w:p>
      <w:pPr>
        <w:pStyle w:val="ListParagraph"/>
        <w:numPr>
          <w:ilvl w:val="1"/>
          <w:numId w:val="2"/>
        </w:numPr>
        <w:tabs>
          <w:tab w:pos="1539" w:val="left" w:leader="none"/>
          <w:tab w:pos="1540" w:val="left" w:leader="none"/>
        </w:tabs>
        <w:spacing w:line="247" w:lineRule="auto" w:before="159" w:after="0"/>
        <w:ind w:left="1540" w:right="118" w:hanging="360"/>
        <w:jc w:val="left"/>
        <w:rPr>
          <w:sz w:val="22"/>
        </w:rPr>
      </w:pPr>
      <w:r>
        <w:rPr>
          <w:color w:val="231F20"/>
          <w:sz w:val="22"/>
        </w:rPr>
        <w:t>adjustment of the timing of auxiliary power unit starts on originating flights to reduce auxiliary power unit</w:t>
      </w:r>
      <w:r>
        <w:rPr>
          <w:color w:val="231F20"/>
          <w:spacing w:val="-2"/>
          <w:sz w:val="22"/>
        </w:rPr>
        <w:t> </w:t>
      </w:r>
      <w:r>
        <w:rPr>
          <w:color w:val="231F20"/>
          <w:sz w:val="22"/>
        </w:rPr>
        <w:t>usage;</w:t>
      </w:r>
    </w:p>
    <w:p>
      <w:pPr>
        <w:pStyle w:val="ListParagraph"/>
        <w:numPr>
          <w:ilvl w:val="1"/>
          <w:numId w:val="2"/>
        </w:numPr>
        <w:tabs>
          <w:tab w:pos="1539" w:val="left" w:leader="none"/>
          <w:tab w:pos="1540" w:val="left" w:leader="none"/>
        </w:tabs>
        <w:spacing w:line="240" w:lineRule="auto" w:before="159" w:after="0"/>
        <w:ind w:left="1540" w:right="0" w:hanging="360"/>
        <w:jc w:val="left"/>
        <w:rPr>
          <w:sz w:val="22"/>
        </w:rPr>
      </w:pPr>
      <w:r>
        <w:rPr>
          <w:color w:val="231F20"/>
          <w:sz w:val="22"/>
        </w:rPr>
        <w:t>fuel planning initiatives to safely reduce loading of excess</w:t>
      </w:r>
      <w:r>
        <w:rPr>
          <w:color w:val="231F20"/>
          <w:spacing w:val="-2"/>
          <w:sz w:val="22"/>
        </w:rPr>
        <w:t> </w:t>
      </w:r>
      <w:r>
        <w:rPr>
          <w:color w:val="231F20"/>
          <w:sz w:val="22"/>
        </w:rPr>
        <w:t>fuel;</w:t>
      </w:r>
    </w:p>
    <w:p>
      <w:pPr>
        <w:pStyle w:val="ListParagraph"/>
        <w:numPr>
          <w:ilvl w:val="1"/>
          <w:numId w:val="2"/>
        </w:numPr>
        <w:tabs>
          <w:tab w:pos="1539" w:val="left" w:leader="none"/>
          <w:tab w:pos="1540" w:val="left" w:leader="none"/>
        </w:tabs>
        <w:spacing w:line="240" w:lineRule="auto" w:before="166" w:after="0"/>
        <w:ind w:left="1540" w:right="0" w:hanging="360"/>
        <w:jc w:val="left"/>
        <w:rPr>
          <w:sz w:val="22"/>
        </w:rPr>
      </w:pPr>
      <w:r>
        <w:rPr>
          <w:i/>
          <w:color w:val="231F20"/>
          <w:sz w:val="22"/>
        </w:rPr>
        <w:t>Evolve </w:t>
      </w:r>
      <w:r>
        <w:rPr>
          <w:color w:val="231F20"/>
          <w:sz w:val="22"/>
        </w:rPr>
        <w:t>aircraft cabin interior retrofit featuring lighter</w:t>
      </w:r>
      <w:r>
        <w:rPr>
          <w:color w:val="231F20"/>
          <w:spacing w:val="-4"/>
          <w:sz w:val="22"/>
        </w:rPr>
        <w:t> </w:t>
      </w:r>
      <w:r>
        <w:rPr>
          <w:color w:val="231F20"/>
          <w:sz w:val="22"/>
        </w:rPr>
        <w:t>seats;</w:t>
      </w:r>
    </w:p>
    <w:p>
      <w:pPr>
        <w:pStyle w:val="ListParagraph"/>
        <w:numPr>
          <w:ilvl w:val="1"/>
          <w:numId w:val="2"/>
        </w:numPr>
        <w:tabs>
          <w:tab w:pos="1539" w:val="left" w:leader="none"/>
          <w:tab w:pos="1540" w:val="left" w:leader="none"/>
        </w:tabs>
        <w:spacing w:line="247" w:lineRule="auto" w:before="166" w:after="0"/>
        <w:ind w:left="1540" w:right="118" w:hanging="360"/>
        <w:jc w:val="left"/>
        <w:rPr>
          <w:sz w:val="22"/>
        </w:rPr>
      </w:pPr>
      <w:r>
        <w:rPr>
          <w:color w:val="231F20"/>
          <w:sz w:val="22"/>
        </w:rPr>
        <w:t>reduced aircraft engine idle speed while on the ground, which also increases engine life;</w:t>
      </w:r>
    </w:p>
    <w:p>
      <w:pPr>
        <w:pStyle w:val="ListParagraph"/>
        <w:numPr>
          <w:ilvl w:val="1"/>
          <w:numId w:val="2"/>
        </w:numPr>
        <w:tabs>
          <w:tab w:pos="1539" w:val="left" w:leader="none"/>
          <w:tab w:pos="1540" w:val="left" w:leader="none"/>
        </w:tabs>
        <w:spacing w:line="240" w:lineRule="auto" w:before="159" w:after="0"/>
        <w:ind w:left="1540" w:right="0" w:hanging="360"/>
        <w:jc w:val="left"/>
        <w:rPr>
          <w:sz w:val="22"/>
        </w:rPr>
      </w:pPr>
      <w:r>
        <w:rPr>
          <w:color w:val="231F20"/>
          <w:sz w:val="22"/>
        </w:rPr>
        <w:t>galley refresh with dry goods weight</w:t>
      </w:r>
      <w:r>
        <w:rPr>
          <w:color w:val="231F20"/>
          <w:spacing w:val="-2"/>
          <w:sz w:val="22"/>
        </w:rPr>
        <w:t> </w:t>
      </w:r>
      <w:r>
        <w:rPr>
          <w:color w:val="231F20"/>
          <w:sz w:val="22"/>
        </w:rPr>
        <w:t>reduction;</w:t>
      </w:r>
    </w:p>
    <w:p>
      <w:pPr>
        <w:pStyle w:val="ListParagraph"/>
        <w:numPr>
          <w:ilvl w:val="1"/>
          <w:numId w:val="2"/>
        </w:numPr>
        <w:tabs>
          <w:tab w:pos="1539" w:val="left" w:leader="none"/>
          <w:tab w:pos="1540" w:val="left" w:leader="none"/>
        </w:tabs>
        <w:spacing w:line="247" w:lineRule="auto" w:before="167" w:after="0"/>
        <w:ind w:left="1540" w:right="118" w:hanging="360"/>
        <w:jc w:val="left"/>
        <w:rPr>
          <w:sz w:val="22"/>
        </w:rPr>
      </w:pPr>
      <w:r>
        <w:rPr>
          <w:color w:val="231F20"/>
          <w:sz w:val="22"/>
        </w:rPr>
        <w:t>Company Optimized Routes (flying the best wind routes to take advantage of tailwinds or to minimize</w:t>
      </w:r>
      <w:r>
        <w:rPr>
          <w:color w:val="231F20"/>
          <w:spacing w:val="-3"/>
          <w:sz w:val="22"/>
        </w:rPr>
        <w:t> </w:t>
      </w:r>
      <w:r>
        <w:rPr>
          <w:color w:val="231F20"/>
          <w:sz w:val="22"/>
        </w:rPr>
        <w:t>headwinds);</w:t>
      </w:r>
    </w:p>
    <w:p>
      <w:pPr>
        <w:pStyle w:val="ListParagraph"/>
        <w:numPr>
          <w:ilvl w:val="1"/>
          <w:numId w:val="2"/>
        </w:numPr>
        <w:tabs>
          <w:tab w:pos="1539" w:val="left" w:leader="none"/>
          <w:tab w:pos="1540" w:val="left" w:leader="none"/>
        </w:tabs>
        <w:spacing w:line="247" w:lineRule="auto" w:before="159" w:after="0"/>
        <w:ind w:left="1540" w:right="119" w:hanging="360"/>
        <w:jc w:val="left"/>
        <w:rPr>
          <w:sz w:val="22"/>
        </w:rPr>
      </w:pPr>
      <w:r>
        <w:rPr>
          <w:color w:val="231F20"/>
          <w:sz w:val="22"/>
        </w:rPr>
        <w:t>improved flight planning algorithms to better match aircraft Flight Management System (flying at the most efficient</w:t>
      </w:r>
      <w:r>
        <w:rPr>
          <w:color w:val="231F20"/>
          <w:spacing w:val="-2"/>
          <w:sz w:val="22"/>
        </w:rPr>
        <w:t> </w:t>
      </w:r>
      <w:r>
        <w:rPr>
          <w:color w:val="231F20"/>
          <w:sz w:val="22"/>
        </w:rPr>
        <w:t>altitude);</w:t>
      </w:r>
    </w:p>
    <w:p>
      <w:pPr>
        <w:pStyle w:val="ListParagraph"/>
        <w:numPr>
          <w:ilvl w:val="1"/>
          <w:numId w:val="2"/>
        </w:numPr>
        <w:tabs>
          <w:tab w:pos="1539" w:val="left" w:leader="none"/>
          <w:tab w:pos="1540" w:val="left" w:leader="none"/>
        </w:tabs>
        <w:spacing w:line="240" w:lineRule="auto" w:before="159" w:after="0"/>
        <w:ind w:left="1540" w:right="0" w:hanging="360"/>
        <w:jc w:val="left"/>
        <w:rPr>
          <w:sz w:val="22"/>
        </w:rPr>
      </w:pPr>
      <w:r>
        <w:rPr>
          <w:color w:val="231F20"/>
          <w:sz w:val="22"/>
        </w:rPr>
        <w:t>substitution of Pilot flight bags with lighter Electronic Flight Bag tablets;</w:t>
      </w:r>
      <w:r>
        <w:rPr>
          <w:color w:val="231F20"/>
          <w:spacing w:val="-6"/>
          <w:sz w:val="22"/>
        </w:rPr>
        <w:t> </w:t>
      </w:r>
      <w:r>
        <w:rPr>
          <w:color w:val="231F20"/>
          <w:sz w:val="22"/>
        </w:rPr>
        <w:t>and</w:t>
      </w:r>
    </w:p>
    <w:p>
      <w:pPr>
        <w:pStyle w:val="ListParagraph"/>
        <w:numPr>
          <w:ilvl w:val="1"/>
          <w:numId w:val="2"/>
        </w:numPr>
        <w:tabs>
          <w:tab w:pos="1539" w:val="left" w:leader="none"/>
          <w:tab w:pos="1540" w:val="left" w:leader="none"/>
        </w:tabs>
        <w:spacing w:line="247" w:lineRule="auto" w:before="167" w:after="0"/>
        <w:ind w:left="1540" w:right="117" w:hanging="360"/>
        <w:jc w:val="left"/>
        <w:rPr>
          <w:sz w:val="22"/>
        </w:rPr>
      </w:pPr>
      <w:r>
        <w:rPr>
          <w:color w:val="231F20"/>
          <w:sz w:val="22"/>
        </w:rPr>
        <w:t>Real Time Descent Winds (automatic uplink of up-to-date wind data to the aircraft allowing crews to time the descent to minimize thrust</w:t>
      </w:r>
      <w:r>
        <w:rPr>
          <w:color w:val="231F20"/>
          <w:spacing w:val="-4"/>
          <w:sz w:val="22"/>
        </w:rPr>
        <w:t> </w:t>
      </w:r>
      <w:r>
        <w:rPr>
          <w:color w:val="231F20"/>
          <w:sz w:val="22"/>
        </w:rPr>
        <w:t>inputs).</w:t>
      </w:r>
    </w:p>
    <w:p>
      <w:pPr>
        <w:pStyle w:val="BodyText"/>
        <w:spacing w:line="247" w:lineRule="auto" w:before="159"/>
        <w:ind w:left="100" w:right="117" w:firstLine="720"/>
        <w:jc w:val="both"/>
      </w:pPr>
      <w:r>
        <w:rPr>
          <w:color w:val="231F20"/>
        </w:rPr>
        <w:t>The Company has also participated in Required Navigation Performance (“RNP”) operations as part of the FAA’s Performance Based Navigation program, which is intended to modernize the U.S. Air Traffic Control System by addressing limitations on air transportation capacity and making more efficient use of airspace. RNP combines the capabilities of advanced aircraft avionics, Global Positioning System (“GPS”)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 Southwest began conducting GPS approach procedures during the first quarter of 2010, completed RNP training of nearly 6,000 pilots in November 2010, and commenced RNP procedures in revenue service in January 2011. By the end of 2014, Southwest had conducted  over 18,000 RNP approaches, including approximately 4,500 in 2014. Southwest must rely on RNP approaches published by the FAA, and the rate of introduction of RNP approaches continues to be slower than expected, with fuel efficient RNP approaches currently available at only 46 airports. In addition, even at airports with approved RNP approaches, the clearance required from air traffic controllers to perform RNP approaches is sometimes not granted. Southwest continues to work with  the FAA to develop more RNP approaches and to modify air traffic control rules to support greater utilization of</w:t>
      </w:r>
      <w:r>
        <w:rPr>
          <w:color w:val="231F20"/>
          <w:spacing w:val="-2"/>
        </w:rPr>
        <w:t> </w:t>
      </w:r>
      <w:r>
        <w:rPr>
          <w:color w:val="231F20"/>
        </w:rPr>
        <w:t>RNP.</w:t>
      </w:r>
    </w:p>
    <w:p>
      <w:pPr>
        <w:pStyle w:val="Heading2"/>
        <w:spacing w:line="247" w:lineRule="auto" w:before="159"/>
        <w:ind w:left="820" w:right="97"/>
      </w:pPr>
      <w:r>
        <w:rPr>
          <w:i/>
          <w:color w:val="231F20"/>
        </w:rPr>
        <w:t>New Livery and Branding and Aggressive Promotion of the Company’s Points of </w:t>
      </w:r>
      <w:r>
        <w:rPr>
          <w:color w:val="231F20"/>
        </w:rPr>
        <w:t>Differentiation from its Competitors</w:t>
      </w:r>
    </w:p>
    <w:p>
      <w:pPr>
        <w:pStyle w:val="BodyText"/>
        <w:spacing w:line="247" w:lineRule="auto" w:before="159"/>
        <w:ind w:left="100" w:right="117" w:firstLine="720"/>
        <w:jc w:val="both"/>
      </w:pPr>
      <w:r>
        <w:rPr>
          <w:color w:val="231F20"/>
        </w:rPr>
        <w:t>In September 2014, the Company launched a new visual expression of its brand by introducing a new Heart aircraft livery, airport experience, and logo. From a financial perspective, the Company intends for this launch to remain cost-neutral by using a phased roll-out across both its fleet and its network.  Aircraft already  in the  Company’s  fleet  are  scheduled  to receive  the newly painted livery</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within the aircraft’s existing repainting schedule, while new aircraft will be delivered in the Heart livery. In addition, many of the future airport conversions will be integrated into existing and  upcoming airport improvement</w:t>
      </w:r>
      <w:r>
        <w:rPr>
          <w:color w:val="231F20"/>
          <w:spacing w:val="-2"/>
        </w:rPr>
        <w:t> </w:t>
      </w:r>
      <w:r>
        <w:rPr>
          <w:color w:val="231F20"/>
        </w:rPr>
        <w:t>projects.</w:t>
      </w:r>
    </w:p>
    <w:p>
      <w:pPr>
        <w:pStyle w:val="BodyText"/>
        <w:spacing w:line="247" w:lineRule="auto" w:before="159"/>
        <w:ind w:left="120" w:right="117" w:firstLine="720"/>
        <w:jc w:val="both"/>
      </w:pPr>
      <w:r>
        <w:rPr>
          <w:color w:val="231F20"/>
        </w:rPr>
        <w:t>During 2014, the Company continued to benefit from, and aggressively market, Southwest’s points of differentiation from its competitors. For example, Southwest continues to be the only major</w:t>
      </w:r>
    </w:p>
    <w:p>
      <w:pPr>
        <w:pStyle w:val="BodyText"/>
        <w:spacing w:line="247" w:lineRule="auto"/>
        <w:ind w:left="119" w:right="117"/>
        <w:jc w:val="both"/>
      </w:pPr>
      <w:r>
        <w:rPr>
          <w:color w:val="231F20"/>
        </w:rPr>
        <w:t>U.S. airline that does not impose additional fees for first and second checked bags. Through both its national and local marketing campaigns, Southwest has continued to aggressively promote this point of differentiation from its competitors with its “Bags Fly Free</w:t>
      </w:r>
      <w:r>
        <w:rPr>
          <w:color w:val="231F20"/>
          <w:position w:val="5"/>
          <w:sz w:val="16"/>
        </w:rPr>
        <w:t>®</w:t>
      </w:r>
      <w:r>
        <w:rPr>
          <w:color w:val="231F20"/>
        </w:rPr>
        <w:t>” message. The Company believes its decision not to charge for first and second checked bags on Southwest, as reinforced by the Company’s related marketing campaign, has driven an increase in Southwest’s market share and a resulting net increase in revenues.</w:t>
      </w:r>
    </w:p>
    <w:p>
      <w:pPr>
        <w:pStyle w:val="BodyText"/>
        <w:spacing w:line="247" w:lineRule="auto" w:before="160"/>
        <w:ind w:left="119" w:right="117" w:firstLine="720"/>
        <w:jc w:val="both"/>
      </w:pPr>
      <w:r>
        <w:rPr>
          <w:color w:val="231F20"/>
        </w:rPr>
        <w:t>Southwest is also the only major U.S. airline that does not impose a fee on any of its fares for a Customer change in flight reservations. The Company has continued to incorporate this key point of differentiation in its marketing campaigns. The campaigns highlight the importance to Southwest of Customer Service by showing that Southwest understands plans can change and therefore does not charge a change fee. While a Customer may pay a difference in airfare, the Customer will not be charged a change fee on top of any difference in airfare.</w:t>
      </w:r>
    </w:p>
    <w:p>
      <w:pPr>
        <w:pStyle w:val="BodyText"/>
        <w:spacing w:line="247" w:lineRule="auto" w:before="159"/>
        <w:ind w:left="119" w:right="117" w:firstLine="720"/>
        <w:jc w:val="both"/>
      </w:pPr>
      <w:r>
        <w:rPr>
          <w:color w:val="231F20"/>
        </w:rPr>
        <w:t>Also unlike most of its competitors, Southwest does not impose additional fees for items such as seat selection, fuel surcharges, snacks, curb-side checkin, and telephone reservations. In addition, Southwest allows each ticketed Customer to check one stroller and one car seat free of charge, in addition to the two free checked bags.</w:t>
      </w:r>
    </w:p>
    <w:p>
      <w:pPr>
        <w:pStyle w:val="BodyText"/>
        <w:spacing w:line="247" w:lineRule="auto" w:before="159"/>
        <w:ind w:left="119" w:right="118" w:firstLine="720"/>
        <w:jc w:val="both"/>
      </w:pPr>
      <w:r>
        <w:rPr>
          <w:color w:val="231F20"/>
        </w:rPr>
        <w:t>The Company also continues to promote all of the many other reasons to fly Southwest such as its low fares, network size, Customer Service, free live television offerings (discussed below under “Inflight WiFi and Entertainment”), and its Rapid Rewards frequent flyer program.</w:t>
      </w:r>
    </w:p>
    <w:p>
      <w:pPr>
        <w:pStyle w:val="Heading2"/>
        <w:spacing w:before="159"/>
        <w:ind w:left="839"/>
        <w:rPr>
          <w:i/>
        </w:rPr>
      </w:pPr>
      <w:r>
        <w:rPr>
          <w:i/>
          <w:color w:val="231F20"/>
        </w:rPr>
        <w:t>Business Traveler Amenities</w:t>
      </w:r>
    </w:p>
    <w:p>
      <w:pPr>
        <w:pStyle w:val="BodyText"/>
        <w:spacing w:line="247" w:lineRule="auto" w:before="166"/>
        <w:ind w:left="119" w:right="118" w:firstLine="720"/>
        <w:jc w:val="both"/>
      </w:pPr>
      <w:r>
        <w:rPr>
          <w:color w:val="231F20"/>
        </w:rPr>
        <w:t>Southwest offers several products that have been designed to attract business/full fare  travelers.</w:t>
      </w:r>
    </w:p>
    <w:p>
      <w:pPr>
        <w:pStyle w:val="BodyText"/>
        <w:spacing w:line="247" w:lineRule="auto" w:before="159"/>
        <w:ind w:left="119" w:right="117" w:firstLine="720"/>
        <w:jc w:val="both"/>
      </w:pPr>
      <w:r>
        <w:rPr>
          <w:i/>
          <w:color w:val="231F20"/>
        </w:rPr>
        <w:t>Business Select. </w:t>
      </w:r>
      <w:r>
        <w:rPr>
          <w:color w:val="231F20"/>
        </w:rPr>
        <w:t>As discussed above, Southwest’s “Business Select” fare includes perks such  as priority boarding in the first 15 boarding positions within boarding group “A” when available, a higher frequent flyer point multiplier than other Southwest fares (including twice as many points per dollar spent as compared with Wanna Get Away fares), “Fly By</w:t>
      </w:r>
      <w:r>
        <w:rPr>
          <w:color w:val="231F20"/>
          <w:position w:val="5"/>
          <w:sz w:val="16"/>
        </w:rPr>
        <w:t>®</w:t>
      </w:r>
      <w:r>
        <w:rPr>
          <w:color w:val="231F20"/>
        </w:rPr>
        <w:t>” priority ticket counter and security checkpoint access in select airports, and one complimentary adult beverage coupon for the day of  travel (for Customers of legal drinking</w:t>
      </w:r>
      <w:r>
        <w:rPr>
          <w:color w:val="231F20"/>
          <w:spacing w:val="-3"/>
        </w:rPr>
        <w:t> </w:t>
      </w:r>
      <w:r>
        <w:rPr>
          <w:color w:val="231F20"/>
        </w:rPr>
        <w:t>age).</w:t>
      </w:r>
    </w:p>
    <w:p>
      <w:pPr>
        <w:pStyle w:val="BodyText"/>
        <w:spacing w:line="247" w:lineRule="auto" w:before="159"/>
        <w:ind w:left="120" w:right="118" w:firstLine="720"/>
        <w:jc w:val="both"/>
      </w:pPr>
      <w:r>
        <w:rPr>
          <w:i/>
          <w:color w:val="231F20"/>
        </w:rPr>
        <w:t>Fly By</w:t>
      </w:r>
      <w:r>
        <w:rPr>
          <w:color w:val="231F20"/>
          <w:position w:val="5"/>
          <w:sz w:val="16"/>
        </w:rPr>
        <w:t>® </w:t>
      </w:r>
      <w:r>
        <w:rPr>
          <w:i/>
          <w:color w:val="231F20"/>
        </w:rPr>
        <w:t>Priority Lanes. </w:t>
      </w:r>
      <w:r>
        <w:rPr>
          <w:color w:val="231F20"/>
        </w:rPr>
        <w:t>Southwest provides Fly By Priority Lane access for its Business Select Customers and Rapid Rewards A-List Members at many of its airports. Fly By Priority Lanes are priority access lanes located at select ticket counters and security checkpoints. The lanes allow Business Select Customers and Rapid Rewards A-List Members direct access to the front of the line at the ticket counter and/or security checkpoint. As of December 31, 2014, Fly By Priority Lane access was available at 78 airports served by</w:t>
      </w:r>
      <w:r>
        <w:rPr>
          <w:color w:val="231F20"/>
          <w:spacing w:val="-1"/>
        </w:rPr>
        <w:t> </w:t>
      </w:r>
      <w:r>
        <w:rPr>
          <w:color w:val="231F20"/>
        </w:rPr>
        <w:t>Southwest.</w:t>
      </w:r>
    </w:p>
    <w:p>
      <w:pPr>
        <w:pStyle w:val="BodyText"/>
        <w:spacing w:line="247" w:lineRule="auto" w:before="159"/>
        <w:ind w:left="119" w:right="118" w:firstLine="720"/>
        <w:jc w:val="both"/>
      </w:pPr>
      <w:r>
        <w:rPr>
          <w:i/>
          <w:color w:val="231F20"/>
        </w:rPr>
        <w:t>SWABIZ. </w:t>
      </w:r>
      <w:r>
        <w:rPr>
          <w:color w:val="231F20"/>
        </w:rPr>
        <w:t>SWABIZ is Southwest’s business travel reservation web page. SWABIZ allows business travelers to plan, book, and purchase Ticketless Travel on Southwest and to efficiently obtain their lowest fares and maximum frequent flyer credit.</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firstLine="720"/>
        <w:jc w:val="both"/>
      </w:pPr>
      <w:r>
        <w:rPr>
          <w:color w:val="231F20"/>
        </w:rPr>
        <w:t>In addition, as discussed below under “Inflight WiFi and Entertainment,” Southwest has continued to install equipment on its fleet to provide access to WiFi connectivity and live television utilizing the Customer’s mobile device.</w:t>
      </w:r>
    </w:p>
    <w:p>
      <w:pPr>
        <w:pStyle w:val="Heading2"/>
        <w:spacing w:before="147"/>
        <w:ind w:left="820"/>
        <w:rPr>
          <w:i/>
        </w:rPr>
      </w:pPr>
      <w:r>
        <w:rPr>
          <w:i/>
          <w:color w:val="231F20"/>
        </w:rPr>
        <w:t>Ancillary Services and Fees</w:t>
      </w:r>
    </w:p>
    <w:p>
      <w:pPr>
        <w:pStyle w:val="BodyText"/>
        <w:spacing w:line="247" w:lineRule="auto" w:before="155"/>
        <w:ind w:left="100" w:right="117" w:firstLine="720"/>
        <w:jc w:val="both"/>
      </w:pPr>
      <w:r>
        <w:rPr>
          <w:color w:val="231F20"/>
        </w:rPr>
        <w:t>During 2014, the Company continued to experience revenue benefits from service offerings such as Southwest’s EarlyBird Check-In</w:t>
      </w:r>
      <w:r>
        <w:rPr>
          <w:color w:val="231F20"/>
          <w:position w:val="5"/>
          <w:sz w:val="16"/>
        </w:rPr>
        <w:t>® </w:t>
      </w:r>
      <w:r>
        <w:rPr>
          <w:color w:val="231F20"/>
        </w:rPr>
        <w:t>and Pets Are Welcome on Southwest (P.A.W.S.) products. EarlyBird Check-In provides Customers with automatic checkin so Customers are checked in 12 hours before general boarding positions become available, improving Customers’ seat selection options. Customers can purchase EarlyBird Check-In for an additional $12.50 each way (priority boarding privileges are already a benefit of being an A-List frequent flyer - see “Operating Strategies and Initiatives—Continued Growth of Southwest’s Rapid Rewards Frequent Flyer Program” above). Southwest’s P.A.W.S. offering allows Customers to bring a small cat or dog into the aircraft cabin for  a $95 one-way fare. Southwest also charges an additional $50 per one-way trip for unaccompanied minor travel to address the administrative costs and the extra care necessary to safely transport these Customers. The Company also expects to continue to benefit from ancillary revenue opportunities created by Southwest’s Rapid Rewards frequent flyer</w:t>
      </w:r>
      <w:r>
        <w:rPr>
          <w:color w:val="231F20"/>
          <w:spacing w:val="-1"/>
        </w:rPr>
        <w:t> </w:t>
      </w:r>
      <w:r>
        <w:rPr>
          <w:color w:val="231F20"/>
        </w:rPr>
        <w:t>program.</w:t>
      </w:r>
    </w:p>
    <w:p>
      <w:pPr>
        <w:pStyle w:val="BodyText"/>
        <w:spacing w:line="247" w:lineRule="auto" w:before="147"/>
        <w:ind w:left="100" w:right="116" w:firstLine="720"/>
        <w:jc w:val="both"/>
      </w:pPr>
      <w:r>
        <w:rPr>
          <w:color w:val="231F20"/>
        </w:rPr>
        <w:t>Southwest sells open priority boarding positions in the first 15 boarding positions within boarding group “A” systemwide at the gate for a $40 charge per flight based on availability (priority boarding positions in the first 15 boarding positions within boarding group “A”, when available, are already included in the purchase of a Business Select fare - see “Other Initiatives - Business Traveler Amenities” above), which provides another priority boarding choice for its Customers in addition to Southwest’s “Business Select” product and EarlyBird Check-In.</w:t>
      </w:r>
    </w:p>
    <w:p>
      <w:pPr>
        <w:pStyle w:val="BodyText"/>
        <w:spacing w:line="247" w:lineRule="auto" w:before="147"/>
        <w:ind w:left="100" w:right="117" w:firstLine="720"/>
        <w:jc w:val="both"/>
      </w:pPr>
      <w:r>
        <w:rPr>
          <w:color w:val="231F20"/>
        </w:rPr>
        <w:t>Southwest has a No Show policy that applies to nonrefundable fares that are not canceled or changed by a Customer at least ten minutes prior to a flight’s scheduled departure. If a Customer has booked a nonrefundable fare anywhere in his/her itinerary and that portion of the flight is not used and not canceled or changed by the Customer at least ten minutes prior to scheduled departure, all unused funds on the full itinerary will be forfeited, and the remaining reservation will be canceled. This policy does not apply to military fares, senior fares, or travel during certain irregular operations, including severe weather conditions. The No Show policy does not impact Customers who simply cancel a Wanna Get Away or DING! </w:t>
      </w:r>
      <w:r>
        <w:rPr>
          <w:color w:val="231F20"/>
          <w:position w:val="5"/>
          <w:sz w:val="16"/>
        </w:rPr>
        <w:t>® </w:t>
      </w:r>
      <w:r>
        <w:rPr>
          <w:color w:val="231F20"/>
        </w:rPr>
        <w:t>fare at least ten minutes prior to scheduled departure; in this case, Customers may reuse their funds toward future travel on Southwest, without a change fee. Customers who are traveling on a fully refundable itinerary that does not contain a Wanna Get Away or DING! fare have the option of either requesting a refund or holding funds for future travel. Southwest’s intent with its No Show policy is to promote Customer behavior that will enable Southwest to re-sell the open seat prior to departure.</w:t>
      </w:r>
    </w:p>
    <w:p>
      <w:pPr>
        <w:pStyle w:val="BodyText"/>
        <w:spacing w:line="247" w:lineRule="auto" w:before="147"/>
        <w:ind w:left="100" w:right="117" w:firstLine="720"/>
        <w:jc w:val="both"/>
      </w:pPr>
      <w:r>
        <w:rPr>
          <w:color w:val="231F20"/>
        </w:rPr>
        <w:t>During 2014, AirTran charged fees for checked baggage, carriage of pets, liquor sales, advance seat assignments, call center services, priority seat selection, special services such as the transportation of unaccompanied minors, and extension or transfer of A+ Miles Rewards (in addition to fees for the purchase of A+ Miles Rewards).</w:t>
      </w:r>
    </w:p>
    <w:p>
      <w:pPr>
        <w:pStyle w:val="Heading2"/>
        <w:spacing w:before="147"/>
        <w:ind w:left="820"/>
        <w:rPr>
          <w:i/>
        </w:rPr>
      </w:pPr>
      <w:r>
        <w:rPr>
          <w:i/>
          <w:color w:val="231F20"/>
        </w:rPr>
        <w:t>Inflight WiFi and Entertainment</w:t>
      </w:r>
    </w:p>
    <w:p>
      <w:pPr>
        <w:pStyle w:val="BodyText"/>
        <w:spacing w:line="247" w:lineRule="auto" w:before="155"/>
        <w:ind w:left="100" w:right="117" w:firstLine="720"/>
        <w:jc w:val="both"/>
      </w:pPr>
      <w:r>
        <w:rPr>
          <w:color w:val="231F20"/>
        </w:rPr>
        <w:t>Southwest offers inflight satellite-based WiFi service on all of its 737-700 and 737-800 aircraft, representing approximately 80 percent of Southwest’s fleet. Southwest’s arrangement with its WiFi provider enables the Company to control the pricing of the WiFi service, which is currently $8 a day  per  device,  including WiFi-enabled  stops  and  connections.  Southwest’s Customers with </w:t>
      </w:r>
      <w:r>
        <w:rPr>
          <w:color w:val="231F20"/>
          <w:spacing w:val="40"/>
        </w:rPr>
        <w:t> </w:t>
      </w:r>
      <w:r>
        <w:rPr>
          <w:color w:val="231F20"/>
        </w:rPr>
        <w:t>small</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portable electronic devices are able to utilize the airline’s onboard WiFi from gate-to-gate when travelling on a Southwest WiFi-enabled airplane. Southwest was the first carrier to offer gate-to-gate connectivity.</w:t>
      </w:r>
    </w:p>
    <w:p>
      <w:pPr>
        <w:pStyle w:val="BodyText"/>
        <w:spacing w:line="247" w:lineRule="auto" w:before="159"/>
        <w:ind w:left="100" w:right="117" w:firstLine="720"/>
        <w:jc w:val="both"/>
      </w:pPr>
      <w:r>
        <w:rPr>
          <w:color w:val="231F20"/>
        </w:rPr>
        <w:t>Southwest has grown the onboard entertainment options on WiFi-enabled aircraft for viewing on Customers’ personal wireless devices to include free access to Southwest’s live and on-demand television product. The television product currently consists of 19 live channels and up to 75 on- demand recorded episodes from popular television series. Due to licensing restrictions, free live TV may not be available onboard WiFi-enabled international flights.</w:t>
      </w:r>
    </w:p>
    <w:p>
      <w:pPr>
        <w:pStyle w:val="BodyText"/>
        <w:spacing w:line="247" w:lineRule="auto" w:before="159"/>
        <w:ind w:left="100" w:right="118" w:firstLine="720"/>
        <w:jc w:val="both"/>
      </w:pPr>
      <w:r>
        <w:rPr>
          <w:color w:val="231F20"/>
        </w:rPr>
        <w:t>Southwest also provides movies-on-demand, which are currently priced at $5 per movie and,   in December 2013, became the first airline to offer a Messaging-only option for $2 a day per device, including all WiFi-enabled stops and connections. The Messaging service allows access to iMessage and pre-downloaded apps for Viber and</w:t>
      </w:r>
      <w:r>
        <w:rPr>
          <w:color w:val="231F20"/>
          <w:spacing w:val="-1"/>
        </w:rPr>
        <w:t> </w:t>
      </w:r>
      <w:r>
        <w:rPr>
          <w:color w:val="231F20"/>
        </w:rPr>
        <w:t>WhatsApp.</w:t>
      </w:r>
    </w:p>
    <w:p>
      <w:pPr>
        <w:pStyle w:val="BodyText"/>
        <w:spacing w:line="247" w:lineRule="auto" w:before="159"/>
        <w:ind w:left="100" w:right="117" w:firstLine="720"/>
        <w:jc w:val="both"/>
      </w:pPr>
      <w:r>
        <w:rPr>
          <w:color w:val="231F20"/>
        </w:rPr>
        <w:t>Customers do not have to purchase WiFi to access television offerings, movies-on-demand, or the Messaging-only service.</w:t>
      </w:r>
    </w:p>
    <w:p>
      <w:pPr>
        <w:pStyle w:val="Heading2"/>
        <w:spacing w:before="159"/>
        <w:ind w:left="819"/>
        <w:rPr>
          <w:i/>
        </w:rPr>
      </w:pPr>
      <w:r>
        <w:rPr>
          <w:i/>
          <w:color w:val="231F20"/>
        </w:rPr>
        <w:t>Proactive Customer Communications</w:t>
      </w:r>
    </w:p>
    <w:p>
      <w:pPr>
        <w:pStyle w:val="BodyText"/>
        <w:tabs>
          <w:tab w:pos="2576" w:val="left" w:leader="none"/>
          <w:tab w:pos="3754" w:val="left" w:leader="none"/>
          <w:tab w:pos="5989" w:val="left" w:leader="none"/>
          <w:tab w:pos="8727" w:val="left" w:leader="none"/>
        </w:tabs>
        <w:spacing w:before="166"/>
        <w:ind w:left="819"/>
      </w:pPr>
      <w:r>
        <w:rPr>
          <w:color w:val="231F20"/>
        </w:rPr>
        <w:t>The  </w:t>
      </w:r>
      <w:r>
        <w:rPr>
          <w:color w:val="231F20"/>
          <w:spacing w:val="34"/>
        </w:rPr>
        <w:t> </w:t>
      </w:r>
      <w:r>
        <w:rPr>
          <w:color w:val="231F20"/>
        </w:rPr>
        <w:t>Company’s</w:t>
        <w:tab/>
        <w:t>Automated</w:t>
        <w:tab/>
        <w:t>Outbound  </w:t>
      </w:r>
      <w:r>
        <w:rPr>
          <w:color w:val="231F20"/>
          <w:spacing w:val="35"/>
        </w:rPr>
        <w:t> </w:t>
      </w:r>
      <w:r>
        <w:rPr>
          <w:color w:val="231F20"/>
        </w:rPr>
        <w:t>Messaging</w:t>
        <w:tab/>
        <w:t>(“AOM”)  </w:t>
      </w:r>
      <w:r>
        <w:rPr>
          <w:color w:val="231F20"/>
          <w:spacing w:val="34"/>
        </w:rPr>
        <w:t> </w:t>
      </w:r>
      <w:r>
        <w:rPr>
          <w:color w:val="231F20"/>
        </w:rPr>
        <w:t>service  </w:t>
      </w:r>
      <w:r>
        <w:rPr>
          <w:color w:val="231F20"/>
          <w:spacing w:val="34"/>
        </w:rPr>
        <w:t> </w:t>
      </w:r>
      <w:r>
        <w:rPr>
          <w:color w:val="231F20"/>
        </w:rPr>
        <w:t>enables</w:t>
        <w:tab/>
        <w:t>it  </w:t>
      </w:r>
      <w:r>
        <w:rPr>
          <w:color w:val="231F20"/>
          <w:spacing w:val="33"/>
        </w:rPr>
        <w:t> </w:t>
      </w:r>
      <w:r>
        <w:rPr>
          <w:color w:val="231F20"/>
        </w:rPr>
        <w:t>to</w:t>
      </w:r>
    </w:p>
    <w:p>
      <w:pPr>
        <w:pStyle w:val="ListParagraph"/>
        <w:numPr>
          <w:ilvl w:val="0"/>
          <w:numId w:val="3"/>
        </w:numPr>
        <w:tabs>
          <w:tab w:pos="381" w:val="left" w:leader="none"/>
        </w:tabs>
        <w:spacing w:line="247" w:lineRule="auto" w:before="6" w:after="0"/>
        <w:ind w:left="100" w:right="117" w:firstLine="0"/>
        <w:jc w:val="both"/>
        <w:rPr>
          <w:sz w:val="22"/>
        </w:rPr>
      </w:pPr>
      <w:r>
        <w:rPr>
          <w:color w:val="231F20"/>
          <w:sz w:val="22"/>
        </w:rPr>
        <w:t>proactively deliver customized automated voice, text, and e-mail messages to Southwest domestic Customers when there has been a change in their flight status as a result of a cancellation or flight  delay</w:t>
      </w:r>
      <w:r>
        <w:rPr>
          <w:color w:val="231F20"/>
          <w:spacing w:val="18"/>
          <w:sz w:val="22"/>
        </w:rPr>
        <w:t> </w:t>
      </w:r>
      <w:r>
        <w:rPr>
          <w:color w:val="231F20"/>
          <w:sz w:val="22"/>
        </w:rPr>
        <w:t>(of</w:t>
      </w:r>
      <w:r>
        <w:rPr>
          <w:color w:val="231F20"/>
          <w:spacing w:val="16"/>
          <w:sz w:val="22"/>
        </w:rPr>
        <w:t> </w:t>
      </w:r>
      <w:r>
        <w:rPr>
          <w:color w:val="231F20"/>
          <w:sz w:val="22"/>
        </w:rPr>
        <w:t>30</w:t>
      </w:r>
      <w:r>
        <w:rPr>
          <w:color w:val="231F20"/>
          <w:spacing w:val="17"/>
          <w:sz w:val="22"/>
        </w:rPr>
        <w:t> </w:t>
      </w:r>
      <w:r>
        <w:rPr>
          <w:color w:val="231F20"/>
          <w:sz w:val="22"/>
        </w:rPr>
        <w:t>minutes</w:t>
      </w:r>
      <w:r>
        <w:rPr>
          <w:color w:val="231F20"/>
          <w:spacing w:val="17"/>
          <w:sz w:val="22"/>
        </w:rPr>
        <w:t> </w:t>
      </w:r>
      <w:r>
        <w:rPr>
          <w:color w:val="231F20"/>
          <w:sz w:val="22"/>
        </w:rPr>
        <w:t>or</w:t>
      </w:r>
      <w:r>
        <w:rPr>
          <w:color w:val="231F20"/>
          <w:spacing w:val="16"/>
          <w:sz w:val="22"/>
        </w:rPr>
        <w:t> </w:t>
      </w:r>
      <w:r>
        <w:rPr>
          <w:color w:val="231F20"/>
          <w:sz w:val="22"/>
        </w:rPr>
        <w:t>more),</w:t>
      </w:r>
      <w:r>
        <w:rPr>
          <w:color w:val="231F20"/>
          <w:spacing w:val="16"/>
          <w:sz w:val="22"/>
        </w:rPr>
        <w:t> </w:t>
      </w:r>
      <w:r>
        <w:rPr>
          <w:color w:val="231F20"/>
          <w:sz w:val="22"/>
        </w:rPr>
        <w:t>as</w:t>
      </w:r>
      <w:r>
        <w:rPr>
          <w:color w:val="231F20"/>
          <w:spacing w:val="17"/>
          <w:sz w:val="22"/>
        </w:rPr>
        <w:t> </w:t>
      </w:r>
      <w:r>
        <w:rPr>
          <w:color w:val="231F20"/>
          <w:sz w:val="22"/>
        </w:rPr>
        <w:t>well</w:t>
      </w:r>
      <w:r>
        <w:rPr>
          <w:color w:val="231F20"/>
          <w:spacing w:val="17"/>
          <w:sz w:val="22"/>
        </w:rPr>
        <w:t> </w:t>
      </w:r>
      <w:r>
        <w:rPr>
          <w:color w:val="231F20"/>
          <w:sz w:val="22"/>
        </w:rPr>
        <w:t>as</w:t>
      </w:r>
      <w:r>
        <w:rPr>
          <w:color w:val="231F20"/>
          <w:spacing w:val="17"/>
          <w:sz w:val="22"/>
        </w:rPr>
        <w:t> </w:t>
      </w:r>
      <w:r>
        <w:rPr>
          <w:color w:val="231F20"/>
          <w:sz w:val="22"/>
        </w:rPr>
        <w:t>potential</w:t>
      </w:r>
      <w:r>
        <w:rPr>
          <w:color w:val="231F20"/>
          <w:spacing w:val="17"/>
          <w:sz w:val="22"/>
        </w:rPr>
        <w:t> </w:t>
      </w:r>
      <w:r>
        <w:rPr>
          <w:color w:val="231F20"/>
          <w:sz w:val="22"/>
        </w:rPr>
        <w:t>disruptions</w:t>
      </w:r>
      <w:r>
        <w:rPr>
          <w:color w:val="231F20"/>
          <w:spacing w:val="17"/>
          <w:sz w:val="22"/>
        </w:rPr>
        <w:t> </w:t>
      </w:r>
      <w:r>
        <w:rPr>
          <w:color w:val="231F20"/>
          <w:sz w:val="22"/>
        </w:rPr>
        <w:t>to</w:t>
      </w:r>
      <w:r>
        <w:rPr>
          <w:color w:val="231F20"/>
          <w:spacing w:val="16"/>
          <w:sz w:val="22"/>
        </w:rPr>
        <w:t> </w:t>
      </w:r>
      <w:r>
        <w:rPr>
          <w:color w:val="231F20"/>
          <w:sz w:val="22"/>
        </w:rPr>
        <w:t>Southwest’s</w:t>
      </w:r>
      <w:r>
        <w:rPr>
          <w:color w:val="231F20"/>
          <w:spacing w:val="17"/>
          <w:sz w:val="22"/>
        </w:rPr>
        <w:t> </w:t>
      </w:r>
      <w:r>
        <w:rPr>
          <w:color w:val="231F20"/>
          <w:sz w:val="22"/>
        </w:rPr>
        <w:t>scheduled</w:t>
      </w:r>
      <w:r>
        <w:rPr>
          <w:color w:val="231F20"/>
          <w:spacing w:val="18"/>
          <w:sz w:val="22"/>
        </w:rPr>
        <w:t> </w:t>
      </w:r>
      <w:r>
        <w:rPr>
          <w:color w:val="231F20"/>
          <w:sz w:val="22"/>
        </w:rPr>
        <w:t>service;</w:t>
      </w:r>
      <w:r>
        <w:rPr>
          <w:color w:val="231F20"/>
          <w:spacing w:val="17"/>
          <w:sz w:val="22"/>
        </w:rPr>
        <w:t> </w:t>
      </w:r>
      <w:r>
        <w:rPr>
          <w:color w:val="231F20"/>
          <w:sz w:val="22"/>
        </w:rPr>
        <w:t>and</w:t>
      </w:r>
    </w:p>
    <w:p>
      <w:pPr>
        <w:pStyle w:val="ListParagraph"/>
        <w:numPr>
          <w:ilvl w:val="0"/>
          <w:numId w:val="3"/>
        </w:numPr>
        <w:tabs>
          <w:tab w:pos="433" w:val="left" w:leader="none"/>
        </w:tabs>
        <w:spacing w:line="247" w:lineRule="auto" w:before="0" w:after="0"/>
        <w:ind w:left="100" w:right="117" w:firstLine="0"/>
        <w:jc w:val="both"/>
        <w:rPr>
          <w:sz w:val="22"/>
        </w:rPr>
      </w:pPr>
      <w:r>
        <w:rPr>
          <w:color w:val="231F20"/>
          <w:sz w:val="22"/>
        </w:rPr>
        <w:t>give Southwest domestic Customers the option to connect to a Customer Representative or rebook online in the case of cancelled flights. Southwest domestic Customers who book their travel on southwest.com have the option to receive these notifications via telephone (landline or mobile), SMS (text message), or email. In addition to providing flight information to Southwest domestic Customers using their preferred contact method, if applicable, the Company directs Southwest domestic  Customers to rebook their flights online via southwest.com/rebook. The AOM strategy is designed to increase proactive Customer outreach and accommodations, reduce Customer inconvenience, uphold regulatory requirements, mitigate costs, and provide a better overall travel experience. Customers with international reservations are able to sign up for text messaging and email alerts, via Southwest’s Flight Status Notification (“FSN”) service on southwest.com, when there has been a change in their flight status as a result of cancellation or flight delay (of 30 minutes or more). Through the Company’s coordinated technology initiatives, it expects to combine its AOM and FSN products into one streamlined messaging platform for domestic and international flight</w:t>
      </w:r>
      <w:r>
        <w:rPr>
          <w:color w:val="231F20"/>
          <w:spacing w:val="-2"/>
          <w:sz w:val="22"/>
        </w:rPr>
        <w:t> </w:t>
      </w:r>
      <w:r>
        <w:rPr>
          <w:color w:val="231F20"/>
          <w:sz w:val="22"/>
        </w:rPr>
        <w:t>notifications.</w:t>
      </w:r>
    </w:p>
    <w:p>
      <w:pPr>
        <w:pStyle w:val="Heading2"/>
        <w:spacing w:before="160"/>
        <w:ind w:left="819"/>
        <w:rPr>
          <w:i/>
        </w:rPr>
      </w:pPr>
      <w:r>
        <w:rPr>
          <w:i/>
          <w:color w:val="231F20"/>
        </w:rPr>
        <w:t>Mobile App and Website and Mobile Boarding Passes</w:t>
      </w:r>
    </w:p>
    <w:p>
      <w:pPr>
        <w:pStyle w:val="BodyText"/>
        <w:spacing w:line="247" w:lineRule="auto" w:before="166"/>
        <w:ind w:left="100" w:right="117" w:firstLine="720"/>
        <w:jc w:val="both"/>
      </w:pPr>
      <w:r>
        <w:rPr>
          <w:color w:val="231F20"/>
        </w:rPr>
        <w:t>In 2014, Southwest released several updates to its mobile app and website, including the introduction of an updated homepage that allows Customers to quickly view information like flight status, boarding position, and gate information. Travel information is updated in the app beginning 24 hours prior to a flight allowing Customers to checkin and access their mobile boarding pass from the homepage. During 2014, Southwest also completed the rollout of its mobile boarding pass to all U.S. airports that Southwest serves. In addition, Southwest refreshed the look and feel of the app to align with the new visual expression of its brand discussed above under “Other Initiatives - New Livery and Branding and Aggressive Promotion of the Company’s Points of Differentiation from its Competitors.” Additional features and updates are expected in 2015 as mobile demand continues to grow.</w:t>
      </w:r>
    </w:p>
    <w:p>
      <w:pPr>
        <w:spacing w:after="0" w:line="247" w:lineRule="auto"/>
        <w:jc w:val="both"/>
        <w:sectPr>
          <w:pgSz w:w="11880" w:h="15480"/>
          <w:pgMar w:header="0" w:footer="1240" w:top="1240" w:bottom="1420" w:left="1280" w:right="1260"/>
        </w:sectPr>
      </w:pPr>
    </w:p>
    <w:p>
      <w:pPr>
        <w:pStyle w:val="Heading1"/>
      </w:pPr>
      <w:r>
        <w:rPr>
          <w:color w:val="231F20"/>
        </w:rPr>
        <w:t>Management Information Systems</w:t>
      </w:r>
    </w:p>
    <w:p>
      <w:pPr>
        <w:pStyle w:val="BodyText"/>
        <w:spacing w:line="247" w:lineRule="auto" w:before="179"/>
        <w:ind w:left="100" w:right="117" w:firstLine="720"/>
        <w:jc w:val="both"/>
      </w:pPr>
      <w:r>
        <w:rPr>
          <w:color w:val="231F20"/>
        </w:rPr>
        <w:t>The Company has continued its commitment to technology improvements to support its ongoing operations and initiatives. The Company has invested in significant technology necessary to support several of its initiatives, including (i) the implementation of connecting capabilities between  the Southwest and AirTran reservation systems, which helped enable the Company to fully complete the process of integrating Southwest’s and AirTran’s network and operations, (ii) Southwest’s Rapid Rewards frequent flyer program, (iii) the continued incorporation of the Boeing 737-800 aircraft into the Company’s fleet, (iv) enhancements to the southwest.com website, (v) WiFi implementation and live television connectivity, and (vi) new reservation system technology to support Southwest’s international itineraries. In addition, during 2014, the Company selected Amadeus’ Altéa reservations solution as the Company’s future single reservation system for both domestic and international reservations. This single reservation system is expected to be delivered over a multi-year</w:t>
      </w:r>
      <w:r>
        <w:rPr>
          <w:color w:val="231F20"/>
          <w:spacing w:val="-1"/>
        </w:rPr>
        <w:t> </w:t>
      </w:r>
      <w:r>
        <w:rPr>
          <w:color w:val="231F20"/>
        </w:rPr>
        <w:t>period.</w:t>
      </w:r>
    </w:p>
    <w:p>
      <w:pPr>
        <w:pStyle w:val="BodyText"/>
        <w:spacing w:line="247" w:lineRule="auto" w:before="172"/>
        <w:ind w:left="100" w:right="118" w:firstLine="720"/>
        <w:jc w:val="both"/>
      </w:pPr>
      <w:r>
        <w:rPr>
          <w:color w:val="231F20"/>
        </w:rPr>
        <w:t>The Company intends to continue to devote significant technology resources towards, among other things, (i) the development of new systems to improve both revenue management and network optimization capabilities, (ii) replacement of Southwest’s existing domestic reservation system with the comprehensive Amadeus’ Altéa reservations solution, and (iii) a new suite of operational tools that the Company expects will improve operational management.</w:t>
      </w:r>
    </w:p>
    <w:p>
      <w:pPr>
        <w:pStyle w:val="Heading1"/>
        <w:spacing w:before="172"/>
      </w:pPr>
      <w:r>
        <w:rPr>
          <w:color w:val="231F20"/>
        </w:rPr>
        <w:t>Regulation</w:t>
      </w:r>
    </w:p>
    <w:p>
      <w:pPr>
        <w:pStyle w:val="BodyText"/>
        <w:spacing w:line="247" w:lineRule="auto" w:before="179"/>
        <w:ind w:left="100" w:right="117" w:firstLine="720"/>
        <w:jc w:val="both"/>
      </w:pPr>
      <w:r>
        <w:rPr>
          <w:color w:val="231F20"/>
        </w:rPr>
        <w:t>The airline industry is heavily regulated, especially by the federal government, and there are a significant number of governmental agencies and legislative bodies that have the ability to directly or indirectly affect the Company and/or the airline industry financially and/or operationally. Examples of regulations affecting the Company and/or the airline industry, imposed by several of these governmental agencies and legislative bodies, are discussed below.</w:t>
      </w:r>
    </w:p>
    <w:p>
      <w:pPr>
        <w:pStyle w:val="Heading1"/>
        <w:spacing w:before="172"/>
        <w:ind w:left="460"/>
      </w:pPr>
      <w:r>
        <w:rPr>
          <w:color w:val="231F20"/>
        </w:rPr>
        <w:t>Economic and Operational Regulation</w:t>
      </w:r>
    </w:p>
    <w:p>
      <w:pPr>
        <w:pStyle w:val="Heading2"/>
        <w:spacing w:before="180"/>
        <w:ind w:left="820"/>
        <w:rPr>
          <w:i/>
        </w:rPr>
      </w:pPr>
      <w:r>
        <w:rPr>
          <w:i/>
          <w:color w:val="231F20"/>
        </w:rPr>
        <w:t>Consumer Protection Regulation by the U.S. Department of Transportation</w:t>
      </w:r>
    </w:p>
    <w:p>
      <w:pPr>
        <w:pStyle w:val="BodyText"/>
        <w:spacing w:line="247" w:lineRule="auto" w:before="180"/>
        <w:ind w:left="100" w:right="117" w:firstLine="720"/>
        <w:jc w:val="both"/>
      </w:pPr>
      <w:r>
        <w:rPr>
          <w:color w:val="231F20"/>
        </w:rPr>
        <w:t>The U.S. Department of Transportation (the “DOT”) regulates aviation safety, as well as economic operating authority and consumer protection. The DOT may impose civil penalties on air carriers for violating its regulations.</w:t>
      </w:r>
    </w:p>
    <w:p>
      <w:pPr>
        <w:pStyle w:val="BodyText"/>
        <w:spacing w:line="247" w:lineRule="auto" w:before="172"/>
        <w:ind w:left="100" w:right="117" w:firstLine="720"/>
        <w:jc w:val="both"/>
      </w:pPr>
      <w:r>
        <w:rPr>
          <w:color w:val="231F20"/>
        </w:rPr>
        <w:t>To provide passenger transportation in the United States, a domestic airline is required to hold both a Certificate of Public Convenience &amp; Necessity from the DOT and an Air Carrier Operating Certificate from the FAA, an agency within the DOT. A Certificate of Public Convenience &amp;  Necessity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The DOT also has jurisdiction over international tariffs and pricing in certain markets. The DOT may revoke a certificate or exemption, in whole or in part, for intentional failure to comply with federal aviation statutes, regulations, orders, or the terms of the certificate</w:t>
      </w:r>
      <w:r>
        <w:rPr>
          <w:color w:val="231F20"/>
          <w:spacing w:val="-1"/>
        </w:rPr>
        <w:t> </w:t>
      </w:r>
      <w:r>
        <w:rPr>
          <w:color w:val="231F20"/>
        </w:rPr>
        <w:t>itself.</w:t>
      </w:r>
    </w:p>
    <w:p>
      <w:pPr>
        <w:pStyle w:val="BodyText"/>
        <w:spacing w:line="247" w:lineRule="auto" w:before="172"/>
        <w:ind w:left="100" w:right="117" w:firstLine="720"/>
        <w:jc w:val="both"/>
      </w:pPr>
      <w:r>
        <w:rPr>
          <w:color w:val="231F20"/>
        </w:rPr>
        <w:t>The DOT’s consumer protection and enforcement activities relate to areas such as unfair and deceptive practices and unfair competition by air carriers, deceptive airline advertising (</w:t>
      </w:r>
      <w:r>
        <w:rPr>
          <w:i/>
          <w:color w:val="231F20"/>
        </w:rPr>
        <w:t>e.g., </w:t>
      </w:r>
      <w:r>
        <w:rPr>
          <w:color w:val="231F20"/>
        </w:rPr>
        <w:t>fare, ontime performance, schedule, and codesharing), and violations of rules concerning denied boarding compensation,  ticket  refunds,  and  baggage  liability  requirements.  The  DOT  is  also  charged with</w:t>
      </w:r>
    </w:p>
    <w:p>
      <w:pPr>
        <w:spacing w:after="0" w:line="247" w:lineRule="auto"/>
        <w:jc w:val="both"/>
        <w:sectPr>
          <w:pgSz w:w="11880" w:h="15480"/>
          <w:pgMar w:header="0" w:footer="1240" w:top="1240" w:bottom="1420" w:left="1280" w:right="1260"/>
        </w:sectPr>
      </w:pPr>
    </w:p>
    <w:p>
      <w:pPr>
        <w:pStyle w:val="BodyText"/>
        <w:spacing w:line="247" w:lineRule="auto" w:before="74"/>
        <w:ind w:left="100" w:right="142"/>
      </w:pPr>
      <w:r>
        <w:rPr>
          <w:color w:val="231F20"/>
        </w:rPr>
        <w:t>prohibiting discrimination by airlines against consumers on the basis of race, religion, national origin, or sex.</w:t>
      </w:r>
    </w:p>
    <w:p>
      <w:pPr>
        <w:pStyle w:val="BodyText"/>
        <w:spacing w:line="247" w:lineRule="auto" w:before="155"/>
        <w:ind w:left="100" w:right="117" w:firstLine="720"/>
        <w:jc w:val="both"/>
      </w:pPr>
      <w:r>
        <w:rPr>
          <w:color w:val="231F20"/>
        </w:rPr>
        <w:t>Under the above-described authority, the DOT has adopted so-called “Passenger Protection Rules,” which address a wide variety of matters including flight delays on the tarmac, chronically delayed flights, denied boarding compensation, and advertising of airfares, among others. Under the Passenger Protection Rules, U.S. passenger airlines are required to adopt contingency plans  that include the following: (i) assurances that no domestic flight will remain on the airport tarmac for more than three hours and that no international flight will remain on the tarmac at a U.S. airport for more than four hours, unless the pilot-in-command determines there is a safety-related or security-related impediment to deplaning passengers, or air traffic control advises the pilot-in-command that returning to the gate or permitting passengers to disembark elsewhere would significantly disrupt airport operations; (ii) an assurance that air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an assurance of operable lavatories, as well as adequate medical attention, if needed. Air carriers are required to publish their contingency plans on their</w:t>
      </w:r>
      <w:r>
        <w:rPr>
          <w:color w:val="231F20"/>
          <w:spacing w:val="-1"/>
        </w:rPr>
        <w:t> </w:t>
      </w:r>
      <w:r>
        <w:rPr>
          <w:color w:val="231F20"/>
        </w:rPr>
        <w:t>websites.</w:t>
      </w:r>
    </w:p>
    <w:p>
      <w:pPr>
        <w:pStyle w:val="BodyText"/>
        <w:spacing w:line="247" w:lineRule="auto" w:before="155"/>
        <w:ind w:left="100" w:right="117" w:firstLine="720"/>
        <w:jc w:val="both"/>
      </w:pPr>
      <w:r>
        <w:rPr>
          <w:color w:val="231F20"/>
        </w:rPr>
        <w:t>The Passenger Protection Rules also subject airlines to potential DOT enforcement action for unfair and deceptive practices in the event of chronically delayed domestic flights (</w:t>
      </w:r>
      <w:r>
        <w:rPr>
          <w:i/>
          <w:color w:val="231F20"/>
        </w:rPr>
        <w:t>i.e., </w:t>
      </w:r>
      <w:r>
        <w:rPr>
          <w:color w:val="231F20"/>
        </w:rPr>
        <w:t>domestic  flights that operate at  least  ten  times  a  month  and  arrive  more  than  30  minutes  late  more  than 50 percent of the time during that month). In addition, airlines are required to (i) display ontime performance on their websites; (ii) adopt customer service plans, publish those plans on their website, and audit their own compliance with their plans; (iii) designate an employee to monitor the performance</w:t>
      </w:r>
      <w:r>
        <w:rPr>
          <w:color w:val="231F20"/>
          <w:spacing w:val="34"/>
        </w:rPr>
        <w:t> </w:t>
      </w:r>
      <w:r>
        <w:rPr>
          <w:color w:val="231F20"/>
        </w:rPr>
        <w:t>of</w:t>
      </w:r>
      <w:r>
        <w:rPr>
          <w:color w:val="231F20"/>
          <w:spacing w:val="33"/>
        </w:rPr>
        <w:t> </w:t>
      </w:r>
      <w:r>
        <w:rPr>
          <w:color w:val="231F20"/>
        </w:rPr>
        <w:t>their</w:t>
      </w:r>
      <w:r>
        <w:rPr>
          <w:color w:val="231F20"/>
          <w:spacing w:val="33"/>
        </w:rPr>
        <w:t> </w:t>
      </w:r>
      <w:r>
        <w:rPr>
          <w:color w:val="231F20"/>
        </w:rPr>
        <w:t>flights;</w:t>
      </w:r>
      <w:r>
        <w:rPr>
          <w:color w:val="231F20"/>
          <w:spacing w:val="33"/>
        </w:rPr>
        <w:t> </w:t>
      </w:r>
      <w:r>
        <w:rPr>
          <w:color w:val="231F20"/>
        </w:rPr>
        <w:t>(iv)</w:t>
      </w:r>
      <w:r>
        <w:rPr>
          <w:color w:val="231F20"/>
          <w:spacing w:val="33"/>
        </w:rPr>
        <w:t> </w:t>
      </w:r>
      <w:r>
        <w:rPr>
          <w:color w:val="231F20"/>
        </w:rPr>
        <w:t>provide</w:t>
      </w:r>
      <w:r>
        <w:rPr>
          <w:color w:val="231F20"/>
          <w:spacing w:val="33"/>
        </w:rPr>
        <w:t> </w:t>
      </w:r>
      <w:r>
        <w:rPr>
          <w:color w:val="231F20"/>
        </w:rPr>
        <w:t>information</w:t>
      </w:r>
      <w:r>
        <w:rPr>
          <w:color w:val="231F20"/>
          <w:spacing w:val="32"/>
        </w:rPr>
        <w:t> </w:t>
      </w:r>
      <w:r>
        <w:rPr>
          <w:color w:val="231F20"/>
        </w:rPr>
        <w:t>to</w:t>
      </w:r>
      <w:r>
        <w:rPr>
          <w:color w:val="231F20"/>
          <w:spacing w:val="32"/>
        </w:rPr>
        <w:t> </w:t>
      </w:r>
      <w:r>
        <w:rPr>
          <w:color w:val="231F20"/>
        </w:rPr>
        <w:t>passengers</w:t>
      </w:r>
      <w:r>
        <w:rPr>
          <w:color w:val="231F20"/>
          <w:spacing w:val="34"/>
        </w:rPr>
        <w:t> </w:t>
      </w:r>
      <w:r>
        <w:rPr>
          <w:color w:val="231F20"/>
        </w:rPr>
        <w:t>on</w:t>
      </w:r>
      <w:r>
        <w:rPr>
          <w:color w:val="231F20"/>
          <w:spacing w:val="33"/>
        </w:rPr>
        <w:t> </w:t>
      </w:r>
      <w:r>
        <w:rPr>
          <w:color w:val="231F20"/>
        </w:rPr>
        <w:t>how</w:t>
      </w:r>
      <w:r>
        <w:rPr>
          <w:color w:val="231F20"/>
          <w:spacing w:val="33"/>
        </w:rPr>
        <w:t> </w:t>
      </w:r>
      <w:r>
        <w:rPr>
          <w:color w:val="231F20"/>
        </w:rPr>
        <w:t>to</w:t>
      </w:r>
      <w:r>
        <w:rPr>
          <w:color w:val="231F20"/>
          <w:spacing w:val="32"/>
        </w:rPr>
        <w:t> </w:t>
      </w:r>
      <w:r>
        <w:rPr>
          <w:color w:val="231F20"/>
        </w:rPr>
        <w:t>file</w:t>
      </w:r>
      <w:r>
        <w:rPr>
          <w:color w:val="231F20"/>
          <w:spacing w:val="32"/>
        </w:rPr>
        <w:t> </w:t>
      </w:r>
      <w:r>
        <w:rPr>
          <w:color w:val="231F20"/>
        </w:rPr>
        <w:t>complaints;</w:t>
      </w:r>
      <w:r>
        <w:rPr>
          <w:color w:val="231F20"/>
          <w:spacing w:val="33"/>
        </w:rPr>
        <w:t> </w:t>
      </w:r>
      <w:r>
        <w:rPr>
          <w:color w:val="231F20"/>
        </w:rPr>
        <w:t>and</w:t>
      </w:r>
    </w:p>
    <w:p>
      <w:pPr>
        <w:pStyle w:val="BodyText"/>
        <w:spacing w:line="247" w:lineRule="auto"/>
        <w:ind w:left="100" w:right="118"/>
        <w:jc w:val="both"/>
      </w:pPr>
      <w:r>
        <w:rPr>
          <w:color w:val="231F20"/>
        </w:rPr>
        <w:t>(v) respond in a timely and substantive fashion to consumer complaints. Airlines that violate the Passenger Protection Rules are subject to potential fines of up to $27,500 per occurrence or per passenger, the maximum allowed for violating any aviation consumer rule.</w:t>
      </w:r>
    </w:p>
    <w:p>
      <w:pPr>
        <w:pStyle w:val="BodyText"/>
        <w:spacing w:line="247" w:lineRule="auto" w:before="156"/>
        <w:ind w:left="100" w:right="117" w:firstLine="720"/>
        <w:jc w:val="both"/>
      </w:pPr>
      <w:r>
        <w:rPr>
          <w:color w:val="231F20"/>
        </w:rPr>
        <w:t>The Passenger Protection Rules also require airlines to (i) pay up to $1,300 in denied boarding compensation to passengers involuntarily bumped from flights; (ii) refund any checked bag fee for permanently lost luggage; (iii) prominently disclose all potential fees for optional services on their websites; and (iv) refund passenger fees paid for ancillary services if a flight cancels or oversells and a passenger is unable to take advantage of such services.</w:t>
      </w:r>
    </w:p>
    <w:p>
      <w:pPr>
        <w:pStyle w:val="BodyText"/>
        <w:spacing w:line="247" w:lineRule="auto" w:before="155"/>
        <w:ind w:left="100" w:right="117" w:firstLine="720"/>
        <w:jc w:val="both"/>
      </w:pPr>
      <w:r>
        <w:rPr>
          <w:color w:val="231F20"/>
        </w:rPr>
        <w:t>The Passenger Protection Rules also require that (i) advertised airfares include all government- mandated taxes and fees; (ii) passengers be allowed to hold a reservation for up to 24 hours without making a payment; (iii) passengers be allowed to cancel a paid reservation without penalty for 24 hours after the reservation is made, as long as the reservation is made at least seven days in advance of travel;</w:t>
      </w:r>
    </w:p>
    <w:p>
      <w:pPr>
        <w:pStyle w:val="BodyText"/>
        <w:spacing w:line="247" w:lineRule="auto"/>
        <w:ind w:left="100" w:right="117"/>
        <w:jc w:val="both"/>
      </w:pPr>
      <w:r>
        <w:rPr>
          <w:color w:val="231F20"/>
        </w:rPr>
        <w:t>(iv) fares may not increase after purchase; (v) baggage fees must be disclosed to the passenger at the time of booking; (vi) the same baggage allowances and fees must apply throughout a passenger’s   trip;</w:t>
      </w:r>
    </w:p>
    <w:p>
      <w:pPr>
        <w:pStyle w:val="BodyText"/>
        <w:spacing w:line="247" w:lineRule="auto"/>
        <w:ind w:left="100" w:right="117"/>
        <w:jc w:val="both"/>
      </w:pPr>
      <w:r>
        <w:rPr>
          <w:color w:val="231F20"/>
        </w:rPr>
        <w:t>(vii) baggage fees must be disclosed on e-ticket confirmations; and (viii) passengers must be promptly notified in the event of delays of more than 30 minutes or if there is a cancellation or diversion of their flight.</w:t>
      </w:r>
    </w:p>
    <w:p>
      <w:pPr>
        <w:pStyle w:val="BodyText"/>
        <w:spacing w:line="247" w:lineRule="auto" w:before="155"/>
        <w:ind w:left="100" w:right="117" w:firstLine="720"/>
        <w:jc w:val="both"/>
      </w:pPr>
      <w:r>
        <w:rPr>
          <w:color w:val="231F20"/>
        </w:rPr>
        <w:t>In May 2014, the DOT issued a proposed rule that would further expand the Passenger Protection Rules. The DOT’s proposed rule would, among other things, require airlines to share with ticket agents fee information for “basic ancillary services,” including fees for a first checked bag, second checked bag, carry-on items, and advance seat selection. The Company is not able to predict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impact of such a requirement on its services, although the Company is likely to be affected to a lesser degree than most other airlines, which generally offer more ancillary products and services. The DOT may issue a final rule in this proceeding in 2015. The DOT has expressed its intent to aggressively investigate alleged violations of the Passenger Protection Rules. The DOT has also proposed rules to require airlines to report more information to the DOT on the amount and types of their ancillary fees. These proposals may be made final in</w:t>
      </w:r>
      <w:r>
        <w:rPr>
          <w:color w:val="231F20"/>
          <w:spacing w:val="-3"/>
        </w:rPr>
        <w:t> </w:t>
      </w:r>
      <w:r>
        <w:rPr>
          <w:color w:val="231F20"/>
        </w:rPr>
        <w:t>2015.</w:t>
      </w:r>
    </w:p>
    <w:p>
      <w:pPr>
        <w:pStyle w:val="Heading2"/>
        <w:spacing w:before="215"/>
        <w:ind w:left="819"/>
        <w:rPr>
          <w:i/>
        </w:rPr>
      </w:pPr>
      <w:r>
        <w:rPr>
          <w:i/>
          <w:color w:val="231F20"/>
        </w:rPr>
        <w:t>Aviation Taxes</w:t>
      </w:r>
    </w:p>
    <w:p>
      <w:pPr>
        <w:pStyle w:val="BodyText"/>
        <w:spacing w:before="4"/>
        <w:rPr>
          <w:b/>
          <w:i/>
          <w:sz w:val="19"/>
        </w:rPr>
      </w:pPr>
    </w:p>
    <w:p>
      <w:pPr>
        <w:pStyle w:val="BodyText"/>
        <w:spacing w:line="247" w:lineRule="auto"/>
        <w:ind w:left="100" w:right="117" w:firstLine="720"/>
        <w:jc w:val="both"/>
      </w:pPr>
      <w:r>
        <w:rPr>
          <w:color w:val="231F20"/>
        </w:rPr>
        <w:t>The statutory authority for the federal government to collect most types of aviation taxes, which are used, in part, to finance programs administered by the FAA, must be periodically reauthorized by the U.S. Congress. In 2012, Congress adopted the FAA Modernization and Reform  Act of 2012, which extended most commercial aviation taxes through September 30, 2015. Congress is expected to try to enact a new FAA reauthorization bill in 2015, which may make substantive changes with respect to aviation taxes (including, possibly, airport-assessed passenger facility charges) and/or FAA offices and programs that are financed through aviation tax revenue. Congress must either adopt a new FAA reauthorization bill or pass a “status quo” extension by October 1, 2015; otherwise, a lapse  in the statutory authority could affect the airlines’ and passengers’ respective tax burdens, as well as impact the FAA’s ability to fund airport grants and regulate the airline</w:t>
      </w:r>
      <w:r>
        <w:rPr>
          <w:color w:val="231F20"/>
          <w:spacing w:val="-5"/>
        </w:rPr>
        <w:t> </w:t>
      </w:r>
      <w:r>
        <w:rPr>
          <w:color w:val="231F20"/>
        </w:rPr>
        <w:t>industry.</w:t>
      </w:r>
    </w:p>
    <w:p>
      <w:pPr>
        <w:pStyle w:val="BodyText"/>
        <w:spacing w:line="247" w:lineRule="auto" w:before="215"/>
        <w:ind w:left="100" w:right="117" w:firstLine="720"/>
        <w:jc w:val="both"/>
      </w:pPr>
      <w:r>
        <w:rPr>
          <w:color w:val="231F20"/>
        </w:rPr>
        <w:t>In addition to FAA-related taxes, there are additional federal taxes related to the Department of Homeland Security. These taxes do not need to be reauthorized periodically. However, in an effort to reduce the federal deficit and generate more government revenue, Congress approved legislation in December 2013 to generate more net federal revenue by (i) increasing the Transportation Security Fee paid by passengers from $2.50 per passenger segment to $5.60 per one-way passenger trip, effective July 2014; and (ii) eliminating a duplicative security fee paid by airlines directly, called the Aviation Security Infrastructure Fee, effective October 2014. In December 2014, Congress capped the Transportation Security Fee at $11.20 per round-trip.</w:t>
      </w:r>
    </w:p>
    <w:p>
      <w:pPr>
        <w:pStyle w:val="BodyText"/>
        <w:spacing w:line="247" w:lineRule="auto" w:before="215"/>
        <w:ind w:left="100" w:right="118" w:firstLine="720"/>
        <w:jc w:val="both"/>
      </w:pPr>
      <w:r>
        <w:rPr>
          <w:color w:val="231F20"/>
        </w:rPr>
        <w:t>In 2015, Congress may consider comprehensive tax reform legislation, which could result in a lower corporate tax rate and the elimination of certain tax deductions and preferences, as well as separate legislation that could increase one or more of the passenger-paid fees used to support the operations of U.S. Customs and Border Protection (“CBP”). Grants to airports and/or airport bond financing may also be affected through future legislation, which could result in higher fees, rates, and charges at many of the airports the Company serves.</w:t>
      </w:r>
    </w:p>
    <w:p>
      <w:pPr>
        <w:pStyle w:val="Heading2"/>
        <w:spacing w:before="215"/>
        <w:ind w:left="819"/>
        <w:rPr>
          <w:i/>
        </w:rPr>
      </w:pPr>
      <w:r>
        <w:rPr>
          <w:i/>
          <w:color w:val="231F20"/>
        </w:rPr>
        <w:t>The Wright Amendment</w:t>
      </w:r>
    </w:p>
    <w:p>
      <w:pPr>
        <w:pStyle w:val="BodyText"/>
        <w:spacing w:before="4"/>
        <w:rPr>
          <w:b/>
          <w:i/>
          <w:sz w:val="19"/>
        </w:rPr>
      </w:pPr>
    </w:p>
    <w:p>
      <w:pPr>
        <w:pStyle w:val="BodyText"/>
        <w:spacing w:line="247" w:lineRule="auto"/>
        <w:ind w:left="100" w:right="117" w:firstLine="720"/>
        <w:jc w:val="both"/>
      </w:pPr>
      <w:r>
        <w:rPr>
          <w:color w:val="231F20"/>
        </w:rPr>
        <w:t>Section 29 of the International Air Transportation Competition Act of 1979, as amended (commonly known as the “Wright Amendment”), prohibited the carriage of nonstop and through passengers on commercial flights between Dallas Love Field and all states outside of Texas, with the exception of the following states (the “Wright Amendment States”): Alabama, Arkansas, Kansas, Louisiana, Mississippi, Missouri, New Mexico, and Oklahoma. Originally, the Wright Amendment permitted an airline to offer flights between Dallas Love Field and the Wright Amendment States only to the extent the airline did not offer or provide any through service or ticketing with another air carrier at Dallas Love Field and did not market service to or from Dallas Love Field and any point outside of a Wright Amendment State. In other words, a Customer could not purchase a single ticket between Dallas Love Field and any destination other than a Wright Amendment State. These restrictions did not apply to flights operated with aircraft having 56 or fewer passenger seats. The Wright Amendment</w:t>
      </w:r>
      <w:r>
        <w:rPr>
          <w:color w:val="231F20"/>
          <w:spacing w:val="20"/>
        </w:rPr>
        <w:t> </w:t>
      </w:r>
      <w:r>
        <w:rPr>
          <w:color w:val="231F20"/>
        </w:rPr>
        <w:t>also</w:t>
      </w:r>
    </w:p>
    <w:p>
      <w:pPr>
        <w:spacing w:after="0" w:line="247" w:lineRule="auto"/>
        <w:jc w:val="both"/>
        <w:sectPr>
          <w:pgSz w:w="11880" w:h="15480"/>
          <w:pgMar w:header="0" w:footer="1240" w:top="1240" w:bottom="1420" w:left="1280" w:right="1260"/>
        </w:sectPr>
      </w:pPr>
    </w:p>
    <w:p>
      <w:pPr>
        <w:pStyle w:val="BodyText"/>
        <w:spacing w:line="247" w:lineRule="auto" w:before="74"/>
        <w:ind w:left="100" w:right="97"/>
      </w:pPr>
      <w:r>
        <w:rPr>
          <w:color w:val="231F20"/>
        </w:rPr>
        <w:t>did not restrict the Company’s intrastate Texas flights or its air service to or from points other than Dallas Love Field.</w:t>
      </w:r>
    </w:p>
    <w:p>
      <w:pPr>
        <w:pStyle w:val="BodyText"/>
        <w:spacing w:line="247" w:lineRule="auto" w:before="161"/>
        <w:ind w:left="100" w:right="117" w:firstLine="720"/>
        <w:jc w:val="both"/>
      </w:pPr>
      <w:r>
        <w:rPr>
          <w:color w:val="231F20"/>
        </w:rPr>
        <w:t>In 2006, the Company entered into  an  agreement  with  the  City  of  Dallas,  the  City  of  Fort Worth, American Airlines, Inc., and the DFW International Airport Board, pursuant to which the five parties sought enactment of legislation to amend the Wright Amendment. Congress responded by passing the Wright Amendment Reform Act of 2006, which immediately repealed the original through service and ticketing restrictions by allowing the purchase of a single ticket between Dallas Love Field and any destination (while still requiring the Customer to make a stop in a Wright Amendment State), and reduced the maximum number of gates available for commercial air service at Dallas Love Field from 32 to 20. The Wright Amendment Reform Act also provided for the repeal, on October 13, 2014, of the Wright Amendment federal flight restrictions at Dallas Love Field, for travel to destinations within the 50 States and to the District of Columbia. Accordingly, the Company became, and remains, authorized to fly to any U.S. destination from Dallas Love Field unless such destination is restricted or otherwise limited by law. Nonstop international service to or from Dallas Love Field will continue to be prohibited. The Company currently operates out of 16 gates it leases at Dallas Love Field. As discussed further in “Management’s Discussion and Analysis of Financial Condition and Results of Operations,” in January 2015, the Company announced a long-term sublease agreement that will transfer usage of two additional gates, giving the Company 18 gates at Dallas Love</w:t>
      </w:r>
      <w:r>
        <w:rPr>
          <w:color w:val="231F20"/>
          <w:spacing w:val="-2"/>
        </w:rPr>
        <w:t> </w:t>
      </w:r>
      <w:r>
        <w:rPr>
          <w:color w:val="231F20"/>
        </w:rPr>
        <w:t>Field.</w:t>
      </w:r>
    </w:p>
    <w:p>
      <w:pPr>
        <w:pStyle w:val="Heading1"/>
        <w:spacing w:before="161"/>
        <w:ind w:left="460"/>
      </w:pPr>
      <w:r>
        <w:rPr>
          <w:color w:val="231F20"/>
        </w:rPr>
        <w:t>Operational, Safety, and Health Regulation</w:t>
      </w:r>
    </w:p>
    <w:p>
      <w:pPr>
        <w:pStyle w:val="BodyText"/>
        <w:spacing w:line="247" w:lineRule="auto" w:before="168"/>
        <w:ind w:left="100" w:right="117" w:firstLine="720"/>
        <w:jc w:val="both"/>
      </w:pPr>
      <w:r>
        <w:rPr>
          <w:color w:val="231F20"/>
        </w:rPr>
        <w:t>The FAA has the authority to regulate safety aspects of civil aviation operations. Specifically, the Company and its third-party service providers are subject to the jurisdiction of the FAA with respect to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FAA</w:t>
      </w:r>
      <w:r>
        <w:rPr>
          <w:color w:val="231F20"/>
          <w:spacing w:val="-6"/>
        </w:rPr>
        <w:t> </w:t>
      </w:r>
      <w:r>
        <w:rPr>
          <w:color w:val="231F20"/>
        </w:rPr>
        <w:t>regulations.</w:t>
      </w:r>
    </w:p>
    <w:p>
      <w:pPr>
        <w:pStyle w:val="BodyText"/>
        <w:spacing w:line="247" w:lineRule="auto" w:before="161"/>
        <w:ind w:left="100" w:right="117" w:firstLine="720"/>
        <w:jc w:val="both"/>
      </w:pPr>
      <w:r>
        <w:rPr>
          <w:color w:val="231F20"/>
        </w:rPr>
        <w:t>To address compliance with its regulations, the FAA requires airlines to obtain an Air Carrier Operating Certificate and other certificates, approvals, and authorities. These certificates, approvals, and authorities are subject to suspension or revocation for cause.</w:t>
      </w:r>
    </w:p>
    <w:p>
      <w:pPr>
        <w:pStyle w:val="BodyText"/>
        <w:spacing w:line="247" w:lineRule="auto" w:before="161"/>
        <w:ind w:left="100" w:right="117" w:firstLine="720"/>
        <w:jc w:val="both"/>
      </w:pPr>
      <w:r>
        <w:rPr>
          <w:color w:val="231F20"/>
        </w:rPr>
        <w:t>In January 2014, a new FAA rule went into effect amending the FAA’s flight, duty, and rest regulations. Among other things, the rule requires a ten hour minimum rest period prior to a pilot’s flight duty period; mandates that a pilot must have an opportunity for eight hours of uninterrupted sleep within the rest period; and imposes pilot “flight time” and “duty time” limitations based upon report times, the number of scheduled flight segments, and other operational factors. The rule may reduce the Company’s staffing flexibility, which could impact the Company’s operational performance, costs, and Customer Experience.</w:t>
      </w:r>
    </w:p>
    <w:p>
      <w:pPr>
        <w:pStyle w:val="BodyText"/>
        <w:spacing w:line="247" w:lineRule="auto" w:before="161"/>
        <w:ind w:left="100" w:right="117" w:firstLine="720"/>
        <w:jc w:val="both"/>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Heading1"/>
        <w:spacing w:before="161"/>
        <w:ind w:left="460"/>
      </w:pPr>
      <w:r>
        <w:rPr>
          <w:color w:val="231F20"/>
        </w:rPr>
        <w:t>Security Regulation</w:t>
      </w:r>
    </w:p>
    <w:p>
      <w:pPr>
        <w:pStyle w:val="BodyText"/>
        <w:spacing w:line="247" w:lineRule="auto" w:before="168"/>
        <w:ind w:left="100" w:right="117" w:firstLine="720"/>
        <w:jc w:val="both"/>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federal air marshals onboard flights; (iii) airport perimeter access security; (iv) airline crew security training;  (v)  security  screening  of  passengers,  baggage,  cargo,  mail,  employees,  and       vendors;</w:t>
      </w:r>
    </w:p>
    <w:p>
      <w:pPr>
        <w:pStyle w:val="BodyText"/>
        <w:spacing w:line="247" w:lineRule="auto"/>
        <w:ind w:left="120" w:right="117"/>
        <w:jc w:val="both"/>
      </w:pPr>
      <w:r>
        <w:rPr>
          <w:color w:val="231F20"/>
        </w:rPr>
        <w:t>(vi) training and qualifications of security screening personnel; (vii) provision of passenger data to CBP; and (viii) background checks. Under ATSA, substantially all security officers at airports are federal employees, and significant other elements of airline and airport security are overseen and performed by federal employees, including federal security managers, federal law enforcement officers, and federal air marshals. TSA personnel and TSA-mandated security procedures can affect the Company’s operations, costs, and Customer experience. For example, in 2006, the TSA implemented security measures regulating the types of liquid items that can be carried onboard aircraft. In 2009, the TSA introduced its Secure Flight program. Secure Flight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The TSA has also implemented enhanced security procedures as part of its enhanced, multi-layer approach to airport security, including physical pat down procedures, at security checkpoints. Such enhanced security procedures have raised privacy concerns by some air</w:t>
      </w:r>
      <w:r>
        <w:rPr>
          <w:color w:val="231F20"/>
          <w:spacing w:val="1"/>
        </w:rPr>
        <w:t> </w:t>
      </w:r>
      <w:r>
        <w:rPr>
          <w:color w:val="231F20"/>
        </w:rPr>
        <w:t>travelers.</w:t>
      </w:r>
    </w:p>
    <w:p>
      <w:pPr>
        <w:pStyle w:val="BodyText"/>
        <w:spacing w:line="247" w:lineRule="auto" w:before="156"/>
        <w:ind w:left="120" w:right="117" w:firstLine="720"/>
        <w:jc w:val="both"/>
      </w:pPr>
      <w:r>
        <w:rPr>
          <w:color w:val="231F20"/>
        </w:rPr>
        <w:t>Since November 2013, the Company, in conjunction with the TSA and CBP, has participated  in TSA PreCheck™, a pre-screening initiative that allows a select group of low risk passengers the ability to move through security checkpoints with greater efficiency and ease when traveling. Eligible passengers may use dedicated screening lanes at certain airports that the Company serves for screening benefits, which include leaving on shoes, light outerwear, and belts, as well as leaving laptops and compliant liquids in carryon</w:t>
      </w:r>
      <w:r>
        <w:rPr>
          <w:color w:val="231F20"/>
          <w:spacing w:val="-2"/>
        </w:rPr>
        <w:t> </w:t>
      </w:r>
      <w:r>
        <w:rPr>
          <w:color w:val="231F20"/>
        </w:rPr>
        <w:t>bags.</w:t>
      </w:r>
    </w:p>
    <w:p>
      <w:pPr>
        <w:pStyle w:val="BodyText"/>
        <w:spacing w:line="247" w:lineRule="auto" w:before="155"/>
        <w:ind w:left="119" w:right="117" w:firstLine="720"/>
        <w:jc w:val="both"/>
      </w:pPr>
      <w:r>
        <w:rPr>
          <w:color w:val="231F20"/>
        </w:rPr>
        <w:t>The Company also participates in the TSA Known Crewmember</w:t>
      </w:r>
      <w:r>
        <w:rPr>
          <w:color w:val="231F20"/>
          <w:position w:val="5"/>
          <w:sz w:val="16"/>
        </w:rPr>
        <w:t>® </w:t>
      </w:r>
      <w:r>
        <w:rPr>
          <w:color w:val="231F20"/>
        </w:rPr>
        <w:t>program, which is a risk- based screening system that enables TSA security officers to positively verify the identity and employment status of flight-crew members. The program expedites flight crew member access to  sterile areas of airports.</w:t>
      </w:r>
    </w:p>
    <w:p>
      <w:pPr>
        <w:pStyle w:val="BodyText"/>
        <w:spacing w:line="247" w:lineRule="auto" w:before="155"/>
        <w:ind w:left="119" w:right="117" w:firstLine="720"/>
        <w:jc w:val="both"/>
      </w:pPr>
      <w:r>
        <w:rPr>
          <w:color w:val="231F20"/>
        </w:rPr>
        <w:t>The Company has made significant investments to address the effect of security regulations, including investments in facilities, equipment, and technology to process Customers, checked baggage, and cargo efficiently and restore the airport experience; however, the Company is not able to predict  the impact, if any, that various security measures or the lack of TSA resources at certain airports will have on Passenger revenues and the Company’s costs, either in the short-term or the long-term.</w:t>
      </w:r>
    </w:p>
    <w:p>
      <w:pPr>
        <w:pStyle w:val="Heading1"/>
        <w:spacing w:before="155"/>
        <w:ind w:left="480"/>
      </w:pPr>
      <w:r>
        <w:rPr>
          <w:color w:val="231F20"/>
        </w:rPr>
        <w:t>Environmental Regulation</w:t>
      </w:r>
    </w:p>
    <w:p>
      <w:pPr>
        <w:pStyle w:val="BodyText"/>
        <w:spacing w:line="247" w:lineRule="auto" w:before="163"/>
        <w:ind w:left="120" w:right="117" w:firstLine="720"/>
        <w:jc w:val="both"/>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from operations, and the discharge or disposal of materials such as jet fuel,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 position.</w:t>
      </w:r>
    </w:p>
    <w:p>
      <w:pPr>
        <w:pStyle w:val="BodyText"/>
        <w:spacing w:line="247" w:lineRule="auto" w:before="155"/>
        <w:ind w:left="120" w:right="117" w:firstLine="720"/>
        <w:jc w:val="both"/>
      </w:pPr>
      <w:r>
        <w:rPr>
          <w:color w:val="231F20"/>
        </w:rPr>
        <w:t>The federal government, as well as several state and local governments, the governments of other countries, and the United Nations’ International Civil Aviation Organization (the “ICAO”) are considering legislative and regulatory proposals and voluntary measures to address climate change by reducing green-house gas emissions. At the federal level, the Environmental Protection Agency (the “EPA”) announced in September 2014 that it will propose an endangerment finding for greenhouse gas emissions from aircraft sometime in 2015. The EPA would be required under the Clean Air Act to regulate greenhouse gases from aircraft if it determines the emissions endanger public health or the environment. In addition, along with its proposed endangerment finding, the EPA said that it will also issue an advance notice of proposed rulemaking summarizing international efforts to regulate aircraft emissions. The ICAO could adopt a carbon dioxide standard for aircraft by 2016 and possibly a larger international framework for aviation emissions as world governments continue to negotiate a new global climate accord. Regardless of the method of regulation, policy changes with regards to climate change are possible, which could significantly increase operating costs in the airline industry and, as a result, adversely affect operations.</w:t>
      </w:r>
    </w:p>
    <w:p>
      <w:pPr>
        <w:pStyle w:val="BodyText"/>
        <w:spacing w:line="247" w:lineRule="auto" w:before="155"/>
        <w:ind w:left="120" w:right="117" w:firstLine="720"/>
        <w:jc w:val="both"/>
      </w:pPr>
      <w:r>
        <w:rPr>
          <w:color w:val="231F20"/>
        </w:rPr>
        <w:t>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could limit the ability of air carriers to expand operations at the affected</w:t>
      </w:r>
      <w:r>
        <w:rPr>
          <w:color w:val="231F20"/>
          <w:spacing w:val="-1"/>
        </w:rPr>
        <w:t> </w:t>
      </w:r>
      <w:r>
        <w:rPr>
          <w:color w:val="231F20"/>
        </w:rPr>
        <w:t>airports.</w:t>
      </w:r>
    </w:p>
    <w:p>
      <w:pPr>
        <w:pStyle w:val="BodyText"/>
        <w:spacing w:line="247" w:lineRule="auto" w:before="155"/>
        <w:ind w:left="119" w:right="117" w:firstLine="720"/>
        <w:jc w:val="both"/>
      </w:pPr>
      <w:r>
        <w:rPr>
          <w:color w:val="231F20"/>
        </w:rPr>
        <w:t>As part of its commitment to corporate sustainability, the Company has published the Southwest One Report</w:t>
      </w:r>
      <w:r>
        <w:rPr>
          <w:color w:val="231F20"/>
          <w:position w:val="5"/>
          <w:sz w:val="14"/>
        </w:rPr>
        <w:t>TM </w:t>
      </w:r>
      <w:r>
        <w:rPr>
          <w:color w:val="231F20"/>
        </w:rPr>
        <w:t>describing the Company’s sustainability strategies, which include efforts to reduce greenhouse gas emissions and address other environmental matters such as energy and water conservation, waste minimization, and recycling. As discussed above under “Operating Strategies and Initiatives - Cost Containment,” the Company has also committed significant resources towards implementation of RNP procedures, which are designed to conserve fuel and reduce carbon emissions. In addition, the Company’s “Green Team” targets areas of environmental improvement in all aspects  of the Company’s business, while at the same time remaining true to the Company’s low-cost philosophy.</w:t>
      </w:r>
    </w:p>
    <w:p>
      <w:pPr>
        <w:pStyle w:val="Heading1"/>
        <w:spacing w:before="155"/>
        <w:ind w:left="480"/>
      </w:pPr>
      <w:r>
        <w:rPr>
          <w:color w:val="231F20"/>
        </w:rPr>
        <w:t>International Regulation</w:t>
      </w:r>
    </w:p>
    <w:p>
      <w:pPr>
        <w:pStyle w:val="BodyText"/>
        <w:spacing w:line="247" w:lineRule="auto" w:before="162"/>
        <w:ind w:left="120" w:right="117" w:firstLine="720"/>
        <w:jc w:val="both"/>
      </w:pPr>
      <w:r>
        <w:rPr>
          <w:color w:val="231F20"/>
        </w:rPr>
        <w:t>All international air service is subject to certain federal requirements and approvals, as well as the regulatory requirements of the appropriate authorities of the foreign countries involved. The Company has obtained the necessary economic authority from the DOT, as well as FAA approvals, to conduct operations, under certain circumstances, to points outside of the continental United States. To the extent the Company seeks to serve additional foreign destinations in the future, it will be required  to obtain necessary authority from the DOT and approvals from the FAA, as well as any applicable foreign government or other</w:t>
      </w:r>
      <w:r>
        <w:rPr>
          <w:color w:val="231F20"/>
          <w:spacing w:val="-3"/>
        </w:rPr>
        <w:t> </w:t>
      </w:r>
      <w:r>
        <w:rPr>
          <w:color w:val="231F20"/>
        </w:rPr>
        <w:t>authority.</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firstLine="720"/>
        <w:jc w:val="both"/>
      </w:pPr>
      <w:r>
        <w:rPr>
          <w:color w:val="231F20"/>
        </w:rPr>
        <w:t>Moreover, CBP is the federal agency of the U.S. Department of Homeland Security charged with facilitating international trade, collecting import duties, and enforcing U.S. regulations with respect to trade, customs, and immigration. As the Company expands its international flight offerings, CBP requirements and resources will become increasingly important considerations to the Company. For instance, with the exception of flights from a small number of foreign “preclearance” locations, arriving international flights may only land at CBP-designated airports, and CBP officers must be present and in sufficient quantities at those airports to effectively process and inspect arriving international passengers and cargo. Thus, CBP personnel and CBP-mandated procedures can affect the Company’s operations, costs, and Customer experience. The Company will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short-term or the long-term.</w:t>
      </w:r>
    </w:p>
    <w:p>
      <w:pPr>
        <w:pStyle w:val="Heading1"/>
        <w:spacing w:before="172"/>
        <w:jc w:val="both"/>
      </w:pPr>
      <w:r>
        <w:rPr>
          <w:color w:val="231F20"/>
        </w:rPr>
        <w:t>Insurance</w:t>
      </w:r>
    </w:p>
    <w:p>
      <w:pPr>
        <w:pStyle w:val="BodyText"/>
        <w:spacing w:line="247" w:lineRule="auto" w:before="180"/>
        <w:ind w:left="100" w:right="117" w:firstLine="720"/>
        <w:jc w:val="both"/>
      </w:pPr>
      <w:r>
        <w:rPr>
          <w:color w:val="231F20"/>
        </w:rPr>
        <w:t>The Company carries insurance of types customary in the airline industry and in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 In addition, the Company currently carries a cyber-security insurance policy with regards to data protection and business interruption associated with both security breaches from malicious parties or from certain system</w:t>
      </w:r>
      <w:r>
        <w:rPr>
          <w:color w:val="231F20"/>
          <w:spacing w:val="-3"/>
        </w:rPr>
        <w:t> </w:t>
      </w:r>
      <w:r>
        <w:rPr>
          <w:color w:val="231F20"/>
        </w:rPr>
        <w:t>failures.</w:t>
      </w:r>
    </w:p>
    <w:p>
      <w:pPr>
        <w:pStyle w:val="BodyText"/>
        <w:spacing w:line="247" w:lineRule="auto" w:before="172"/>
        <w:ind w:left="100" w:right="117" w:firstLine="720"/>
        <w:jc w:val="both"/>
      </w:pPr>
      <w:r>
        <w:rPr>
          <w:color w:val="231F20"/>
        </w:rPr>
        <w:t>Through the 2003 Emergency Wartime Supplemental Appropriations Act (the “Wartime  Act”), the federal government has in the past provided war-risk insurance coverage to commercial carriers, including for losses from terrorism, for passengers, third parties (ground damage), and the aircraft hull. However, since the government-provided supplemental coverage from the Wartime Act was set to expire on September 30, 2014, the Company proactively canceled its government provided war-risk insurance coverage on May 15, 2014, and effective the same date, purchased comparable coverage via the commercial insurance marketplace. Although the Company was able to purchase comparable coverage via the commercial insurance marketplace, available commercial insurance in the future could be more expensive and/or have material differences in coverage than is currently provided and may not be adequate to protect the Company’s risk of loss from future acts of</w:t>
      </w:r>
      <w:r>
        <w:rPr>
          <w:color w:val="231F20"/>
          <w:spacing w:val="-5"/>
        </w:rPr>
        <w:t> </w:t>
      </w:r>
      <w:r>
        <w:rPr>
          <w:color w:val="231F20"/>
        </w:rPr>
        <w:t>terrorism.</w:t>
      </w:r>
    </w:p>
    <w:p>
      <w:pPr>
        <w:pStyle w:val="Heading1"/>
        <w:spacing w:before="172"/>
        <w:jc w:val="both"/>
      </w:pPr>
      <w:r>
        <w:rPr>
          <w:color w:val="231F20"/>
        </w:rPr>
        <w:t>Competition</w:t>
      </w:r>
    </w:p>
    <w:p>
      <w:pPr>
        <w:pStyle w:val="BodyText"/>
        <w:spacing w:line="247" w:lineRule="auto" w:before="180"/>
        <w:ind w:left="100" w:right="117" w:firstLine="720"/>
        <w:jc w:val="both"/>
      </w:pPr>
      <w:r>
        <w:rPr>
          <w:color w:val="231F20"/>
        </w:rPr>
        <w:t>Competition within the airline industry is intense and highly unpredictable, and Southwest currently competes with other airlines on virtually all of Southwest’s scheduled routes. As a result of improved economic conditions and an increased focus by airlines on costs, the airline industry has become increasingly competitive in recent years with healthier financial condition and improved profitability.</w:t>
      </w:r>
    </w:p>
    <w:p>
      <w:pPr>
        <w:pStyle w:val="BodyText"/>
        <w:spacing w:before="172"/>
        <w:ind w:left="820"/>
      </w:pPr>
      <w:r>
        <w:rPr>
          <w:color w:val="231F20"/>
        </w:rPr>
        <w:t>Key  competitive  factors  within  the  airline  industry  include  (i)  pricing  and  cost structure;</w:t>
      </w:r>
    </w:p>
    <w:p>
      <w:pPr>
        <w:pStyle w:val="BodyText"/>
        <w:spacing w:line="247" w:lineRule="auto" w:before="6"/>
        <w:ind w:left="100" w:right="117"/>
        <w:jc w:val="both"/>
      </w:pPr>
      <w:r>
        <w:rPr>
          <w:color w:val="231F20"/>
        </w:rPr>
        <w:t>(ii) routes, frequent flyer programs, and schedules; and (iii) customer service, comfort, and amenities. Southwest also competes for customers with other forms of transportation, as well as alternatives to travel. In recent years, the majority of domestic airline service has been provided by Southwest and the other largest major U.S. airlines, including American Airlines, Delta Air Lines, United Airlines, and  US Airways. In 2013, the parent company of American Airlines emerged from bankruptcy and merged with</w:t>
      </w:r>
      <w:r>
        <w:rPr>
          <w:color w:val="231F20"/>
          <w:spacing w:val="33"/>
        </w:rPr>
        <w:t> </w:t>
      </w:r>
      <w:r>
        <w:rPr>
          <w:color w:val="231F20"/>
        </w:rPr>
        <w:t>US</w:t>
      </w:r>
      <w:r>
        <w:rPr>
          <w:color w:val="231F20"/>
          <w:spacing w:val="33"/>
        </w:rPr>
        <w:t> </w:t>
      </w:r>
      <w:r>
        <w:rPr>
          <w:color w:val="231F20"/>
        </w:rPr>
        <w:t>Airways</w:t>
      </w:r>
      <w:r>
        <w:rPr>
          <w:color w:val="231F20"/>
          <w:spacing w:val="34"/>
        </w:rPr>
        <w:t> </w:t>
      </w:r>
      <w:r>
        <w:rPr>
          <w:color w:val="231F20"/>
        </w:rPr>
        <w:t>Group,</w:t>
      </w:r>
      <w:r>
        <w:rPr>
          <w:color w:val="231F20"/>
          <w:spacing w:val="33"/>
        </w:rPr>
        <w:t> </w:t>
      </w:r>
      <w:r>
        <w:rPr>
          <w:color w:val="231F20"/>
        </w:rPr>
        <w:t>Inc.</w:t>
      </w:r>
      <w:r>
        <w:rPr>
          <w:color w:val="231F20"/>
          <w:spacing w:val="34"/>
        </w:rPr>
        <w:t> </w:t>
      </w:r>
      <w:r>
        <w:rPr>
          <w:color w:val="231F20"/>
        </w:rPr>
        <w:t>The</w:t>
      </w:r>
      <w:r>
        <w:rPr>
          <w:color w:val="231F20"/>
          <w:spacing w:val="33"/>
        </w:rPr>
        <w:t> </w:t>
      </w:r>
      <w:r>
        <w:rPr>
          <w:color w:val="231F20"/>
        </w:rPr>
        <w:t>merged</w:t>
      </w:r>
      <w:r>
        <w:rPr>
          <w:color w:val="231F20"/>
          <w:spacing w:val="34"/>
        </w:rPr>
        <w:t> </w:t>
      </w:r>
      <w:r>
        <w:rPr>
          <w:color w:val="231F20"/>
        </w:rPr>
        <w:t>entity</w:t>
      </w:r>
      <w:r>
        <w:rPr>
          <w:color w:val="231F20"/>
          <w:spacing w:val="33"/>
        </w:rPr>
        <w:t> </w:t>
      </w:r>
      <w:r>
        <w:rPr>
          <w:color w:val="231F20"/>
        </w:rPr>
        <w:t>is</w:t>
      </w:r>
      <w:r>
        <w:rPr>
          <w:color w:val="231F20"/>
          <w:spacing w:val="34"/>
        </w:rPr>
        <w:t> </w:t>
      </w:r>
      <w:r>
        <w:rPr>
          <w:color w:val="231F20"/>
        </w:rPr>
        <w:t>the</w:t>
      </w:r>
      <w:r>
        <w:rPr>
          <w:color w:val="231F20"/>
          <w:spacing w:val="34"/>
        </w:rPr>
        <w:t> </w:t>
      </w:r>
      <w:r>
        <w:rPr>
          <w:color w:val="231F20"/>
        </w:rPr>
        <w:t>parent</w:t>
      </w:r>
      <w:r>
        <w:rPr>
          <w:color w:val="231F20"/>
          <w:spacing w:val="34"/>
        </w:rPr>
        <w:t> </w:t>
      </w:r>
      <w:r>
        <w:rPr>
          <w:color w:val="231F20"/>
        </w:rPr>
        <w:t>company</w:t>
      </w:r>
      <w:r>
        <w:rPr>
          <w:color w:val="231F20"/>
          <w:spacing w:val="34"/>
        </w:rPr>
        <w:t> </w:t>
      </w:r>
      <w:r>
        <w:rPr>
          <w:color w:val="231F20"/>
        </w:rPr>
        <w:t>of</w:t>
      </w:r>
      <w:r>
        <w:rPr>
          <w:color w:val="231F20"/>
          <w:spacing w:val="33"/>
        </w:rPr>
        <w:t> </w:t>
      </w:r>
      <w:r>
        <w:rPr>
          <w:color w:val="231F20"/>
        </w:rPr>
        <w:t>the</w:t>
      </w:r>
      <w:r>
        <w:rPr>
          <w:color w:val="231F20"/>
          <w:spacing w:val="34"/>
        </w:rPr>
        <w:t> </w:t>
      </w:r>
      <w:r>
        <w:rPr>
          <w:color w:val="231F20"/>
        </w:rPr>
        <w:t>following</w:t>
      </w:r>
      <w:r>
        <w:rPr>
          <w:color w:val="231F20"/>
          <w:spacing w:val="33"/>
        </w:rPr>
        <w:t> </w:t>
      </w:r>
      <w:r>
        <w:rPr>
          <w:color w:val="231F20"/>
        </w:rPr>
        <w:t>operating</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carriers: American Airlines, American Eagle Airlines (branded as Envoy beginning in 2014), US Airways, US Airways Shuttle, and US Airways Express. The DOT defines the major U.S. airlines as those airlines with annual revenues of at least $1 billion; there are currently 15 passenger airlines offering scheduled service, including Southwest, meeting this standard.</w:t>
      </w:r>
    </w:p>
    <w:p>
      <w:pPr>
        <w:pStyle w:val="Heading1"/>
        <w:spacing w:before="159"/>
        <w:ind w:left="460"/>
      </w:pPr>
      <w:r>
        <w:rPr>
          <w:color w:val="231F20"/>
        </w:rPr>
        <w:t>Pricing and Cost Structure</w:t>
      </w:r>
    </w:p>
    <w:p>
      <w:pPr>
        <w:pStyle w:val="BodyText"/>
        <w:spacing w:line="247" w:lineRule="auto" w:before="167"/>
        <w:ind w:left="100" w:right="117" w:firstLine="720"/>
        <w:jc w:val="both"/>
      </w:pPr>
      <w:r>
        <w:rPr>
          <w:color w:val="231F20"/>
        </w:rPr>
        <w:t>Pricing is a significant competitive factor in the airline industry, and the availability of fare information on the Internet allows travelers to easily compare fares and identify competitor promotions and discounts. Pricing can be driven by a variety of factors. For example, airlines often discount fares  to drive traffic in new markets or to stimulate traffic when necessary to improve load factors and/or cash flow. In addition, multiple airlines have been able to reduce fares because they have been able to lower their operating costs as a result of reorganization within and outside of bankruptcy. Further,  some of the Company’s competitors have continued to grow and modernize their fleets and expand their networks, potentially enabling them to better control costs per available seat mile (the average cost to fly an aircraft seat (empty or full) one mile), which in turn may enable them to lower their fares. These factors can reduce the pricing power of the Company and the airline industry as a</w:t>
      </w:r>
      <w:r>
        <w:rPr>
          <w:color w:val="231F20"/>
          <w:spacing w:val="-4"/>
        </w:rPr>
        <w:t> </w:t>
      </w:r>
      <w:r>
        <w:rPr>
          <w:color w:val="231F20"/>
        </w:rPr>
        <w:t>whole.</w:t>
      </w:r>
    </w:p>
    <w:p>
      <w:pPr>
        <w:pStyle w:val="BodyText"/>
        <w:spacing w:line="247" w:lineRule="auto" w:before="159"/>
        <w:ind w:left="100" w:right="119" w:firstLine="720"/>
        <w:jc w:val="both"/>
      </w:pPr>
      <w:r>
        <w:rPr>
          <w:color w:val="231F20"/>
        </w:rPr>
        <w:t>The Company believes its low-cost operating structure continues to provide it with an advantage over many of its airline competitors by enabling Southwest to continue to charge low fares. The Company also believes it has gained a competitive advantage by differentiating Southwest from all of its major competitors by not charging additional fees for items such as first and second checked bags, flight changes, seat selection, fuel surcharges, snacks, curb-side checkin, and telephone reservations.</w:t>
      </w:r>
    </w:p>
    <w:p>
      <w:pPr>
        <w:pStyle w:val="Heading1"/>
        <w:spacing w:before="159"/>
        <w:ind w:left="460"/>
      </w:pPr>
      <w:r>
        <w:rPr>
          <w:color w:val="231F20"/>
        </w:rPr>
        <w:t>Routes, Frequent Flyer Programs, and Schedules</w:t>
      </w:r>
    </w:p>
    <w:p>
      <w:pPr>
        <w:pStyle w:val="BodyText"/>
        <w:spacing w:line="247" w:lineRule="auto" w:before="167"/>
        <w:ind w:left="100" w:right="117" w:firstLine="720"/>
        <w:jc w:val="both"/>
      </w:pPr>
      <w:r>
        <w:rPr>
          <w:color w:val="231F20"/>
        </w:rPr>
        <w:t>The Company also competes with other airlines based on markets served, frequent flyer opportunities, and flight schedules. Some major airlines have more extensive route structures than Southwest, including more extensive international networks. In addition, many competitors have entered into significant commercial relationships with other airlines, such as global alliances, codesharing, and capacity purchase agreements, which increase the airlines’ opportunities to expand their route offerings. For example,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 of the specific alliance or codesharing arrangement, a participating airline may be able to</w:t>
      </w:r>
    </w:p>
    <w:p>
      <w:pPr>
        <w:pStyle w:val="BodyText"/>
        <w:spacing w:line="247" w:lineRule="auto"/>
        <w:ind w:left="100" w:right="117"/>
        <w:jc w:val="both"/>
      </w:pPr>
      <w:r>
        <w:rPr>
          <w:color w:val="231F20"/>
        </w:rPr>
        <w:t>(i)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or points.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initiatives to better enable Southwest to offer additional itineraries. In addition, the Company’s acquisition of AirTran enabled the Company to (i) expand its presence in key markets Southwest already served, (ii) grow the Company’s presence in key markets Southwest did not previously serve, (iii) extend service to smaller domestic cities Southwest did not previously serve, and</w:t>
      </w:r>
    </w:p>
    <w:p>
      <w:pPr>
        <w:pStyle w:val="BodyText"/>
        <w:spacing w:line="247" w:lineRule="auto"/>
        <w:ind w:left="100" w:right="118"/>
        <w:jc w:val="both"/>
      </w:pPr>
      <w:r>
        <w:rPr>
          <w:color w:val="231F20"/>
        </w:rPr>
        <w:t>(iv) provide access to the Commonwealth of Puerto Rico and key near-international markets in the Caribbean and Mexico.</w:t>
      </w:r>
    </w:p>
    <w:p>
      <w:pPr>
        <w:spacing w:after="0" w:line="247" w:lineRule="auto"/>
        <w:jc w:val="both"/>
        <w:sectPr>
          <w:pgSz w:w="11880" w:h="15480"/>
          <w:pgMar w:header="0" w:footer="1240" w:top="1240" w:bottom="1420" w:left="1280" w:right="1260"/>
        </w:sectPr>
      </w:pPr>
    </w:p>
    <w:p>
      <w:pPr>
        <w:pStyle w:val="Heading1"/>
        <w:ind w:left="460"/>
      </w:pPr>
      <w:r>
        <w:rPr>
          <w:color w:val="231F20"/>
        </w:rPr>
        <w:t>Customer Service, Comfort, and Amenities</w:t>
      </w:r>
    </w:p>
    <w:p>
      <w:pPr>
        <w:pStyle w:val="BodyText"/>
        <w:spacing w:line="247" w:lineRule="auto" w:before="154"/>
        <w:ind w:left="100" w:right="117" w:firstLine="720"/>
        <w:jc w:val="both"/>
      </w:pPr>
      <w:r>
        <w:rPr>
          <w:color w:val="231F20"/>
        </w:rPr>
        <w:t>Southwest also competes with other airlines in areas of Customer Service such as ontime performance, passenger amenities, flight equipment type, and comfort. According to statistics published by the DOT, Southwest consistently ranks at or near the top among domestic carriers in Customer Satisfaction for having the lowest Customer complaint ratio. Some airlines have more seating options and associated passenger amenities than does Southwest, including first-class, business class, and other premium seating and related amenities. Additionally, some major U.S. airlines have announced plans to add a significant number of new aircraft to their fleets. Such efforts could provide cost benefits to these airlines through fleet simplification, improved fuel efficiencies, and lower maintenance costs. Additionally, such new aircraft could have newer and different passenger amenities than those contained in the Company’s existing fleet. The Company is addressing this competitive factor with its fleet modernization initiatives, which are discussed above under “Operating Strategies and Initiatives - Fleet Modernization” and “Operating Strategies and Initiatives - Continued Incorporation of the Larger Boeing 737-800 into the Southwest</w:t>
      </w:r>
      <w:r>
        <w:rPr>
          <w:color w:val="231F20"/>
          <w:spacing w:val="-5"/>
        </w:rPr>
        <w:t> </w:t>
      </w:r>
      <w:r>
        <w:rPr>
          <w:color w:val="231F20"/>
        </w:rPr>
        <w:t>Fleet.”</w:t>
      </w:r>
    </w:p>
    <w:p>
      <w:pPr>
        <w:pStyle w:val="Heading1"/>
        <w:spacing w:before="147"/>
        <w:ind w:left="460"/>
      </w:pPr>
      <w:r>
        <w:rPr>
          <w:color w:val="231F20"/>
        </w:rPr>
        <w:t>Other Forms of Competition</w:t>
      </w:r>
    </w:p>
    <w:p>
      <w:pPr>
        <w:pStyle w:val="BodyText"/>
        <w:spacing w:line="247" w:lineRule="auto" w:before="154"/>
        <w:ind w:left="100" w:right="117" w:firstLine="720"/>
        <w:jc w:val="both"/>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and fewer choose to fly, or when gasoline prices are lower, making surface transportation a less expensive option.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 the Internet, which can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pStyle w:val="Heading1"/>
        <w:spacing w:before="147"/>
      </w:pPr>
      <w:r>
        <w:rPr>
          <w:color w:val="231F20"/>
        </w:rPr>
        <w:t>Seasonality</w:t>
      </w:r>
    </w:p>
    <w:p>
      <w:pPr>
        <w:pStyle w:val="BodyText"/>
        <w:spacing w:line="247" w:lineRule="auto" w:before="155"/>
        <w:ind w:left="100" w:right="117" w:firstLine="720"/>
        <w:jc w:val="both"/>
      </w:pPr>
      <w:r>
        <w:rPr>
          <w:color w:val="231F20"/>
        </w:rPr>
        <w:t>The Company’s business is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w:t>
      </w:r>
      <w:r>
        <w:rPr>
          <w:color w:val="231F20"/>
          <w:spacing w:val="-1"/>
        </w:rPr>
        <w:t> </w:t>
      </w:r>
      <w:r>
        <w:rPr>
          <w:color w:val="231F20"/>
        </w:rPr>
        <w:t>results.</w:t>
      </w:r>
    </w:p>
    <w:p>
      <w:pPr>
        <w:pStyle w:val="Heading1"/>
        <w:spacing w:before="147"/>
      </w:pPr>
      <w:r>
        <w:rPr>
          <w:color w:val="231F20"/>
        </w:rPr>
        <w:t>Employees</w:t>
      </w:r>
    </w:p>
    <w:p>
      <w:pPr>
        <w:pStyle w:val="BodyText"/>
        <w:spacing w:line="247" w:lineRule="auto" w:before="154"/>
        <w:ind w:left="100" w:right="117" w:firstLine="720"/>
        <w:jc w:val="both"/>
      </w:pPr>
      <w:r>
        <w:rPr>
          <w:color w:val="231F20"/>
        </w:rPr>
        <w:t>At December 31, 2014, the Company had 46,278 active fulltime equivalent Employees, consisting of 20,013 flight, 2,632 maintenance, 15,739 ground, Customer, and fleet service, and 7,894 management, technology, finance, marketing, and clerical personnel (associated with non-operational departments). Approximately 83 percent of these Employees were represented by labor unions. The Railway Labor Act establishes the right of airline employees to organize and bargain collectively. Under the Railway Labor Act, collective-bargaining agreements between an airline and a labor union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“self-help.” “Self-help” includes, among other things, a strike by the union or the airline’s imposition of any or all of its proposed amendments and the hiring of new employees to replace any striking workers. Following the AirTran acquisition, the various Company labor groups were covered by 18 different collective-bargaining agreements (“CBAs”). AirTran Employees in certain labor groups have fully transitioned to Southwest Employees under a single contract. The following table sets forth the Company’s Employee groups and the status of the respective CBAs as of December 31,</w:t>
      </w:r>
      <w:r>
        <w:rPr>
          <w:color w:val="231F20"/>
          <w:spacing w:val="2"/>
        </w:rPr>
        <w:t> </w:t>
      </w:r>
      <w:r>
        <w:rPr>
          <w:color w:val="231F20"/>
        </w:rPr>
        <w:t>2014:</w:t>
      </w:r>
    </w:p>
    <w:p>
      <w:pPr>
        <w:spacing w:after="0" w:line="247" w:lineRule="auto"/>
        <w:jc w:val="both"/>
        <w:sectPr>
          <w:pgSz w:w="11880" w:h="15480"/>
          <w:pgMar w:header="0" w:footer="1240" w:top="1240" w:bottom="1420" w:left="1280" w:right="1260"/>
        </w:sectPr>
      </w:pPr>
    </w:p>
    <w:tbl>
      <w:tblPr>
        <w:tblW w:w="0" w:type="auto"/>
        <w:jc w:val="left"/>
        <w:tblInd w:w="1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387"/>
        <w:gridCol w:w="1818"/>
        <w:gridCol w:w="2041"/>
        <w:gridCol w:w="2864"/>
      </w:tblGrid>
      <w:tr>
        <w:trPr>
          <w:trHeight w:val="430" w:hRule="exact"/>
        </w:trPr>
        <w:tc>
          <w:tcPr>
            <w:tcW w:w="2387" w:type="dxa"/>
          </w:tcPr>
          <w:p>
            <w:pPr>
              <w:pStyle w:val="TableParagraph"/>
              <w:spacing w:before="9"/>
              <w:rPr>
                <w:sz w:val="15"/>
              </w:rPr>
            </w:pPr>
          </w:p>
          <w:p>
            <w:pPr>
              <w:pStyle w:val="TableParagraph"/>
              <w:spacing w:before="0"/>
              <w:ind w:left="50"/>
              <w:rPr>
                <w:b/>
                <w:sz w:val="18"/>
              </w:rPr>
            </w:pPr>
            <w:r>
              <w:rPr>
                <w:b/>
                <w:color w:val="231F20"/>
                <w:sz w:val="18"/>
              </w:rPr>
              <w:t>Employee Group</w:t>
            </w:r>
          </w:p>
        </w:tc>
        <w:tc>
          <w:tcPr>
            <w:tcW w:w="1818" w:type="dxa"/>
          </w:tcPr>
          <w:p>
            <w:pPr>
              <w:pStyle w:val="TableParagraph"/>
              <w:spacing w:line="180" w:lineRule="exact" w:before="26"/>
              <w:ind w:left="69"/>
              <w:rPr>
                <w:b/>
                <w:sz w:val="18"/>
              </w:rPr>
            </w:pPr>
            <w:r>
              <w:rPr>
                <w:b/>
                <w:color w:val="231F20"/>
                <w:w w:val="95"/>
                <w:sz w:val="18"/>
              </w:rPr>
              <w:t>Approximate Number </w:t>
            </w:r>
            <w:r>
              <w:rPr>
                <w:b/>
                <w:color w:val="231F20"/>
                <w:sz w:val="18"/>
              </w:rPr>
              <w:t>of Employees</w:t>
            </w:r>
          </w:p>
        </w:tc>
        <w:tc>
          <w:tcPr>
            <w:tcW w:w="2041" w:type="dxa"/>
          </w:tcPr>
          <w:p>
            <w:pPr>
              <w:pStyle w:val="TableParagraph"/>
              <w:spacing w:before="9"/>
              <w:rPr>
                <w:sz w:val="15"/>
              </w:rPr>
            </w:pPr>
          </w:p>
          <w:p>
            <w:pPr>
              <w:pStyle w:val="TableParagraph"/>
              <w:spacing w:before="0"/>
              <w:ind w:left="79"/>
              <w:rPr>
                <w:b/>
                <w:sz w:val="18"/>
              </w:rPr>
            </w:pPr>
            <w:r>
              <w:rPr>
                <w:b/>
                <w:color w:val="231F20"/>
                <w:sz w:val="18"/>
              </w:rPr>
              <w:t>Representatives</w:t>
            </w:r>
          </w:p>
        </w:tc>
        <w:tc>
          <w:tcPr>
            <w:tcW w:w="2864" w:type="dxa"/>
          </w:tcPr>
          <w:p>
            <w:pPr>
              <w:pStyle w:val="TableParagraph"/>
              <w:spacing w:before="9"/>
              <w:rPr>
                <w:sz w:val="15"/>
              </w:rPr>
            </w:pPr>
          </w:p>
          <w:p>
            <w:pPr>
              <w:pStyle w:val="TableParagraph"/>
              <w:spacing w:before="0"/>
              <w:ind w:left="79"/>
              <w:rPr>
                <w:b/>
                <w:sz w:val="18"/>
              </w:rPr>
            </w:pPr>
            <w:r>
              <w:rPr>
                <w:b/>
                <w:color w:val="231F20"/>
                <w:sz w:val="18"/>
              </w:rPr>
              <w:t>Status of Agreement</w:t>
            </w:r>
          </w:p>
        </w:tc>
      </w:tr>
      <w:tr>
        <w:trPr>
          <w:trHeight w:val="460" w:hRule="exact"/>
        </w:trPr>
        <w:tc>
          <w:tcPr>
            <w:tcW w:w="2387" w:type="dxa"/>
            <w:shd w:val="clear" w:color="auto" w:fill="CCECFC"/>
          </w:tcPr>
          <w:p>
            <w:pPr>
              <w:pStyle w:val="TableParagraph"/>
              <w:spacing w:before="1"/>
              <w:rPr>
                <w:sz w:val="20"/>
              </w:rPr>
            </w:pPr>
          </w:p>
          <w:p>
            <w:pPr>
              <w:pStyle w:val="TableParagraph"/>
              <w:spacing w:before="1"/>
              <w:ind w:left="50"/>
              <w:rPr>
                <w:sz w:val="18"/>
              </w:rPr>
            </w:pPr>
            <w:r>
              <w:rPr>
                <w:color w:val="231F20"/>
                <w:sz w:val="18"/>
              </w:rPr>
              <w:t>Southwest Pilots</w:t>
            </w:r>
          </w:p>
        </w:tc>
        <w:tc>
          <w:tcPr>
            <w:tcW w:w="1818" w:type="dxa"/>
            <w:shd w:val="clear" w:color="auto" w:fill="CCECFC"/>
          </w:tcPr>
          <w:p>
            <w:pPr>
              <w:pStyle w:val="TableParagraph"/>
              <w:spacing w:before="1"/>
              <w:rPr>
                <w:sz w:val="20"/>
              </w:rPr>
            </w:pPr>
          </w:p>
          <w:p>
            <w:pPr>
              <w:pStyle w:val="TableParagraph"/>
              <w:spacing w:before="1"/>
              <w:ind w:left="69"/>
              <w:rPr>
                <w:sz w:val="18"/>
              </w:rPr>
            </w:pPr>
            <w:r>
              <w:rPr>
                <w:color w:val="231F20"/>
                <w:sz w:val="18"/>
              </w:rPr>
              <w:t>7,500</w:t>
            </w:r>
          </w:p>
        </w:tc>
        <w:tc>
          <w:tcPr>
            <w:tcW w:w="2041" w:type="dxa"/>
            <w:shd w:val="clear" w:color="auto" w:fill="CCECFC"/>
          </w:tcPr>
          <w:p>
            <w:pPr>
              <w:pStyle w:val="TableParagraph"/>
              <w:spacing w:line="200" w:lineRule="exact" w:before="40"/>
              <w:ind w:left="80"/>
              <w:rPr>
                <w:sz w:val="18"/>
              </w:rPr>
            </w:pPr>
            <w:r>
              <w:rPr>
                <w:color w:val="231F20"/>
                <w:sz w:val="18"/>
              </w:rPr>
              <w:t>Southwest Airlines Pilots’ </w:t>
            </w:r>
            <w:r>
              <w:rPr>
                <w:color w:val="231F20"/>
                <w:w w:val="95"/>
                <w:sz w:val="18"/>
              </w:rPr>
              <w:t>Association  (“SWAPA”)</w:t>
            </w:r>
          </w:p>
        </w:tc>
        <w:tc>
          <w:tcPr>
            <w:tcW w:w="2864" w:type="dxa"/>
            <w:shd w:val="clear" w:color="auto" w:fill="CCECFC"/>
          </w:tcPr>
          <w:p>
            <w:pPr>
              <w:pStyle w:val="TableParagraph"/>
              <w:spacing w:before="1"/>
              <w:rPr>
                <w:sz w:val="20"/>
              </w:rPr>
            </w:pPr>
          </w:p>
          <w:p>
            <w:pPr>
              <w:pStyle w:val="TableParagraph"/>
              <w:spacing w:before="1"/>
              <w:ind w:left="79"/>
              <w:rPr>
                <w:sz w:val="18"/>
              </w:rPr>
            </w:pPr>
            <w:r>
              <w:rPr>
                <w:color w:val="231F20"/>
                <w:sz w:val="18"/>
              </w:rPr>
              <w:t>In negotiations</w:t>
            </w:r>
          </w:p>
        </w:tc>
      </w:tr>
      <w:tr>
        <w:trPr>
          <w:trHeight w:val="660" w:hRule="exact"/>
        </w:trPr>
        <w:tc>
          <w:tcPr>
            <w:tcW w:w="2387" w:type="dxa"/>
          </w:tcPr>
          <w:p>
            <w:pPr>
              <w:pStyle w:val="TableParagraph"/>
              <w:spacing w:before="0"/>
              <w:rPr>
                <w:sz w:val="20"/>
              </w:rPr>
            </w:pPr>
          </w:p>
          <w:p>
            <w:pPr>
              <w:pStyle w:val="TableParagraph"/>
              <w:spacing w:before="6"/>
              <w:rPr>
                <w:sz w:val="17"/>
              </w:rPr>
            </w:pPr>
          </w:p>
          <w:p>
            <w:pPr>
              <w:pStyle w:val="TableParagraph"/>
              <w:spacing w:before="0"/>
              <w:ind w:left="49"/>
              <w:rPr>
                <w:sz w:val="18"/>
              </w:rPr>
            </w:pPr>
            <w:r>
              <w:rPr>
                <w:color w:val="231F20"/>
                <w:sz w:val="18"/>
              </w:rPr>
              <w:t>Southwest Flight Attendants</w:t>
            </w:r>
          </w:p>
        </w:tc>
        <w:tc>
          <w:tcPr>
            <w:tcW w:w="1818" w:type="dxa"/>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11,850</w:t>
            </w:r>
          </w:p>
        </w:tc>
        <w:tc>
          <w:tcPr>
            <w:tcW w:w="2041" w:type="dxa"/>
          </w:tcPr>
          <w:p>
            <w:pPr>
              <w:pStyle w:val="TableParagraph"/>
              <w:spacing w:line="200" w:lineRule="exact" w:before="40"/>
              <w:ind w:left="80" w:right="68"/>
              <w:jc w:val="both"/>
              <w:rPr>
                <w:sz w:val="18"/>
              </w:rPr>
            </w:pPr>
            <w:r>
              <w:rPr>
                <w:color w:val="231F20"/>
                <w:sz w:val="18"/>
              </w:rPr>
              <w:t>Transportation</w:t>
            </w:r>
            <w:r>
              <w:rPr>
                <w:color w:val="231F20"/>
                <w:spacing w:val="-20"/>
                <w:sz w:val="18"/>
              </w:rPr>
              <w:t> </w:t>
            </w:r>
            <w:r>
              <w:rPr>
                <w:color w:val="231F20"/>
                <w:sz w:val="18"/>
              </w:rPr>
              <w:t>Workers</w:t>
            </w:r>
            <w:r>
              <w:rPr>
                <w:color w:val="231F20"/>
                <w:spacing w:val="-19"/>
                <w:sz w:val="18"/>
              </w:rPr>
              <w:t> </w:t>
            </w:r>
            <w:r>
              <w:rPr>
                <w:color w:val="231F20"/>
                <w:sz w:val="18"/>
              </w:rPr>
              <w:t>of</w:t>
            </w:r>
            <w:r>
              <w:rPr>
                <w:color w:val="231F20"/>
                <w:w w:val="97"/>
                <w:sz w:val="18"/>
              </w:rPr>
              <w:t> </w:t>
            </w:r>
            <w:r>
              <w:rPr>
                <w:color w:val="231F20"/>
                <w:sz w:val="18"/>
              </w:rPr>
              <w:t>America,</w:t>
            </w:r>
            <w:r>
              <w:rPr>
                <w:color w:val="231F20"/>
                <w:spacing w:val="-20"/>
                <w:sz w:val="18"/>
              </w:rPr>
              <w:t> </w:t>
            </w:r>
            <w:r>
              <w:rPr>
                <w:color w:val="231F20"/>
                <w:sz w:val="18"/>
              </w:rPr>
              <w:t>AFL-CIO,</w:t>
            </w:r>
            <w:r>
              <w:rPr>
                <w:color w:val="231F20"/>
                <w:spacing w:val="-20"/>
                <w:sz w:val="18"/>
              </w:rPr>
              <w:t> </w:t>
            </w:r>
            <w:r>
              <w:rPr>
                <w:color w:val="231F20"/>
                <w:sz w:val="18"/>
              </w:rPr>
              <w:t>Local 556 (“TWU</w:t>
            </w:r>
            <w:r>
              <w:rPr>
                <w:color w:val="231F20"/>
                <w:spacing w:val="-29"/>
                <w:sz w:val="18"/>
              </w:rPr>
              <w:t> </w:t>
            </w:r>
            <w:r>
              <w:rPr>
                <w:color w:val="231F20"/>
                <w:sz w:val="18"/>
              </w:rPr>
              <w:t>556”)</w:t>
            </w:r>
          </w:p>
        </w:tc>
        <w:tc>
          <w:tcPr>
            <w:tcW w:w="2864" w:type="dxa"/>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In negotiations</w:t>
            </w:r>
          </w:p>
        </w:tc>
      </w:tr>
      <w:tr>
        <w:trPr>
          <w:trHeight w:val="660" w:hRule="exact"/>
        </w:trPr>
        <w:tc>
          <w:tcPr>
            <w:tcW w:w="2387" w:type="dxa"/>
            <w:shd w:val="clear" w:color="auto" w:fill="CCECFC"/>
          </w:tcPr>
          <w:p>
            <w:pPr>
              <w:pStyle w:val="TableParagraph"/>
              <w:spacing w:before="10"/>
              <w:rPr>
                <w:sz w:val="20"/>
              </w:rPr>
            </w:pPr>
          </w:p>
          <w:p>
            <w:pPr>
              <w:pStyle w:val="TableParagraph"/>
              <w:spacing w:line="200" w:lineRule="exact" w:before="0"/>
              <w:ind w:left="49" w:right="158"/>
              <w:rPr>
                <w:sz w:val="18"/>
              </w:rPr>
            </w:pPr>
            <w:r>
              <w:rPr>
                <w:color w:val="231F20"/>
                <w:sz w:val="18"/>
              </w:rPr>
              <w:t>Southwest Ramp, Operations, Provisioning, Freight Agents</w:t>
            </w:r>
          </w:p>
        </w:tc>
        <w:tc>
          <w:tcPr>
            <w:tcW w:w="1818"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10,000</w:t>
            </w:r>
          </w:p>
        </w:tc>
        <w:tc>
          <w:tcPr>
            <w:tcW w:w="2041" w:type="dxa"/>
            <w:shd w:val="clear" w:color="auto" w:fill="CCECFC"/>
          </w:tcPr>
          <w:p>
            <w:pPr>
              <w:pStyle w:val="TableParagraph"/>
              <w:spacing w:line="200" w:lineRule="exact" w:before="40"/>
              <w:ind w:left="80" w:right="68"/>
              <w:jc w:val="both"/>
              <w:rPr>
                <w:sz w:val="18"/>
              </w:rPr>
            </w:pPr>
            <w:r>
              <w:rPr>
                <w:color w:val="231F20"/>
                <w:sz w:val="18"/>
              </w:rPr>
              <w:t>Transportation</w:t>
            </w:r>
            <w:r>
              <w:rPr>
                <w:color w:val="231F20"/>
                <w:spacing w:val="-20"/>
                <w:sz w:val="18"/>
              </w:rPr>
              <w:t> </w:t>
            </w:r>
            <w:r>
              <w:rPr>
                <w:color w:val="231F20"/>
                <w:sz w:val="18"/>
              </w:rPr>
              <w:t>Workers</w:t>
            </w:r>
            <w:r>
              <w:rPr>
                <w:color w:val="231F20"/>
                <w:spacing w:val="-19"/>
                <w:sz w:val="18"/>
              </w:rPr>
              <w:t> </w:t>
            </w:r>
            <w:r>
              <w:rPr>
                <w:color w:val="231F20"/>
                <w:sz w:val="18"/>
              </w:rPr>
              <w:t>of</w:t>
            </w:r>
            <w:r>
              <w:rPr>
                <w:color w:val="231F20"/>
                <w:w w:val="97"/>
                <w:sz w:val="18"/>
              </w:rPr>
              <w:t> </w:t>
            </w:r>
            <w:r>
              <w:rPr>
                <w:color w:val="231F20"/>
                <w:sz w:val="18"/>
              </w:rPr>
              <w:t>America,</w:t>
            </w:r>
            <w:r>
              <w:rPr>
                <w:color w:val="231F20"/>
                <w:spacing w:val="-20"/>
                <w:sz w:val="18"/>
              </w:rPr>
              <w:t> </w:t>
            </w:r>
            <w:r>
              <w:rPr>
                <w:color w:val="231F20"/>
                <w:sz w:val="18"/>
              </w:rPr>
              <w:t>AFL-CIO,</w:t>
            </w:r>
            <w:r>
              <w:rPr>
                <w:color w:val="231F20"/>
                <w:spacing w:val="-20"/>
                <w:sz w:val="18"/>
              </w:rPr>
              <w:t> </w:t>
            </w:r>
            <w:r>
              <w:rPr>
                <w:color w:val="231F20"/>
                <w:sz w:val="18"/>
              </w:rPr>
              <w:t>Local 555 (“TWU</w:t>
            </w:r>
            <w:r>
              <w:rPr>
                <w:color w:val="231F20"/>
                <w:spacing w:val="-29"/>
                <w:sz w:val="18"/>
              </w:rPr>
              <w:t> </w:t>
            </w:r>
            <w:r>
              <w:rPr>
                <w:color w:val="231F20"/>
                <w:sz w:val="18"/>
              </w:rPr>
              <w:t>555”)</w:t>
            </w:r>
          </w:p>
        </w:tc>
        <w:tc>
          <w:tcPr>
            <w:tcW w:w="2864"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In negotiations</w:t>
            </w:r>
          </w:p>
        </w:tc>
      </w:tr>
      <w:tr>
        <w:trPr>
          <w:trHeight w:val="860" w:hRule="exact"/>
        </w:trPr>
        <w:tc>
          <w:tcPr>
            <w:tcW w:w="2387" w:type="dxa"/>
          </w:tcPr>
          <w:p>
            <w:pPr>
              <w:pStyle w:val="TableParagraph"/>
              <w:spacing w:before="10"/>
              <w:rPr>
                <w:sz w:val="20"/>
              </w:rPr>
            </w:pPr>
          </w:p>
          <w:p>
            <w:pPr>
              <w:pStyle w:val="TableParagraph"/>
              <w:spacing w:line="200" w:lineRule="exact" w:before="0"/>
              <w:ind w:left="49"/>
              <w:rPr>
                <w:sz w:val="18"/>
              </w:rPr>
            </w:pPr>
            <w:r>
              <w:rPr>
                <w:color w:val="231F20"/>
                <w:sz w:val="18"/>
              </w:rPr>
              <w:t>Southwest Customer Service Agents, Customer Representatives</w:t>
            </w:r>
          </w:p>
        </w:tc>
        <w:tc>
          <w:tcPr>
            <w:tcW w:w="1818" w:type="dxa"/>
          </w:tcPr>
          <w:p>
            <w:pPr>
              <w:pStyle w:val="TableParagraph"/>
              <w:spacing w:before="0"/>
              <w:rPr>
                <w:sz w:val="20"/>
              </w:rPr>
            </w:pPr>
          </w:p>
          <w:p>
            <w:pPr>
              <w:pStyle w:val="TableParagraph"/>
              <w:spacing w:before="0"/>
              <w:rPr>
                <w:sz w:val="20"/>
              </w:rPr>
            </w:pPr>
          </w:p>
          <w:p>
            <w:pPr>
              <w:pStyle w:val="TableParagraph"/>
              <w:spacing w:before="172"/>
              <w:ind w:left="69"/>
              <w:rPr>
                <w:sz w:val="18"/>
              </w:rPr>
            </w:pPr>
            <w:r>
              <w:rPr>
                <w:color w:val="231F20"/>
                <w:sz w:val="18"/>
              </w:rPr>
              <w:t>5,800</w:t>
            </w:r>
          </w:p>
        </w:tc>
        <w:tc>
          <w:tcPr>
            <w:tcW w:w="2041" w:type="dxa"/>
          </w:tcPr>
          <w:p>
            <w:pPr>
              <w:pStyle w:val="TableParagraph"/>
              <w:spacing w:line="200" w:lineRule="exact" w:before="40"/>
              <w:ind w:left="80" w:right="173"/>
              <w:rPr>
                <w:sz w:val="18"/>
              </w:rPr>
            </w:pPr>
            <w:r>
              <w:rPr>
                <w:color w:val="231F20"/>
                <w:w w:val="95"/>
                <w:sz w:val="18"/>
              </w:rPr>
              <w:t>International Association </w:t>
            </w:r>
            <w:r>
              <w:rPr>
                <w:color w:val="231F20"/>
                <w:sz w:val="18"/>
              </w:rPr>
              <w:t>of Machinists and Aerospace Workers, AFL-CIO (“IAM 142”)</w:t>
            </w:r>
          </w:p>
        </w:tc>
        <w:tc>
          <w:tcPr>
            <w:tcW w:w="2864" w:type="dxa"/>
          </w:tcPr>
          <w:p>
            <w:pPr>
              <w:pStyle w:val="TableParagraph"/>
              <w:spacing w:before="0"/>
              <w:rPr>
                <w:sz w:val="20"/>
              </w:rPr>
            </w:pPr>
          </w:p>
          <w:p>
            <w:pPr>
              <w:pStyle w:val="TableParagraph"/>
              <w:spacing w:before="0"/>
              <w:rPr>
                <w:sz w:val="20"/>
              </w:rPr>
            </w:pPr>
          </w:p>
          <w:p>
            <w:pPr>
              <w:pStyle w:val="TableParagraph"/>
              <w:spacing w:before="172"/>
              <w:ind w:left="80"/>
              <w:rPr>
                <w:sz w:val="18"/>
              </w:rPr>
            </w:pPr>
            <w:r>
              <w:rPr>
                <w:color w:val="231F20"/>
                <w:sz w:val="18"/>
              </w:rPr>
              <w:t>Amendable December 2018</w:t>
            </w:r>
          </w:p>
        </w:tc>
      </w:tr>
      <w:tr>
        <w:trPr>
          <w:trHeight w:val="660" w:hRule="exact"/>
        </w:trPr>
        <w:tc>
          <w:tcPr>
            <w:tcW w:w="2387" w:type="dxa"/>
            <w:shd w:val="clear" w:color="auto" w:fill="CCECFC"/>
          </w:tcPr>
          <w:p>
            <w:pPr>
              <w:pStyle w:val="TableParagraph"/>
              <w:spacing w:line="200" w:lineRule="exact" w:before="40"/>
              <w:ind w:left="49" w:right="88"/>
              <w:rPr>
                <w:sz w:val="18"/>
              </w:rPr>
            </w:pPr>
            <w:r>
              <w:rPr>
                <w:color w:val="231F20"/>
                <w:sz w:val="18"/>
              </w:rPr>
              <w:t>Southwest Material Specialists (formerly known as Stock Clerks)</w:t>
            </w:r>
          </w:p>
        </w:tc>
        <w:tc>
          <w:tcPr>
            <w:tcW w:w="1818"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250</w:t>
            </w:r>
          </w:p>
        </w:tc>
        <w:tc>
          <w:tcPr>
            <w:tcW w:w="2041" w:type="dxa"/>
            <w:shd w:val="clear" w:color="auto" w:fill="CCECFC"/>
          </w:tcPr>
          <w:p>
            <w:pPr>
              <w:pStyle w:val="TableParagraph"/>
              <w:spacing w:line="200" w:lineRule="exact" w:before="40"/>
              <w:ind w:left="80" w:right="40"/>
              <w:rPr>
                <w:sz w:val="18"/>
              </w:rPr>
            </w:pPr>
            <w:r>
              <w:rPr>
                <w:color w:val="231F20"/>
                <w:w w:val="95"/>
                <w:sz w:val="18"/>
              </w:rPr>
              <w:t>International Brotherhood </w:t>
            </w:r>
            <w:r>
              <w:rPr>
                <w:color w:val="231F20"/>
                <w:sz w:val="18"/>
              </w:rPr>
              <w:t>of Teamsters, Local 19 (“IBT 19”)</w:t>
            </w:r>
          </w:p>
        </w:tc>
        <w:tc>
          <w:tcPr>
            <w:tcW w:w="2864"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In negotiations</w:t>
            </w:r>
          </w:p>
        </w:tc>
      </w:tr>
      <w:tr>
        <w:trPr>
          <w:trHeight w:val="660" w:hRule="exact"/>
        </w:trPr>
        <w:tc>
          <w:tcPr>
            <w:tcW w:w="2387" w:type="dxa"/>
          </w:tcPr>
          <w:p>
            <w:pPr>
              <w:pStyle w:val="TableParagraph"/>
              <w:spacing w:before="0"/>
              <w:rPr>
                <w:sz w:val="20"/>
              </w:rPr>
            </w:pPr>
          </w:p>
          <w:p>
            <w:pPr>
              <w:pStyle w:val="TableParagraph"/>
              <w:spacing w:before="6"/>
              <w:rPr>
                <w:sz w:val="17"/>
              </w:rPr>
            </w:pPr>
          </w:p>
          <w:p>
            <w:pPr>
              <w:pStyle w:val="TableParagraph"/>
              <w:spacing w:before="0"/>
              <w:ind w:left="49"/>
              <w:rPr>
                <w:sz w:val="18"/>
              </w:rPr>
            </w:pPr>
            <w:r>
              <w:rPr>
                <w:color w:val="231F20"/>
                <w:w w:val="95"/>
                <w:sz w:val="18"/>
              </w:rPr>
              <w:t>Southwest  Mechanics</w:t>
            </w:r>
          </w:p>
        </w:tc>
        <w:tc>
          <w:tcPr>
            <w:tcW w:w="1818" w:type="dxa"/>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2,100</w:t>
            </w:r>
          </w:p>
        </w:tc>
        <w:tc>
          <w:tcPr>
            <w:tcW w:w="2041" w:type="dxa"/>
          </w:tcPr>
          <w:p>
            <w:pPr>
              <w:pStyle w:val="TableParagraph"/>
              <w:spacing w:line="200" w:lineRule="exact" w:before="40"/>
              <w:ind w:left="80"/>
              <w:rPr>
                <w:sz w:val="18"/>
              </w:rPr>
            </w:pPr>
            <w:r>
              <w:rPr>
                <w:color w:val="231F20"/>
                <w:sz w:val="18"/>
              </w:rPr>
              <w:t>Aircraft Mechanics </w:t>
            </w:r>
            <w:r>
              <w:rPr>
                <w:color w:val="231F20"/>
                <w:w w:val="95"/>
                <w:sz w:val="18"/>
              </w:rPr>
              <w:t>Fraternal Association </w:t>
            </w:r>
            <w:r>
              <w:rPr>
                <w:color w:val="231F20"/>
                <w:sz w:val="18"/>
              </w:rPr>
              <w:t>(“AMFA”)</w:t>
            </w:r>
          </w:p>
        </w:tc>
        <w:tc>
          <w:tcPr>
            <w:tcW w:w="2864" w:type="dxa"/>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In negotiations</w:t>
            </w:r>
          </w:p>
        </w:tc>
      </w:tr>
      <w:tr>
        <w:trPr>
          <w:trHeight w:val="460" w:hRule="exact"/>
        </w:trPr>
        <w:tc>
          <w:tcPr>
            <w:tcW w:w="2387" w:type="dxa"/>
            <w:shd w:val="clear" w:color="auto" w:fill="CCECFC"/>
          </w:tcPr>
          <w:p>
            <w:pPr>
              <w:pStyle w:val="TableParagraph"/>
              <w:spacing w:line="200" w:lineRule="exact" w:before="40"/>
              <w:ind w:left="49" w:right="38"/>
              <w:rPr>
                <w:sz w:val="18"/>
              </w:rPr>
            </w:pPr>
            <w:r>
              <w:rPr>
                <w:color w:val="231F20"/>
                <w:sz w:val="18"/>
              </w:rPr>
              <w:t>Southwest Aircraft Appearance Technicians</w:t>
            </w:r>
          </w:p>
        </w:tc>
        <w:tc>
          <w:tcPr>
            <w:tcW w:w="1818" w:type="dxa"/>
            <w:shd w:val="clear" w:color="auto" w:fill="CCECFC"/>
          </w:tcPr>
          <w:p>
            <w:pPr>
              <w:pStyle w:val="TableParagraph"/>
              <w:spacing w:before="1"/>
              <w:rPr>
                <w:sz w:val="20"/>
              </w:rPr>
            </w:pPr>
          </w:p>
          <w:p>
            <w:pPr>
              <w:pStyle w:val="TableParagraph"/>
              <w:spacing w:before="1"/>
              <w:ind w:left="69"/>
              <w:rPr>
                <w:sz w:val="18"/>
              </w:rPr>
            </w:pPr>
            <w:r>
              <w:rPr>
                <w:color w:val="231F20"/>
                <w:sz w:val="18"/>
              </w:rPr>
              <w:t>200</w:t>
            </w:r>
          </w:p>
        </w:tc>
        <w:tc>
          <w:tcPr>
            <w:tcW w:w="2041" w:type="dxa"/>
            <w:shd w:val="clear" w:color="auto" w:fill="CCECFC"/>
          </w:tcPr>
          <w:p>
            <w:pPr>
              <w:pStyle w:val="TableParagraph"/>
              <w:spacing w:before="1"/>
              <w:rPr>
                <w:sz w:val="20"/>
              </w:rPr>
            </w:pPr>
          </w:p>
          <w:p>
            <w:pPr>
              <w:pStyle w:val="TableParagraph"/>
              <w:spacing w:before="1"/>
              <w:ind w:left="80"/>
              <w:rPr>
                <w:sz w:val="18"/>
              </w:rPr>
            </w:pPr>
            <w:r>
              <w:rPr>
                <w:color w:val="231F20"/>
                <w:sz w:val="18"/>
              </w:rPr>
              <w:t>AMFA</w:t>
            </w:r>
          </w:p>
        </w:tc>
        <w:tc>
          <w:tcPr>
            <w:tcW w:w="2864" w:type="dxa"/>
            <w:shd w:val="clear" w:color="auto" w:fill="CCECFC"/>
          </w:tcPr>
          <w:p>
            <w:pPr>
              <w:pStyle w:val="TableParagraph"/>
              <w:spacing w:before="1"/>
              <w:rPr>
                <w:sz w:val="20"/>
              </w:rPr>
            </w:pPr>
          </w:p>
          <w:p>
            <w:pPr>
              <w:pStyle w:val="TableParagraph"/>
              <w:spacing w:before="1"/>
              <w:ind w:left="80"/>
              <w:rPr>
                <w:sz w:val="18"/>
              </w:rPr>
            </w:pPr>
            <w:r>
              <w:rPr>
                <w:color w:val="231F20"/>
                <w:sz w:val="18"/>
              </w:rPr>
              <w:t>Amendable February 2017</w:t>
            </w:r>
          </w:p>
        </w:tc>
      </w:tr>
      <w:tr>
        <w:trPr>
          <w:trHeight w:val="460" w:hRule="exact"/>
        </w:trPr>
        <w:tc>
          <w:tcPr>
            <w:tcW w:w="2387" w:type="dxa"/>
          </w:tcPr>
          <w:p>
            <w:pPr>
              <w:pStyle w:val="TableParagraph"/>
              <w:spacing w:line="200" w:lineRule="exact" w:before="40"/>
              <w:ind w:left="49" w:right="513"/>
              <w:rPr>
                <w:sz w:val="18"/>
              </w:rPr>
            </w:pPr>
            <w:r>
              <w:rPr>
                <w:color w:val="231F20"/>
                <w:sz w:val="18"/>
              </w:rPr>
              <w:t>Southwest Facilities </w:t>
            </w:r>
            <w:r>
              <w:rPr>
                <w:color w:val="231F20"/>
                <w:w w:val="95"/>
                <w:sz w:val="18"/>
              </w:rPr>
              <w:t>Maintenance  Technicians</w:t>
            </w:r>
          </w:p>
        </w:tc>
        <w:tc>
          <w:tcPr>
            <w:tcW w:w="1818" w:type="dxa"/>
          </w:tcPr>
          <w:p>
            <w:pPr>
              <w:pStyle w:val="TableParagraph"/>
              <w:spacing w:before="1"/>
              <w:rPr>
                <w:sz w:val="20"/>
              </w:rPr>
            </w:pPr>
          </w:p>
          <w:p>
            <w:pPr>
              <w:pStyle w:val="TableParagraph"/>
              <w:spacing w:before="1"/>
              <w:ind w:left="69"/>
              <w:rPr>
                <w:sz w:val="18"/>
              </w:rPr>
            </w:pPr>
            <w:r>
              <w:rPr>
                <w:color w:val="231F20"/>
                <w:sz w:val="18"/>
              </w:rPr>
              <w:t>40</w:t>
            </w:r>
          </w:p>
        </w:tc>
        <w:tc>
          <w:tcPr>
            <w:tcW w:w="2041" w:type="dxa"/>
          </w:tcPr>
          <w:p>
            <w:pPr>
              <w:pStyle w:val="TableParagraph"/>
              <w:spacing w:before="1"/>
              <w:rPr>
                <w:sz w:val="20"/>
              </w:rPr>
            </w:pPr>
          </w:p>
          <w:p>
            <w:pPr>
              <w:pStyle w:val="TableParagraph"/>
              <w:spacing w:before="1"/>
              <w:ind w:left="79"/>
              <w:rPr>
                <w:sz w:val="18"/>
              </w:rPr>
            </w:pPr>
            <w:r>
              <w:rPr>
                <w:color w:val="231F20"/>
                <w:sz w:val="18"/>
              </w:rPr>
              <w:t>AMFA</w:t>
            </w:r>
          </w:p>
        </w:tc>
        <w:tc>
          <w:tcPr>
            <w:tcW w:w="2864" w:type="dxa"/>
          </w:tcPr>
          <w:p>
            <w:pPr>
              <w:pStyle w:val="TableParagraph"/>
              <w:spacing w:before="1"/>
              <w:rPr>
                <w:sz w:val="20"/>
              </w:rPr>
            </w:pPr>
          </w:p>
          <w:p>
            <w:pPr>
              <w:pStyle w:val="TableParagraph"/>
              <w:spacing w:before="1"/>
              <w:ind w:left="79"/>
              <w:rPr>
                <w:sz w:val="18"/>
              </w:rPr>
            </w:pPr>
            <w:r>
              <w:rPr>
                <w:color w:val="231F20"/>
                <w:sz w:val="18"/>
              </w:rPr>
              <w:t>In negotiations</w:t>
            </w:r>
          </w:p>
        </w:tc>
      </w:tr>
      <w:tr>
        <w:trPr>
          <w:trHeight w:val="660" w:hRule="exact"/>
        </w:trPr>
        <w:tc>
          <w:tcPr>
            <w:tcW w:w="2387"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49"/>
              <w:rPr>
                <w:sz w:val="18"/>
              </w:rPr>
            </w:pPr>
            <w:r>
              <w:rPr>
                <w:color w:val="231F20"/>
                <w:w w:val="95"/>
                <w:sz w:val="18"/>
              </w:rPr>
              <w:t>Southwest  Dispatchers</w:t>
            </w:r>
          </w:p>
        </w:tc>
        <w:tc>
          <w:tcPr>
            <w:tcW w:w="1818"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250</w:t>
            </w:r>
          </w:p>
        </w:tc>
        <w:tc>
          <w:tcPr>
            <w:tcW w:w="2041" w:type="dxa"/>
            <w:shd w:val="clear" w:color="auto" w:fill="CCECFC"/>
          </w:tcPr>
          <w:p>
            <w:pPr>
              <w:pStyle w:val="TableParagraph"/>
              <w:spacing w:line="200" w:lineRule="exact" w:before="40"/>
              <w:ind w:left="80" w:right="68"/>
              <w:jc w:val="both"/>
              <w:rPr>
                <w:sz w:val="18"/>
              </w:rPr>
            </w:pPr>
            <w:r>
              <w:rPr>
                <w:color w:val="231F20"/>
                <w:sz w:val="18"/>
              </w:rPr>
              <w:t>Transportation</w:t>
            </w:r>
            <w:r>
              <w:rPr>
                <w:color w:val="231F20"/>
                <w:spacing w:val="-20"/>
                <w:sz w:val="18"/>
              </w:rPr>
              <w:t> </w:t>
            </w:r>
            <w:r>
              <w:rPr>
                <w:color w:val="231F20"/>
                <w:sz w:val="18"/>
              </w:rPr>
              <w:t>Workers</w:t>
            </w:r>
            <w:r>
              <w:rPr>
                <w:color w:val="231F20"/>
                <w:spacing w:val="-19"/>
                <w:sz w:val="18"/>
              </w:rPr>
              <w:t> </w:t>
            </w:r>
            <w:r>
              <w:rPr>
                <w:color w:val="231F20"/>
                <w:sz w:val="18"/>
              </w:rPr>
              <w:t>of</w:t>
            </w:r>
            <w:r>
              <w:rPr>
                <w:color w:val="231F20"/>
                <w:w w:val="97"/>
                <w:sz w:val="18"/>
              </w:rPr>
              <w:t> </w:t>
            </w:r>
            <w:r>
              <w:rPr>
                <w:color w:val="231F20"/>
                <w:sz w:val="18"/>
              </w:rPr>
              <w:t>America,</w:t>
            </w:r>
            <w:r>
              <w:rPr>
                <w:color w:val="231F20"/>
                <w:spacing w:val="-20"/>
                <w:sz w:val="18"/>
              </w:rPr>
              <w:t> </w:t>
            </w:r>
            <w:r>
              <w:rPr>
                <w:color w:val="231F20"/>
                <w:sz w:val="18"/>
              </w:rPr>
              <w:t>AFL-CIO,</w:t>
            </w:r>
            <w:r>
              <w:rPr>
                <w:color w:val="231F20"/>
                <w:spacing w:val="-20"/>
                <w:sz w:val="18"/>
              </w:rPr>
              <w:t> </w:t>
            </w:r>
            <w:r>
              <w:rPr>
                <w:color w:val="231F20"/>
                <w:sz w:val="18"/>
              </w:rPr>
              <w:t>Local 550 (“TWU</w:t>
            </w:r>
            <w:r>
              <w:rPr>
                <w:color w:val="231F20"/>
                <w:spacing w:val="-29"/>
                <w:sz w:val="18"/>
              </w:rPr>
              <w:t> </w:t>
            </w:r>
            <w:r>
              <w:rPr>
                <w:color w:val="231F20"/>
                <w:sz w:val="18"/>
              </w:rPr>
              <w:t>550”)</w:t>
            </w:r>
          </w:p>
        </w:tc>
        <w:tc>
          <w:tcPr>
            <w:tcW w:w="2864"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Amendable November 2015</w:t>
            </w:r>
          </w:p>
        </w:tc>
      </w:tr>
      <w:tr>
        <w:trPr>
          <w:trHeight w:val="460" w:hRule="exact"/>
        </w:trPr>
        <w:tc>
          <w:tcPr>
            <w:tcW w:w="2387" w:type="dxa"/>
          </w:tcPr>
          <w:p>
            <w:pPr>
              <w:pStyle w:val="TableParagraph"/>
              <w:spacing w:line="200" w:lineRule="exact" w:before="40"/>
              <w:ind w:left="49"/>
              <w:rPr>
                <w:sz w:val="18"/>
              </w:rPr>
            </w:pPr>
            <w:r>
              <w:rPr>
                <w:color w:val="231F20"/>
                <w:sz w:val="18"/>
              </w:rPr>
              <w:t>Southwest Flight Simulator Technicians</w:t>
            </w:r>
          </w:p>
        </w:tc>
        <w:tc>
          <w:tcPr>
            <w:tcW w:w="1818" w:type="dxa"/>
          </w:tcPr>
          <w:p>
            <w:pPr>
              <w:pStyle w:val="TableParagraph"/>
              <w:spacing w:before="1"/>
              <w:rPr>
                <w:sz w:val="20"/>
              </w:rPr>
            </w:pPr>
          </w:p>
          <w:p>
            <w:pPr>
              <w:pStyle w:val="TableParagraph"/>
              <w:spacing w:before="1"/>
              <w:ind w:left="69"/>
              <w:rPr>
                <w:sz w:val="18"/>
              </w:rPr>
            </w:pPr>
            <w:r>
              <w:rPr>
                <w:color w:val="231F20"/>
                <w:sz w:val="18"/>
              </w:rPr>
              <w:t>30</w:t>
            </w:r>
          </w:p>
        </w:tc>
        <w:tc>
          <w:tcPr>
            <w:tcW w:w="2041" w:type="dxa"/>
          </w:tcPr>
          <w:p>
            <w:pPr>
              <w:pStyle w:val="TableParagraph"/>
              <w:spacing w:line="200" w:lineRule="exact" w:before="40"/>
              <w:ind w:left="80" w:right="40"/>
              <w:rPr>
                <w:sz w:val="18"/>
              </w:rPr>
            </w:pPr>
            <w:r>
              <w:rPr>
                <w:color w:val="231F20"/>
                <w:w w:val="95"/>
                <w:sz w:val="18"/>
              </w:rPr>
              <w:t>International Brotherhood </w:t>
            </w:r>
            <w:r>
              <w:rPr>
                <w:color w:val="231F20"/>
                <w:sz w:val="18"/>
              </w:rPr>
              <w:t>of Teamsters (“IBT”)</w:t>
            </w:r>
          </w:p>
        </w:tc>
        <w:tc>
          <w:tcPr>
            <w:tcW w:w="2864" w:type="dxa"/>
          </w:tcPr>
          <w:p>
            <w:pPr>
              <w:pStyle w:val="TableParagraph"/>
              <w:spacing w:before="1"/>
              <w:rPr>
                <w:sz w:val="20"/>
              </w:rPr>
            </w:pPr>
          </w:p>
          <w:p>
            <w:pPr>
              <w:pStyle w:val="TableParagraph"/>
              <w:spacing w:before="1"/>
              <w:ind w:left="79"/>
              <w:rPr>
                <w:sz w:val="18"/>
              </w:rPr>
            </w:pPr>
            <w:r>
              <w:rPr>
                <w:color w:val="231F20"/>
                <w:sz w:val="18"/>
              </w:rPr>
              <w:t>Amendable October 2015</w:t>
            </w:r>
          </w:p>
        </w:tc>
      </w:tr>
      <w:tr>
        <w:trPr>
          <w:trHeight w:val="660" w:hRule="exact"/>
        </w:trPr>
        <w:tc>
          <w:tcPr>
            <w:tcW w:w="2387" w:type="dxa"/>
            <w:shd w:val="clear" w:color="auto" w:fill="CCECFC"/>
          </w:tcPr>
          <w:p>
            <w:pPr>
              <w:pStyle w:val="TableParagraph"/>
              <w:spacing w:before="10"/>
              <w:rPr>
                <w:sz w:val="20"/>
              </w:rPr>
            </w:pPr>
          </w:p>
          <w:p>
            <w:pPr>
              <w:pStyle w:val="TableParagraph"/>
              <w:spacing w:line="200" w:lineRule="exact" w:before="0"/>
              <w:ind w:left="49" w:right="-17"/>
              <w:rPr>
                <w:sz w:val="18"/>
              </w:rPr>
            </w:pPr>
            <w:r>
              <w:rPr>
                <w:color w:val="231F20"/>
                <w:sz w:val="18"/>
              </w:rPr>
              <w:t>Southwest Flight Crew Training Instructors</w:t>
            </w:r>
          </w:p>
        </w:tc>
        <w:tc>
          <w:tcPr>
            <w:tcW w:w="1818"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70</w:t>
            </w:r>
          </w:p>
        </w:tc>
        <w:tc>
          <w:tcPr>
            <w:tcW w:w="2041" w:type="dxa"/>
            <w:shd w:val="clear" w:color="auto" w:fill="CCECFC"/>
          </w:tcPr>
          <w:p>
            <w:pPr>
              <w:pStyle w:val="TableParagraph"/>
              <w:spacing w:line="200" w:lineRule="exact" w:before="40"/>
              <w:ind w:left="80" w:right="68"/>
              <w:jc w:val="both"/>
              <w:rPr>
                <w:sz w:val="18"/>
              </w:rPr>
            </w:pPr>
            <w:r>
              <w:rPr>
                <w:color w:val="231F20"/>
                <w:sz w:val="18"/>
              </w:rPr>
              <w:t>Transportation</w:t>
            </w:r>
            <w:r>
              <w:rPr>
                <w:color w:val="231F20"/>
                <w:spacing w:val="-20"/>
                <w:sz w:val="18"/>
              </w:rPr>
              <w:t> </w:t>
            </w:r>
            <w:r>
              <w:rPr>
                <w:color w:val="231F20"/>
                <w:sz w:val="18"/>
              </w:rPr>
              <w:t>Workers</w:t>
            </w:r>
            <w:r>
              <w:rPr>
                <w:color w:val="231F20"/>
                <w:spacing w:val="-19"/>
                <w:sz w:val="18"/>
              </w:rPr>
              <w:t> </w:t>
            </w:r>
            <w:r>
              <w:rPr>
                <w:color w:val="231F20"/>
                <w:sz w:val="18"/>
              </w:rPr>
              <w:t>of</w:t>
            </w:r>
            <w:r>
              <w:rPr>
                <w:color w:val="231F20"/>
                <w:w w:val="97"/>
                <w:sz w:val="18"/>
              </w:rPr>
              <w:t> </w:t>
            </w:r>
            <w:r>
              <w:rPr>
                <w:color w:val="231F20"/>
                <w:sz w:val="18"/>
              </w:rPr>
              <w:t>America,</w:t>
            </w:r>
            <w:r>
              <w:rPr>
                <w:color w:val="231F20"/>
                <w:spacing w:val="-20"/>
                <w:sz w:val="18"/>
              </w:rPr>
              <w:t> </w:t>
            </w:r>
            <w:r>
              <w:rPr>
                <w:color w:val="231F20"/>
                <w:sz w:val="18"/>
              </w:rPr>
              <w:t>AFL-CIO,</w:t>
            </w:r>
            <w:r>
              <w:rPr>
                <w:color w:val="231F20"/>
                <w:spacing w:val="-20"/>
                <w:sz w:val="18"/>
              </w:rPr>
              <w:t> </w:t>
            </w:r>
            <w:r>
              <w:rPr>
                <w:color w:val="231F20"/>
                <w:sz w:val="18"/>
              </w:rPr>
              <w:t>Local 557 (“TWU</w:t>
            </w:r>
            <w:r>
              <w:rPr>
                <w:color w:val="231F20"/>
                <w:spacing w:val="-29"/>
                <w:sz w:val="18"/>
              </w:rPr>
              <w:t> </w:t>
            </w:r>
            <w:r>
              <w:rPr>
                <w:color w:val="231F20"/>
                <w:sz w:val="18"/>
              </w:rPr>
              <w:t>557”)</w:t>
            </w:r>
          </w:p>
        </w:tc>
        <w:tc>
          <w:tcPr>
            <w:tcW w:w="2864" w:type="dxa"/>
            <w:shd w:val="clear" w:color="auto" w:fill="CCECFC"/>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Amendable December 2015</w:t>
            </w:r>
          </w:p>
        </w:tc>
      </w:tr>
      <w:tr>
        <w:trPr>
          <w:trHeight w:val="660" w:hRule="exact"/>
        </w:trPr>
        <w:tc>
          <w:tcPr>
            <w:tcW w:w="2387" w:type="dxa"/>
          </w:tcPr>
          <w:p>
            <w:pPr>
              <w:pStyle w:val="TableParagraph"/>
              <w:spacing w:before="0"/>
              <w:rPr>
                <w:sz w:val="20"/>
              </w:rPr>
            </w:pPr>
          </w:p>
          <w:p>
            <w:pPr>
              <w:pStyle w:val="TableParagraph"/>
              <w:spacing w:before="6"/>
              <w:rPr>
                <w:sz w:val="17"/>
              </w:rPr>
            </w:pPr>
          </w:p>
          <w:p>
            <w:pPr>
              <w:pStyle w:val="TableParagraph"/>
              <w:spacing w:before="0"/>
              <w:ind w:left="49"/>
              <w:rPr>
                <w:sz w:val="18"/>
              </w:rPr>
            </w:pPr>
            <w:r>
              <w:rPr>
                <w:color w:val="231F20"/>
                <w:w w:val="95"/>
                <w:sz w:val="18"/>
              </w:rPr>
              <w:t>Southwest  Meteorologists</w:t>
            </w:r>
          </w:p>
        </w:tc>
        <w:tc>
          <w:tcPr>
            <w:tcW w:w="1818" w:type="dxa"/>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w w:val="97"/>
                <w:sz w:val="18"/>
              </w:rPr>
              <w:t>6</w:t>
            </w:r>
          </w:p>
        </w:tc>
        <w:tc>
          <w:tcPr>
            <w:tcW w:w="2041" w:type="dxa"/>
          </w:tcPr>
          <w:p>
            <w:pPr>
              <w:pStyle w:val="TableParagraph"/>
              <w:spacing w:before="0"/>
              <w:rPr>
                <w:sz w:val="20"/>
              </w:rPr>
            </w:pPr>
          </w:p>
          <w:p>
            <w:pPr>
              <w:pStyle w:val="TableParagraph"/>
              <w:spacing w:before="6"/>
              <w:rPr>
                <w:sz w:val="17"/>
              </w:rPr>
            </w:pPr>
          </w:p>
          <w:p>
            <w:pPr>
              <w:pStyle w:val="TableParagraph"/>
              <w:spacing w:before="0"/>
              <w:ind w:left="80"/>
              <w:rPr>
                <w:sz w:val="18"/>
              </w:rPr>
            </w:pPr>
            <w:r>
              <w:rPr>
                <w:color w:val="231F20"/>
                <w:sz w:val="18"/>
              </w:rPr>
              <w:t>TWU 550</w:t>
            </w:r>
          </w:p>
        </w:tc>
        <w:tc>
          <w:tcPr>
            <w:tcW w:w="2864" w:type="dxa"/>
          </w:tcPr>
          <w:p>
            <w:pPr>
              <w:pStyle w:val="TableParagraph"/>
              <w:spacing w:line="200" w:lineRule="exact" w:before="40"/>
              <w:ind w:left="80" w:right="289"/>
              <w:rPr>
                <w:sz w:val="18"/>
              </w:rPr>
            </w:pPr>
            <w:r>
              <w:rPr>
                <w:color w:val="231F20"/>
                <w:sz w:val="18"/>
              </w:rPr>
              <w:t>In November 2014, the Southwest Meteorologists voted in favor of </w:t>
            </w:r>
            <w:r>
              <w:rPr>
                <w:color w:val="231F20"/>
                <w:w w:val="95"/>
                <w:sz w:val="18"/>
              </w:rPr>
              <w:t>union representation.</w:t>
            </w:r>
          </w:p>
        </w:tc>
      </w:tr>
      <w:tr>
        <w:trPr>
          <w:trHeight w:val="1260" w:hRule="exact"/>
        </w:trPr>
        <w:tc>
          <w:tcPr>
            <w:tcW w:w="2387" w:type="dxa"/>
            <w:shd w:val="clear" w:color="auto" w:fill="CCECFC"/>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9"/>
              </w:rPr>
            </w:pPr>
          </w:p>
          <w:p>
            <w:pPr>
              <w:pStyle w:val="TableParagraph"/>
              <w:spacing w:before="0"/>
              <w:ind w:left="49"/>
              <w:rPr>
                <w:sz w:val="18"/>
              </w:rPr>
            </w:pPr>
            <w:r>
              <w:rPr>
                <w:color w:val="231F20"/>
                <w:sz w:val="18"/>
              </w:rPr>
              <w:t>AirTran Flight Attendants</w:t>
            </w:r>
          </w:p>
        </w:tc>
        <w:tc>
          <w:tcPr>
            <w:tcW w:w="1818" w:type="dxa"/>
            <w:shd w:val="clear" w:color="auto" w:fill="CCECFC"/>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9"/>
              </w:rPr>
            </w:pPr>
          </w:p>
          <w:p>
            <w:pPr>
              <w:pStyle w:val="TableParagraph"/>
              <w:spacing w:before="0"/>
              <w:ind w:left="69"/>
              <w:rPr>
                <w:sz w:val="18"/>
              </w:rPr>
            </w:pPr>
            <w:r>
              <w:rPr>
                <w:color w:val="231F20"/>
                <w:sz w:val="18"/>
              </w:rPr>
              <w:t>350</w:t>
            </w:r>
          </w:p>
        </w:tc>
        <w:tc>
          <w:tcPr>
            <w:tcW w:w="2041" w:type="dxa"/>
            <w:shd w:val="clear" w:color="auto" w:fill="CCECFC"/>
          </w:tcPr>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spacing w:line="200" w:lineRule="exact" w:before="0"/>
              <w:ind w:left="80" w:right="406"/>
              <w:rPr>
                <w:sz w:val="18"/>
              </w:rPr>
            </w:pPr>
            <w:r>
              <w:rPr>
                <w:color w:val="231F20"/>
                <w:sz w:val="18"/>
              </w:rPr>
              <w:t>Association of Flight Attendants-CWA (“AFA”)</w:t>
            </w:r>
          </w:p>
        </w:tc>
        <w:tc>
          <w:tcPr>
            <w:tcW w:w="2864" w:type="dxa"/>
            <w:shd w:val="clear" w:color="auto" w:fill="CCECFC"/>
          </w:tcPr>
          <w:p>
            <w:pPr>
              <w:pStyle w:val="TableParagraph"/>
              <w:spacing w:line="200" w:lineRule="exact" w:before="40"/>
              <w:ind w:left="80" w:right="55"/>
              <w:rPr>
                <w:sz w:val="18"/>
              </w:rPr>
            </w:pPr>
            <w:r>
              <w:rPr>
                <w:color w:val="231F20"/>
                <w:sz w:val="18"/>
              </w:rPr>
              <w:t>The</w:t>
            </w:r>
            <w:r>
              <w:rPr>
                <w:color w:val="231F20"/>
                <w:spacing w:val="-13"/>
                <w:sz w:val="18"/>
              </w:rPr>
              <w:t> </w:t>
            </w:r>
            <w:r>
              <w:rPr>
                <w:color w:val="231F20"/>
                <w:sz w:val="18"/>
              </w:rPr>
              <w:t>parties</w:t>
            </w:r>
            <w:r>
              <w:rPr>
                <w:color w:val="231F20"/>
                <w:spacing w:val="-13"/>
                <w:sz w:val="18"/>
              </w:rPr>
              <w:t> </w:t>
            </w:r>
            <w:r>
              <w:rPr>
                <w:color w:val="231F20"/>
                <w:sz w:val="18"/>
              </w:rPr>
              <w:t>have</w:t>
            </w:r>
            <w:r>
              <w:rPr>
                <w:color w:val="231F20"/>
                <w:spacing w:val="-13"/>
                <w:sz w:val="18"/>
              </w:rPr>
              <w:t> </w:t>
            </w:r>
            <w:r>
              <w:rPr>
                <w:color w:val="231F20"/>
                <w:sz w:val="18"/>
              </w:rPr>
              <w:t>negotiated</w:t>
            </w:r>
            <w:r>
              <w:rPr>
                <w:color w:val="231F20"/>
                <w:spacing w:val="-13"/>
                <w:sz w:val="18"/>
              </w:rPr>
              <w:t> </w:t>
            </w:r>
            <w:r>
              <w:rPr>
                <w:color w:val="231F20"/>
                <w:sz w:val="18"/>
              </w:rPr>
              <w:t>an</w:t>
            </w:r>
            <w:r>
              <w:rPr>
                <w:color w:val="231F20"/>
                <w:spacing w:val="-13"/>
                <w:sz w:val="18"/>
              </w:rPr>
              <w:t> </w:t>
            </w:r>
            <w:r>
              <w:rPr>
                <w:color w:val="231F20"/>
                <w:sz w:val="18"/>
              </w:rPr>
              <w:t>interim collective</w:t>
            </w:r>
            <w:r>
              <w:rPr>
                <w:color w:val="231F20"/>
                <w:spacing w:val="-13"/>
                <w:sz w:val="18"/>
              </w:rPr>
              <w:t> </w:t>
            </w:r>
            <w:r>
              <w:rPr>
                <w:color w:val="231F20"/>
                <w:sz w:val="18"/>
              </w:rPr>
              <w:t>bargaining</w:t>
            </w:r>
            <w:r>
              <w:rPr>
                <w:color w:val="231F20"/>
                <w:spacing w:val="-12"/>
                <w:sz w:val="18"/>
              </w:rPr>
              <w:t> </w:t>
            </w:r>
            <w:r>
              <w:rPr>
                <w:color w:val="231F20"/>
                <w:sz w:val="18"/>
              </w:rPr>
              <w:t>agreement</w:t>
            </w:r>
            <w:r>
              <w:rPr>
                <w:color w:val="231F20"/>
                <w:spacing w:val="-13"/>
                <w:sz w:val="18"/>
              </w:rPr>
              <w:t> </w:t>
            </w:r>
            <w:r>
              <w:rPr>
                <w:color w:val="231F20"/>
                <w:sz w:val="18"/>
              </w:rPr>
              <w:t>to</w:t>
            </w:r>
            <w:r>
              <w:rPr>
                <w:color w:val="231F20"/>
                <w:spacing w:val="-12"/>
                <w:sz w:val="18"/>
              </w:rPr>
              <w:t> </w:t>
            </w:r>
            <w:r>
              <w:rPr>
                <w:color w:val="231F20"/>
                <w:sz w:val="18"/>
              </w:rPr>
              <w:t>be effective until affected former AirTran Employees complete Southwest training and become Southwest</w:t>
            </w:r>
            <w:r>
              <w:rPr>
                <w:color w:val="231F20"/>
                <w:spacing w:val="-24"/>
                <w:sz w:val="18"/>
              </w:rPr>
              <w:t> </w:t>
            </w:r>
            <w:r>
              <w:rPr>
                <w:color w:val="231F20"/>
                <w:sz w:val="18"/>
              </w:rPr>
              <w:t>Flight</w:t>
            </w:r>
            <w:r>
              <w:rPr>
                <w:color w:val="231F20"/>
                <w:spacing w:val="-24"/>
                <w:sz w:val="18"/>
              </w:rPr>
              <w:t> </w:t>
            </w:r>
            <w:r>
              <w:rPr>
                <w:color w:val="231F20"/>
                <w:sz w:val="18"/>
              </w:rPr>
              <w:t>Attendants.</w:t>
            </w:r>
          </w:p>
        </w:tc>
      </w:tr>
    </w:tbl>
    <w:p>
      <w:pPr>
        <w:pStyle w:val="BodyText"/>
        <w:rPr>
          <w:sz w:val="20"/>
        </w:rPr>
      </w:pPr>
    </w:p>
    <w:p>
      <w:pPr>
        <w:pStyle w:val="BodyText"/>
        <w:spacing w:before="10"/>
        <w:rPr>
          <w:sz w:val="23"/>
        </w:rPr>
      </w:pPr>
    </w:p>
    <w:p>
      <w:pPr>
        <w:pStyle w:val="Heading1"/>
        <w:spacing w:before="0"/>
      </w:pPr>
      <w:r>
        <w:rPr>
          <w:color w:val="231F20"/>
        </w:rPr>
        <w:t>Additional Information About the Company</w:t>
      </w:r>
    </w:p>
    <w:p>
      <w:pPr>
        <w:pStyle w:val="BodyText"/>
        <w:spacing w:line="247" w:lineRule="auto" w:before="157"/>
        <w:ind w:left="100" w:right="117" w:firstLine="720"/>
        <w:jc w:val="both"/>
      </w:pPr>
      <w:r>
        <w:rPr>
          <w:color w:val="231F20"/>
        </w:rPr>
        <w:t>The Company was incorporated in Texas in 1967. The following documents are available free of charge through the Company’s website, </w:t>
      </w:r>
      <w:hyperlink r:id="rId17">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 In addition to its reports filed or furnished with the SEC, the Company publicly discloses material information from time to time in its press releases, at annual meetings of Shareholders, in publicly accessible conferences and investor presentations, and through  its website (principally in its Press Room and Investor Relations</w:t>
      </w:r>
      <w:r>
        <w:rPr>
          <w:color w:val="231F20"/>
          <w:spacing w:val="-2"/>
        </w:rPr>
        <w:t> </w:t>
      </w:r>
      <w:r>
        <w:rPr>
          <w:color w:val="231F20"/>
        </w:rPr>
        <w:t>pages).</w:t>
      </w:r>
    </w:p>
    <w:p>
      <w:pPr>
        <w:spacing w:after="0" w:line="247" w:lineRule="auto"/>
        <w:jc w:val="both"/>
        <w:sectPr>
          <w:pgSz w:w="11880" w:h="15480"/>
          <w:pgMar w:header="0" w:footer="1240" w:top="1260" w:bottom="1420" w:left="1280" w:right="1260"/>
        </w:sectPr>
      </w:pPr>
    </w:p>
    <w:p>
      <w:pPr>
        <w:pStyle w:val="Heading1"/>
        <w:ind w:left="1221"/>
      </w:pPr>
      <w:r>
        <w:rPr>
          <w:color w:val="231F20"/>
        </w:rPr>
        <w:t>DISCLOSURE REGARDING FORWARD-LOOKING INFORMATION</w:t>
      </w:r>
    </w:p>
    <w:p>
      <w:pPr>
        <w:pStyle w:val="BodyText"/>
        <w:spacing w:line="247" w:lineRule="auto" w:before="154"/>
        <w:ind w:left="119" w:right="117" w:firstLine="720"/>
        <w:jc w:val="both"/>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 (ii) that the Company currently deems to be immaterial, or (iii) that could apply to any company, could also materially adversely affect the Company’s business, financial condition, or future</w:t>
      </w:r>
      <w:r>
        <w:rPr>
          <w:color w:val="231F20"/>
          <w:spacing w:val="-3"/>
        </w:rPr>
        <w:t> </w:t>
      </w:r>
      <w:r>
        <w:rPr>
          <w:color w:val="231F20"/>
        </w:rPr>
        <w:t>results.</w:t>
      </w:r>
    </w:p>
    <w:p>
      <w:pPr>
        <w:pStyle w:val="BodyText"/>
        <w:spacing w:line="247" w:lineRule="auto" w:before="147"/>
        <w:ind w:left="119" w:right="117" w:firstLine="720"/>
        <w:jc w:val="both"/>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w:t>
      </w:r>
      <w:r>
        <w:rPr>
          <w:color w:val="231F20"/>
          <w:spacing w:val="-4"/>
        </w:rPr>
        <w:t> </w:t>
      </w:r>
      <w:r>
        <w:rPr>
          <w:color w:val="231F20"/>
        </w:rPr>
        <w:t>otherwise.</w:t>
      </w:r>
    </w:p>
    <w:p>
      <w:pPr>
        <w:tabs>
          <w:tab w:pos="1439" w:val="left" w:leader="none"/>
        </w:tabs>
        <w:spacing w:before="147"/>
        <w:ind w:left="119" w:right="0" w:firstLine="0"/>
        <w:jc w:val="left"/>
        <w:rPr>
          <w:b/>
          <w:i/>
          <w:sz w:val="22"/>
        </w:rPr>
      </w:pPr>
      <w:bookmarkStart w:name="Item 1A. Risk Factors" w:id="4"/>
      <w:bookmarkEnd w:id="4"/>
      <w:r>
        <w:rPr/>
      </w:r>
      <w:r>
        <w:rPr>
          <w:b/>
          <w:color w:val="231F20"/>
          <w:sz w:val="22"/>
        </w:rPr>
        <w:t>Item 1A.</w:t>
        <w:tab/>
      </w:r>
      <w:r>
        <w:rPr>
          <w:b/>
          <w:i/>
          <w:color w:val="231F20"/>
          <w:sz w:val="22"/>
        </w:rPr>
        <w:t>Risk</w:t>
      </w:r>
      <w:r>
        <w:rPr>
          <w:b/>
          <w:i/>
          <w:color w:val="231F20"/>
          <w:spacing w:val="-1"/>
          <w:sz w:val="22"/>
        </w:rPr>
        <w:t> </w:t>
      </w:r>
      <w:r>
        <w:rPr>
          <w:b/>
          <w:i/>
          <w:color w:val="231F20"/>
          <w:sz w:val="22"/>
        </w:rPr>
        <w:t>Factors</w:t>
      </w:r>
    </w:p>
    <w:p>
      <w:pPr>
        <w:pStyle w:val="Heading2"/>
        <w:spacing w:line="247" w:lineRule="auto" w:before="154"/>
        <w:ind w:left="480" w:right="117"/>
        <w:jc w:val="both"/>
      </w:pPr>
      <w:r>
        <w:rPr>
          <w:i/>
          <w:color w:val="231F20"/>
        </w:rPr>
        <w:t>The airline industry is particularly sensitive to changes in economic conditions; in the event of </w:t>
      </w:r>
      <w:r>
        <w:rPr>
          <w:color w:val="231F20"/>
        </w:rPr>
        <w:t>unfavorable economic conditions or economic uncertainty, the Company’s results of operations could be negatively affected, which could require the Company to adjust its business strategies.</w:t>
      </w:r>
    </w:p>
    <w:p>
      <w:pPr>
        <w:pStyle w:val="BodyText"/>
        <w:spacing w:line="247" w:lineRule="auto" w:before="147"/>
        <w:ind w:left="120" w:right="117" w:firstLine="720"/>
        <w:jc w:val="both"/>
      </w:pPr>
      <w:r>
        <w:rPr>
          <w:color w:val="231F20"/>
        </w:rPr>
        <w:t>The airline industry, which is subject to relatively high fixed costs and highly variable and unpredictable demand, is particularly sensitive to changes in economic conditions. Historically, unfavorable U.S. economic conditions have driven changes in travel patterns and have resulted in reduced spending for both leisure and business travel. For some consumers, leisure travel is a discretionary expense, and short-haul travelers, in particular,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have also historically hampered the ability of airlines to raise fares to counteract increased fuel, labor, and other costs. Although the U.S. economy has experienced a moderate recovery since emerging from a recession in 2009, any future U.S. or global economic uncertainty could negatively affect the Company’s results of operations and could cause the Company to adjust its business strategies.</w:t>
      </w:r>
    </w:p>
    <w:p>
      <w:pPr>
        <w:pStyle w:val="Heading2"/>
        <w:spacing w:line="247" w:lineRule="auto" w:before="147"/>
        <w:ind w:left="480" w:right="117"/>
        <w:jc w:val="both"/>
      </w:pPr>
      <w:r>
        <w:rPr>
          <w:i/>
          <w:color w:val="231F20"/>
        </w:rPr>
        <w:t>The Company’s business has been significantly impacted by high and/or volatile fuel prices and </w:t>
      </w:r>
      <w:r>
        <w:rPr>
          <w:color w:val="231F20"/>
        </w:rPr>
        <w:t>the Company’s operations are subject to disruption based on the timely supply of fuel; therefore, the Company’s strategic plans and future profitability are likely to be impacted by the Company’s ability to effectively address fuel price increases and fuel price volatility and availability.</w:t>
      </w:r>
    </w:p>
    <w:p>
      <w:pPr>
        <w:pStyle w:val="BodyText"/>
        <w:spacing w:line="247" w:lineRule="auto" w:before="147"/>
        <w:ind w:left="120" w:right="118" w:firstLine="720"/>
        <w:jc w:val="both"/>
      </w:pPr>
      <w:r>
        <w:rPr>
          <w:color w:val="231F20"/>
        </w:rPr>
        <w:t>Airlines are inherently dependent upon energy to operate, and jet fuel and oil represented approximately 32 percent of the Company’s operating expenses for 2014. Although the cost of fuel has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declined in recent months, it continues to be unpredictable, and even a small change in market fuel prices can significantly affect profitability. Furthermore, volatility in fuel prices can be due to many external factors that are beyond the Company’s control. For example, fuel prices can be impacted by political and economic factors, such as (i) dependency on foreign imports of crude oil and the potential for hostilities or other conflicts in oil producing areas; (ii) limited domestic refining or pipeline capacity; (iii) worldwide demand for fuel, particularly in developing countries, which can result in inflated energy prices; (iv) changes in U.S. governmental policies on fuel production, transportation, taxes, and marketing; and (v) changes in currency exchange rates.</w:t>
      </w:r>
    </w:p>
    <w:p>
      <w:pPr>
        <w:pStyle w:val="BodyText"/>
        <w:spacing w:line="247" w:lineRule="auto" w:before="147"/>
        <w:ind w:left="100" w:right="117" w:firstLine="720"/>
        <w:jc w:val="both"/>
      </w:pPr>
      <w:r>
        <w:rPr>
          <w:color w:val="231F20"/>
        </w:rPr>
        <w:t>The Company’s ability to effectively address fuel price increases can be limited by its ability   to increase fares, which can be difficult in challenging economic environments when low fares are often used to stimulate traffic. The ability to increase fares can also be limited by factors such as the historical low-fare reputation of Southwest, the portion of its Customer base that purchases travel for leisure purposes, the competitive nature of the airline industry generally, and the risk that higher fares will drive a decrease in</w:t>
      </w:r>
      <w:r>
        <w:rPr>
          <w:color w:val="231F20"/>
          <w:spacing w:val="-2"/>
        </w:rPr>
        <w:t> </w:t>
      </w:r>
      <w:r>
        <w:rPr>
          <w:color w:val="231F20"/>
        </w:rPr>
        <w:t>demand.</w:t>
      </w:r>
    </w:p>
    <w:p>
      <w:pPr>
        <w:pStyle w:val="BodyText"/>
        <w:spacing w:line="247" w:lineRule="auto" w:before="147"/>
        <w:ind w:left="100" w:right="117" w:firstLine="720"/>
        <w:jc w:val="both"/>
      </w:pPr>
      <w:r>
        <w:rPr>
          <w:color w:val="231F20"/>
        </w:rPr>
        <w:t>The Company attempts to manage its risk associated with changing jet fuel prices by utilizing over-the-counter fuel derivative instruments to hedge a portion of its future jet fuel purchases. However, because energy prices can fluctuate significantly in a relatively short amount of time, and  due to the fact that the Company uses a variety of different derivative instruments and at different price points, the Company is subject to the risk that the fuel derivatives it uses will not provide adequate protection against significant increases in fuel prices and could in fact result in additional volatility in the Company’s earnings. The Company is also subject to the risk that cash collateral may be required  to be posted to fuel hedge counterparties, which could have a significant impact on the Company’s financial position and</w:t>
      </w:r>
      <w:r>
        <w:rPr>
          <w:color w:val="231F20"/>
          <w:spacing w:val="-1"/>
        </w:rPr>
        <w:t> </w:t>
      </w:r>
      <w:r>
        <w:rPr>
          <w:color w:val="231F20"/>
        </w:rPr>
        <w:t>liquidity.</w:t>
      </w:r>
    </w:p>
    <w:p>
      <w:pPr>
        <w:pStyle w:val="BodyText"/>
        <w:spacing w:line="247" w:lineRule="auto" w:before="147"/>
        <w:ind w:left="100" w:right="117" w:firstLine="720"/>
        <w:jc w:val="both"/>
      </w:pPr>
      <w:r>
        <w:rPr>
          <w:color w:val="231F20"/>
        </w:rPr>
        <w:t>In addition, the Company is subject to the risk that its fuel derivatives will not be effective or that they will no longer qualify for hedge accounting under applicable accounting standards, which could create additional earnings volatility. Adjustments in the Company’s overall fuel hedging  strategy, as well as the ability of the commodities used in fuel hedging to qualify for special hedge accounting, are likely to continue to affect the Company’s results of operations. In addition, there can be no assurance that the Company will be able to cost-effectively hedge against increases in fuel  prices.</w:t>
      </w:r>
    </w:p>
    <w:p>
      <w:pPr>
        <w:pStyle w:val="BodyText"/>
        <w:spacing w:line="247" w:lineRule="auto" w:before="147"/>
        <w:ind w:left="100" w:right="117" w:firstLine="720"/>
        <w:jc w:val="both"/>
      </w:pPr>
      <w:r>
        <w:rPr>
          <w:color w:val="231F20"/>
        </w:rPr>
        <w:t>The Company’s fuel hedging arrangements and the various potential impacts of hedge accounting on the Company’s financial position, cash flows, and results of operations are discussed in more detail under “Management’s Discussion and Analysis of Financial Condition and Results of Operations,” “Quantitative and Qualitative Disclosures About Market Risk,”  and  in  Note  1  and  Note 10 to the Consolidated Financial</w:t>
      </w:r>
      <w:r>
        <w:rPr>
          <w:color w:val="231F20"/>
          <w:spacing w:val="-1"/>
        </w:rPr>
        <w:t> </w:t>
      </w:r>
      <w:r>
        <w:rPr>
          <w:color w:val="231F20"/>
        </w:rPr>
        <w:t>Statements.</w:t>
      </w:r>
    </w:p>
    <w:p>
      <w:pPr>
        <w:pStyle w:val="BodyText"/>
        <w:spacing w:line="247" w:lineRule="auto" w:before="147"/>
        <w:ind w:left="100" w:right="117" w:firstLine="720"/>
        <w:jc w:val="both"/>
      </w:pPr>
      <w:r>
        <w:rPr>
          <w:color w:val="231F20"/>
        </w:rPr>
        <w:t>The Company is also reliant upon the readily available supply and timely delivery of jet fuel to the airports that it serves. A disruption in that supply could present significant challenges to the Company’s operations, and could ultimately cause the cancellation of flights and/or the inability of the Company to provide service to a particular airport.</w:t>
      </w:r>
    </w:p>
    <w:p>
      <w:pPr>
        <w:pStyle w:val="Heading2"/>
        <w:spacing w:line="247" w:lineRule="auto" w:before="147"/>
        <w:ind w:right="117"/>
        <w:jc w:val="both"/>
      </w:pPr>
      <w:r>
        <w:rPr>
          <w:i/>
          <w:color w:val="231F20"/>
        </w:rPr>
        <w:t>The Company’s low-cost structure has historically been one of its primary competitive </w:t>
      </w:r>
      <w:r>
        <w:rPr>
          <w:color w:val="231F20"/>
        </w:rPr>
        <w:t>advantages, and many factors have affected and could continue to affect the Company’s ability to control its</w:t>
      </w:r>
      <w:r>
        <w:rPr>
          <w:color w:val="231F20"/>
          <w:spacing w:val="-1"/>
        </w:rPr>
        <w:t> </w:t>
      </w:r>
      <w:r>
        <w:rPr>
          <w:color w:val="231F20"/>
        </w:rPr>
        <w:t>costs.</w:t>
      </w:r>
    </w:p>
    <w:p>
      <w:pPr>
        <w:pStyle w:val="BodyText"/>
        <w:spacing w:line="247" w:lineRule="auto" w:before="147"/>
        <w:ind w:left="100" w:right="117" w:firstLine="720"/>
        <w:jc w:val="both"/>
      </w:pPr>
      <w:r>
        <w:rPr>
          <w:color w:val="231F20"/>
        </w:rPr>
        <w:t>The Company’s low-cost structure has historically been one of its primary competitive advantages, as it has enabled Southwest to historically offer low fares, drive traffic volume, and grow</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market share. The Company’s low-cost structure has become increasingly important as a result of the Company’s decision to limit capacity growth in recent years in response to high fuel prices and uncertain economic conditions. While the Company has in the past at times been able to cover increasing costs through growth, the combination of capacity control and increasing costs in recent years has contributed to an increase in the Company’s costs per available seat mile.</w:t>
      </w:r>
    </w:p>
    <w:p>
      <w:pPr>
        <w:pStyle w:val="BodyText"/>
        <w:spacing w:line="247" w:lineRule="auto" w:before="172"/>
        <w:ind w:left="100" w:right="117" w:firstLine="720"/>
        <w:jc w:val="both"/>
      </w:pPr>
      <w:r>
        <w:rPr>
          <w:color w:val="231F20"/>
        </w:rPr>
        <w:t>The Company has limited control over fuel and labor costs, as well as other costs such as regulatory compliance costs. Jet fuel and oil constituted approximately 32 percent of the Company’s operating expenses during 2014, and the cost of fuel is subject to the external factors discussed in the second Risk Factor above. Salaries, wages, and benefits constituted approximately 33 percent of the Company’s operating expenses during 2014. The Company’s ability to control labor costs is limited by the terms of its CBAs, and increased labor costs have negatively impacted the Company’s low-cost competitive position. As discussed further under “Management’s Discussion and Analysis of Financial Condition and Results of Operations,” the Company’s unionized workforce, which makes up the majority of its Employees, has had pay scale increases as a result of contractual rate increases. Furthermore, as indicated above under “Business-Employees,” the majority of Southwest’s unionized Employees, including its Pilots, Mechanics, Ramp, Operations, Provisioning, and Freight Agents, Flight Attendants, Material Specialists, and Facilities Maintenance Technicians are in unions currently in negotiations for labor agreements, which could continue to put pressure on the Company’s labor costs. In addition, the Company anticipates that the combination of the various Southwest and AirTran labor contracts and frontline workforces will increase labor costs over their historical levels. As discussed above under “Business-Regulation,” the airline industry is heavily regulated, and the Company’s regulatory compliance costs are subject to potentially significant increases from time to time based on actions by the regulatory agencies. Additionally, when other airlines reduce their capacity, airport costs are then allocated among a fewer number of total flights, which can result in increased landing fees and other costs for the Company. The Company is also reliant upon third party vendors and service providers, and its low-cost advantage is also dependent in part on its ability to obtain and maintain commercially reasonable terms with those parties.</w:t>
      </w:r>
    </w:p>
    <w:p>
      <w:pPr>
        <w:pStyle w:val="BodyText"/>
        <w:spacing w:line="247" w:lineRule="auto" w:before="172"/>
        <w:ind w:left="100" w:right="117" w:firstLine="720"/>
        <w:jc w:val="both"/>
      </w:pPr>
      <w:r>
        <w:rPr>
          <w:color w:val="231F20"/>
        </w:rPr>
        <w:t>As discussed above under “Business-Insurance,” the Company carries insurance of types customary in the airline industry and, in the past, has also been provided supplemental, first-party, war- risk insurance coverage by the federal government. Since the government-provided supplemental coverage from the Wartime Act was set to expire on September 30, 2014, the Company proactively canceled its government provided war-risk insurance coverage on May 15, 2014, and effective the same date, purchased comparable coverage via the commercial insurance marketplace. Although the Company was able to purchase comparable coverage via the commercial insurance marketplace, available commercial insurance in the future could be more expensive and/or have material differences in coverage than is currently provided and may not be adequate to protect against the Company’s risk of loss from future acts of terrorism. In addition, an accident or other incident involving Southwest aircraft could result in costs in excess of its related insurance coverage, which costs could be substantial. Any aircraft accident or other incident, even if fully insured, could also have a material adverse effect on the public’s perception of the Company.</w:t>
      </w:r>
    </w:p>
    <w:p>
      <w:pPr>
        <w:pStyle w:val="BodyText"/>
        <w:spacing w:line="247" w:lineRule="auto" w:before="172"/>
        <w:ind w:left="100" w:right="117" w:firstLine="720"/>
        <w:jc w:val="both"/>
      </w:pPr>
      <w:r>
        <w:rPr>
          <w:color w:val="231F20"/>
        </w:rPr>
        <w:t>The Company cannot guarantee it will be able to maintain or improve upon its current level of low-cost advantage over many of its airline competitors. Some of the Company’s competitors have achieved substantially lower employee pay scales through bankruptcy than the Company. Additionally, in recent years, in response to high fuel prices and economic uncertainty, some of the Company’s competitors implemented additional efficiency and cost reduction measures, such as capacity cuts and headcount reductions, which have reduced the Company’s cost advantage. Further, other competitors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have continued to grow their fleets and expand their networks, potentially enabling them to better control costs per available seat mile. In addition, some competitors have announced plans to add a significant number of new aircraft to their fleets, which could potentially decrease their operating costs through better fuel efficiencies, and lower maintenance costs. Some of the Company’s competitors have taken advantage of reorganization in bankruptcy, and even the threat of bankruptcy, not only to lower employee pay scales, but also to decrease operating costs through renegotiated supply and financing agreements. In addition, some airlines have consolidated and reported significant expected cost synergies.</w:t>
      </w:r>
    </w:p>
    <w:p>
      <w:pPr>
        <w:pStyle w:val="Heading2"/>
        <w:spacing w:line="247" w:lineRule="auto" w:before="155"/>
        <w:ind w:right="117"/>
        <w:jc w:val="both"/>
      </w:pPr>
      <w:r>
        <w:rPr>
          <w:i/>
          <w:color w:val="231F20"/>
        </w:rPr>
        <w:t>The Company is increasingly dependent on technology to operate its business and continues to </w:t>
      </w:r>
      <w:r>
        <w:rPr>
          <w:color w:val="231F20"/>
        </w:rPr>
        <w:t>implement substantial changes to its information systems; any failure or disruption in the Company’s information systems could materially adversely affect its operations.</w:t>
      </w:r>
    </w:p>
    <w:p>
      <w:pPr>
        <w:pStyle w:val="BodyText"/>
        <w:spacing w:line="247" w:lineRule="auto" w:before="155"/>
        <w:ind w:left="100" w:right="117" w:firstLine="720"/>
        <w:jc w:val="both"/>
      </w:pPr>
      <w:r>
        <w:rPr>
          <w:color w:val="231F20"/>
        </w:rPr>
        <w:t>The Company is increasingly dependent on the use of complex technology and systems to run its ongoing operations. In addition, technology is critical to the success of the Company’s strategic initiatives. In recent years the Company has been committed to technology improvements to support its ongoing operations and initiatives and, as discussed above under “Business - Management Information Systems,” the Company has invested in significant technology changes to support its initiatives. For example, during 2014, the Company selected Amadeus’ Altéa reservations solution as the Company’s future single reservation system for both domestic and international reservations. This single reservation system is expected to be delivered over a multi-year period. The Company intends to continue to devote significant technology resources towards, among other things, (i) the development of  new  systems  to  improve  both  revenue  management  and  network  optimization       </w:t>
      </w:r>
      <w:r>
        <w:rPr>
          <w:color w:val="231F20"/>
          <w:spacing w:val="3"/>
        </w:rPr>
        <w:t> </w:t>
      </w:r>
      <w:r>
        <w:rPr>
          <w:color w:val="231F20"/>
        </w:rPr>
        <w:t>capabilities,</w:t>
      </w:r>
    </w:p>
    <w:p>
      <w:pPr>
        <w:pStyle w:val="BodyText"/>
        <w:spacing w:line="247" w:lineRule="auto"/>
        <w:ind w:left="100" w:right="118"/>
        <w:jc w:val="both"/>
      </w:pPr>
      <w:r>
        <w:rPr>
          <w:color w:val="231F20"/>
        </w:rPr>
        <w:t>(ii) replacement of Southwest’s existing domestic reservation system with the comprehensive Amadeus’ Altéa reservations solution, and (iii) a new suite of operational tools that the Company expects will improve operational management.</w:t>
      </w:r>
    </w:p>
    <w:p>
      <w:pPr>
        <w:pStyle w:val="BodyText"/>
        <w:spacing w:line="247" w:lineRule="auto" w:before="156"/>
        <w:ind w:left="100" w:right="117" w:firstLine="720"/>
        <w:jc w:val="both"/>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w:t>
      </w:r>
      <w:r>
        <w:rPr>
          <w:color w:val="231F20"/>
          <w:spacing w:val="-2"/>
        </w:rPr>
        <w:t> </w:t>
      </w:r>
      <w:r>
        <w:rPr>
          <w:color w:val="231F20"/>
        </w:rPr>
        <w:t>initiatives.</w:t>
      </w:r>
    </w:p>
    <w:p>
      <w:pPr>
        <w:pStyle w:val="BodyText"/>
        <w:spacing w:line="247" w:lineRule="auto" w:before="155"/>
        <w:ind w:left="100" w:right="117" w:firstLine="720"/>
        <w:jc w:val="both"/>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For example,  in connection with the increase to the Transportation Security Fee discussed above under “Regulation - Aviation Taxes,” modifications and refinements to the Company’s systems were required in  connection with both the July 2014 implementation of the Transportation Security Fee increase and amendments to this increase in December 2014. In addition, software was developed for Pilot scheduling in response to the DOT’s and FAA’s flight, duty, and rest regulations that went into effect  in January 2014. Modifications and refinements to the Company’s systems have been and are expected to continue to be expensive to implement and may divert management’s attention from other key initiatives. In addition, the Company’s operations could be adversely affected, or it could face imposition of regulatory penalties, if it is unable to timely or effectively modify its systems as necessary.</w:t>
      </w:r>
    </w:p>
    <w:p>
      <w:pPr>
        <w:pStyle w:val="BodyText"/>
        <w:spacing w:line="247" w:lineRule="auto" w:before="155"/>
        <w:ind w:left="100" w:right="117" w:firstLine="720"/>
        <w:jc w:val="both"/>
      </w:pPr>
      <w:r>
        <w:rPr>
          <w:color w:val="231F20"/>
        </w:rPr>
        <w:t>The Company may occasionally experience system interruptions and delays that make its websites  and  services  unavailable  or  slow  to  respond,  which  could  prevent  the  Company    from</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efficiently processing Customer transactions or providing services. This in turn could reduce the Company’s operating revenues and the attractiveness of its services.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w:t>
      </w:r>
      <w:r>
        <w:rPr>
          <w:color w:val="231F20"/>
          <w:spacing w:val="-1"/>
        </w:rPr>
        <w:t> </w:t>
      </w:r>
      <w:r>
        <w:rPr>
          <w:color w:val="231F20"/>
        </w:rPr>
        <w:t>remedy.</w:t>
      </w:r>
    </w:p>
    <w:p>
      <w:pPr>
        <w:pStyle w:val="Heading2"/>
        <w:spacing w:line="247" w:lineRule="auto" w:before="155"/>
        <w:ind w:right="117"/>
        <w:jc w:val="both"/>
      </w:pPr>
      <w:r>
        <w:rPr>
          <w:i/>
          <w:color w:val="231F20"/>
        </w:rPr>
        <w:t>The Company’s business is labor intensive; therefore, the Company would be adversely affected </w:t>
      </w:r>
      <w:r>
        <w:rPr>
          <w:color w:val="231F20"/>
        </w:rPr>
        <w:t>if it were unable to maintain satisfactory relations with its Employees or its Employees’ Representatives or if the Company were unable to employ sufficient numbers of qualified Employees to maintain its operations.</w:t>
      </w:r>
    </w:p>
    <w:p>
      <w:pPr>
        <w:pStyle w:val="BodyText"/>
        <w:spacing w:line="247" w:lineRule="auto" w:before="155"/>
        <w:ind w:left="100" w:right="117" w:firstLine="720"/>
        <w:jc w:val="both"/>
      </w:pPr>
      <w:r>
        <w:rPr>
          <w:color w:val="231F20"/>
        </w:rPr>
        <w:t>The airline business is labor intensive. Salaries, wages, and benefits represented approximately 33 percent of the Company’s operating expenses for the year ended December 31, 2014. In addition, as of December 31, 2014, approximately 83 percent of the Company’s Employees were represented for collective bargaining purposes by labor unions, making the Company particularly exposed in the event of 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as indicated above under “Business-Employees,” the majority of Southwest’s unionized Employees, including its Pilots; Mechanics; Ramp, Operations, Provisioning, and Freight Agents; Flight Attendants; Material Specialists; and Facilities Maintenance Technicians, are in unions currently in negotiations for labor agreements, which could continue to put pressure on the Company’s labor costs. Increasing labor costs, whether or not combined with curtailed growth, could negatively impact the Company’s competitive position.</w:t>
      </w:r>
    </w:p>
    <w:p>
      <w:pPr>
        <w:pStyle w:val="BodyText"/>
        <w:spacing w:line="247" w:lineRule="auto" w:before="155"/>
        <w:ind w:left="100" w:right="117" w:firstLine="720"/>
        <w:jc w:val="both"/>
      </w:pPr>
      <w:r>
        <w:rPr>
          <w:color w:val="231F20"/>
        </w:rPr>
        <w:t>The Company’s success also depends on its ability to attract and retain skilled personnel. Competition for skilled personnel may intensify if overall industry capacity increases and/or if high levels of current personnel reach retirement age. The Company may be required to increase existing levels of compensation to retain or supplement its skilled workforce. The inability to recruit and retain skilled personnel or the unexpected loss of key skilled personnel could adversely affect the Company’s operations.</w:t>
      </w:r>
    </w:p>
    <w:p>
      <w:pPr>
        <w:pStyle w:val="Heading2"/>
        <w:spacing w:line="247" w:lineRule="auto" w:before="155"/>
        <w:ind w:right="117"/>
        <w:jc w:val="both"/>
      </w:pPr>
      <w:r>
        <w:rPr>
          <w:i/>
          <w:color w:val="231F20"/>
        </w:rPr>
        <w:t>The Company is currently dependent on single aircraft and engine suppliers, as well as single </w:t>
      </w:r>
      <w:r>
        <w:rPr>
          <w:color w:val="231F20"/>
        </w:rPr>
        <w:t>suppliers of certain other parts; therefore, the Company would be materially adversely affected  if it were unable to obtain additional equipment or support from any of these suppliers or in the event of a mechanical or regulatory issue associated with their</w:t>
      </w:r>
      <w:r>
        <w:rPr>
          <w:color w:val="231F20"/>
          <w:spacing w:val="-2"/>
        </w:rPr>
        <w:t> </w:t>
      </w:r>
      <w:r>
        <w:rPr>
          <w:color w:val="231F20"/>
        </w:rPr>
        <w:t>equipment.</w:t>
      </w:r>
    </w:p>
    <w:p>
      <w:pPr>
        <w:pStyle w:val="BodyText"/>
        <w:spacing w:line="247" w:lineRule="auto" w:before="155"/>
        <w:ind w:left="100" w:right="117" w:firstLine="720"/>
        <w:jc w:val="both"/>
      </w:pPr>
      <w:r>
        <w:rPr>
          <w:color w:val="231F20"/>
        </w:rPr>
        <w:t>The Company is dependent on Boeing as its sole supplier for aircraft and many of its aircraft parts and is dependent on other suppliers for certain other aircraft parts. Although the Company is able to purchase some aircraft from parties other than Boeing, most of its purchases are directly from Boeing. Therefore, if the Company were unable to acquire additional aircraft from Boeing, or if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aircraft type, whether as a result of downtime for part or all of the Company’s fleet 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because of a negative perception by the flying public. The Company believes, however, that its years  of experience with the Boeing 737 aircraft type, as well as the efficiencies Southwest has historically achieved by operating with a single aircraft type, currently outweigh the risks associated with its single aircraft supplier strategy. To enable Southwest to sustain the benefits associated with operating a single aircraft type, in July 2012 the Company entered into an agreement with Delta Air Lines, Inc. and Boeing Capital Corp. to lease or sublease all 88 of AirTran’s Boeing 717-200 aircraft to Delta. Deliveries to Delta began in September 2013 at the rate of approximately three aircraft per month. As of December 31, 2014, all 88 of AirTran’s Boeing 717-200 aircraft had been removed from service and 52 had been delivered to Delta. The Company is also dependent on sole suppliers for aircraft engines and certain other aircraft parts and would therefore also be materially adversely affected in the event of the unavailability of, or a mechanical or regulatory issue associated with, engines and other</w:t>
      </w:r>
      <w:r>
        <w:rPr>
          <w:color w:val="231F20"/>
          <w:spacing w:val="-2"/>
        </w:rPr>
        <w:t> </w:t>
      </w:r>
      <w:r>
        <w:rPr>
          <w:color w:val="231F20"/>
        </w:rPr>
        <w:t>parts.</w:t>
      </w:r>
    </w:p>
    <w:p>
      <w:pPr>
        <w:pStyle w:val="Heading2"/>
        <w:spacing w:line="247" w:lineRule="auto" w:before="129"/>
        <w:ind w:right="97"/>
      </w:pPr>
      <w:r>
        <w:rPr>
          <w:i/>
          <w:color w:val="231F20"/>
        </w:rPr>
        <w:t>Any failure of the Company to maintain the security of certain Customer-related information </w:t>
      </w:r>
      <w:r>
        <w:rPr>
          <w:color w:val="231F20"/>
        </w:rPr>
        <w:t>could result in damage to the Company’s reputation and could be costly to remediate.</w:t>
      </w:r>
    </w:p>
    <w:p>
      <w:pPr>
        <w:pStyle w:val="BodyText"/>
        <w:spacing w:line="247" w:lineRule="auto" w:before="129"/>
        <w:ind w:left="100" w:right="117" w:firstLine="720"/>
        <w:jc w:val="both"/>
      </w:pPr>
      <w:r>
        <w:rPr>
          <w:color w:val="231F20"/>
        </w:rPr>
        <w:t>The Company must receive information related to its Customers in order to run its business, and the Company’s online operations depend upon the secure transmission of information over public networks, including information permitting cashless payments. This information is subject to the risk of intrusion, tampering, and theft. Although the Company maintains systems to prevent this from occurring, these systems require ongoing monitoring and updating as technologies change, and security could be compromised, confidential information could be misappropriated, or system disruptions could occur. The Company must also provide certain confidential, proprietary, and personal information to third parties in the ordinary course of its business.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 Although the Company has not experienced cyber incidents that are individually, or in the aggregate, material, the Company has experienced cyber attacks in the past, which have thus far been mitigated by preventive and detective measures put in place by the</w:t>
      </w:r>
      <w:r>
        <w:rPr>
          <w:color w:val="231F20"/>
          <w:spacing w:val="-1"/>
        </w:rPr>
        <w:t> </w:t>
      </w:r>
      <w:r>
        <w:rPr>
          <w:color w:val="231F20"/>
        </w:rPr>
        <w:t>Company.</w:t>
      </w:r>
    </w:p>
    <w:p>
      <w:pPr>
        <w:pStyle w:val="Heading2"/>
        <w:spacing w:line="247" w:lineRule="auto" w:before="129"/>
        <w:ind w:right="97"/>
      </w:pPr>
      <w:r>
        <w:rPr>
          <w:i/>
          <w:color w:val="231F20"/>
        </w:rPr>
        <w:t>The Company’s results of operations could be adversely impacted if it is unable to grow or to </w:t>
      </w:r>
      <w:r>
        <w:rPr>
          <w:color w:val="231F20"/>
        </w:rPr>
        <w:t>timely and effectively implement its revenue and other initiatives.</w:t>
      </w:r>
    </w:p>
    <w:p>
      <w:pPr>
        <w:pStyle w:val="BodyText"/>
        <w:spacing w:line="247" w:lineRule="auto" w:before="129"/>
        <w:ind w:left="100" w:right="117" w:firstLine="720"/>
        <w:jc w:val="both"/>
      </w:pPr>
      <w:r>
        <w:rPr>
          <w:color w:val="231F20"/>
        </w:rPr>
        <w:t>Southwest has historically been regarded as a growth airline; however, less than satisfactory returns on capital caused by the combination of a difficult economic environment and growing jet fuel costs led to the Company’s decision to limit organic growth in recent years. In addition, organic growth has become increasingly difficult, because (i) the number of opportunities for domestic expansion has declined; (ii) the Company’s international network is small and not yet developed; and (iii) the Company has faced an increased presence of other low-cost, low-fare carriers. As a result, the Company has become increasingly reliant on the success of revenue initiatives to help offset increasing costs and to continue to improve Customer Service. The timely and effective implementation of these initiatives has involved, and will continue to involve, significant investments by the Company of time and money and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initiatives against the need to effectively control costs; and (iii) the Company’s dependence on third parties to assist with implementation of its initiatives. The Company cannot ensure the timing of implementation of certain of its initiatives or that they will be successful or profitable either over the short or</w:t>
      </w:r>
      <w:r>
        <w:rPr>
          <w:color w:val="231F20"/>
          <w:spacing w:val="-2"/>
        </w:rPr>
        <w:t> </w:t>
      </w:r>
      <w:r>
        <w:rPr>
          <w:color w:val="231F20"/>
        </w:rPr>
        <w:t>long-term.</w:t>
      </w:r>
    </w:p>
    <w:p>
      <w:pPr>
        <w:spacing w:after="0" w:line="247" w:lineRule="auto"/>
        <w:jc w:val="both"/>
        <w:sectPr>
          <w:pgSz w:w="11880" w:h="15480"/>
          <w:pgMar w:header="0" w:footer="1240" w:top="1240" w:bottom="1420" w:left="1280" w:right="1260"/>
        </w:sectPr>
      </w:pPr>
    </w:p>
    <w:p>
      <w:pPr>
        <w:pStyle w:val="Heading2"/>
        <w:spacing w:line="247" w:lineRule="auto" w:before="74"/>
        <w:ind w:right="118"/>
        <w:jc w:val="both"/>
      </w:pPr>
      <w:r>
        <w:rPr>
          <w:i/>
          <w:color w:val="231F20"/>
        </w:rPr>
        <w:t>Instability of credit, capital, and energy markets can result in pressure on the Company’s credit </w:t>
      </w:r>
      <w:r>
        <w:rPr>
          <w:color w:val="231F20"/>
        </w:rPr>
        <w:t>ratings and can also negatively affect the Company’s ability to obtain financing on acceptable terms and the Company’s liquidity generally.</w:t>
      </w:r>
    </w:p>
    <w:p>
      <w:pPr>
        <w:pStyle w:val="BodyText"/>
        <w:spacing w:line="247" w:lineRule="auto" w:before="143"/>
        <w:ind w:left="100" w:right="117" w:firstLine="720"/>
        <w:jc w:val="both"/>
      </w:pPr>
      <w:r>
        <w:rPr>
          <w:color w:val="231F20"/>
        </w:rPr>
        <w:t>During the recession in 2009, the Company’s credit ratings were pressured by weak industry revenue and an extraordinarily volatile fuel price environment. While the Company’s credit rating is “investment grade,” factors such as future unfavorable economic conditions, a significant decline in demand for air travel, or instability of the credit and capital markets could result in future pressure on credit ratings, which could negatively affect (i) the Company’s ability to obtain financing on  acceptable terms, (ii) the Company’s liquidity generally, and (iii) the availability and cost of insurance. A credit rating downgrade could subject the Company to credit rating triggers related to its credit card transaction processing agreements, the pricing related to any funds drawn under its revolving credit facility, and some of its hedging counterparty agreements. The potential effect of credit rating downgrades is discussed in more detail below under “Quantitative and Qualitative Disclosures About Market Risk.”</w:t>
      </w:r>
    </w:p>
    <w:p>
      <w:pPr>
        <w:pStyle w:val="Heading2"/>
        <w:spacing w:line="247" w:lineRule="auto" w:before="143"/>
        <w:ind w:right="117"/>
        <w:jc w:val="both"/>
      </w:pPr>
      <w:r>
        <w:rPr>
          <w:i/>
          <w:color w:val="231F20"/>
        </w:rPr>
        <w:t>The airline industry has faced on-going security concerns and related cost burdens; further </w:t>
      </w:r>
      <w:r>
        <w:rPr>
          <w:color w:val="231F20"/>
        </w:rPr>
        <w:t>threatened or actual terrorist attacks, or other hostilities, could significantly harm the airline industry and the Company’s operations.</w:t>
      </w:r>
    </w:p>
    <w:p>
      <w:pPr>
        <w:pStyle w:val="BodyText"/>
        <w:spacing w:line="247" w:lineRule="auto" w:before="143"/>
        <w:ind w:left="100" w:right="117" w:firstLine="720"/>
        <w:jc w:val="both"/>
      </w:pPr>
      <w:r>
        <w:rPr>
          <w:color w:val="231F20"/>
        </w:rPr>
        <w:t>Terrorist attacks and threatened attacks have from time to time materially adversely affected the demand for air travel and also have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w:t>
      </w:r>
      <w:r>
        <w:rPr>
          <w:color w:val="231F20"/>
          <w:spacing w:val="-1"/>
        </w:rPr>
        <w:t> </w:t>
      </w:r>
      <w:r>
        <w:rPr>
          <w:color w:val="231F20"/>
        </w:rPr>
        <w:t>industry.</w:t>
      </w:r>
    </w:p>
    <w:p>
      <w:pPr>
        <w:pStyle w:val="Heading2"/>
        <w:spacing w:line="247" w:lineRule="auto" w:before="143"/>
        <w:ind w:right="118"/>
        <w:jc w:val="both"/>
      </w:pPr>
      <w:r>
        <w:rPr>
          <w:i/>
          <w:color w:val="231F20"/>
        </w:rPr>
        <w:t>Airport capacity constraints and air traffic control inefficiencies could limit the Company’s </w:t>
      </w:r>
      <w:r>
        <w:rPr>
          <w:color w:val="231F20"/>
        </w:rPr>
        <w:t>growth; changes in or additional governmental regulation could increase the Company’s operating costs or otherwise limit the Company’s ability to conduct business.</w:t>
      </w:r>
    </w:p>
    <w:p>
      <w:pPr>
        <w:pStyle w:val="BodyText"/>
        <w:spacing w:line="247" w:lineRule="auto" w:before="143"/>
        <w:ind w:left="100" w:right="117" w:firstLine="720"/>
        <w:jc w:val="both"/>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w:t>
      </w:r>
    </w:p>
    <w:p>
      <w:pPr>
        <w:pStyle w:val="ListParagraph"/>
        <w:numPr>
          <w:ilvl w:val="1"/>
          <w:numId w:val="4"/>
        </w:numPr>
        <w:tabs>
          <w:tab w:pos="560" w:val="left" w:leader="none"/>
        </w:tabs>
        <w:spacing w:line="247" w:lineRule="auto" w:before="0" w:after="0"/>
        <w:ind w:left="100" w:right="117" w:firstLine="0"/>
        <w:jc w:val="both"/>
        <w:rPr>
          <w:sz w:val="22"/>
        </w:rPr>
      </w:pPr>
      <w:r>
        <w:rPr>
          <w:color w:val="231F20"/>
          <w:sz w:val="22"/>
        </w:rPr>
        <w:t>airspace, and airlines are completely dependent on the FAA operating that airspace in a safe and efficient manner. The air traffic control system, which is operated by the FAA, could continue to face airspace and/or airport congestion challenges in the future, which could limit the Company’s opportunities for growth. As discussed above under “Business - Regulation,” airlines are also subject   to other extensive regulatory requirements. These requirements often impose substantial costs on airlines. The Company’s initiatives and results of operations could be negatively affected by changes in law and future actions taken by domestic and foreign governmental agencies having jurisdiction over its operations, including, but not limited</w:t>
      </w:r>
      <w:r>
        <w:rPr>
          <w:color w:val="231F20"/>
          <w:spacing w:val="-4"/>
          <w:sz w:val="22"/>
        </w:rPr>
        <w:t> </w:t>
      </w:r>
      <w:r>
        <w:rPr>
          <w:color w:val="231F20"/>
          <w:sz w:val="22"/>
        </w:rPr>
        <w:t>to:</w:t>
      </w:r>
    </w:p>
    <w:p>
      <w:pPr>
        <w:pStyle w:val="ListParagraph"/>
        <w:numPr>
          <w:ilvl w:val="2"/>
          <w:numId w:val="4"/>
        </w:numPr>
        <w:tabs>
          <w:tab w:pos="1179" w:val="left" w:leader="none"/>
          <w:tab w:pos="1181" w:val="left" w:leader="none"/>
        </w:tabs>
        <w:spacing w:line="240" w:lineRule="auto" w:before="144" w:after="0"/>
        <w:ind w:left="1180" w:right="0" w:hanging="360"/>
        <w:jc w:val="left"/>
        <w:rPr>
          <w:sz w:val="22"/>
        </w:rPr>
      </w:pPr>
      <w:r>
        <w:rPr>
          <w:color w:val="231F20"/>
          <w:sz w:val="22"/>
        </w:rPr>
        <w:t>increases in airport rates and</w:t>
      </w:r>
      <w:r>
        <w:rPr>
          <w:color w:val="231F20"/>
          <w:spacing w:val="-1"/>
          <w:sz w:val="22"/>
        </w:rPr>
        <w:t> </w:t>
      </w:r>
      <w:r>
        <w:rPr>
          <w:color w:val="231F20"/>
          <w:sz w:val="22"/>
        </w:rPr>
        <w:t>charges;</w:t>
      </w:r>
    </w:p>
    <w:p>
      <w:pPr>
        <w:pStyle w:val="ListParagraph"/>
        <w:numPr>
          <w:ilvl w:val="2"/>
          <w:numId w:val="4"/>
        </w:numPr>
        <w:tabs>
          <w:tab w:pos="1179" w:val="left" w:leader="none"/>
          <w:tab w:pos="1181" w:val="left" w:leader="none"/>
        </w:tabs>
        <w:spacing w:line="240" w:lineRule="auto" w:before="151" w:after="0"/>
        <w:ind w:left="1180" w:right="0" w:hanging="360"/>
        <w:jc w:val="left"/>
        <w:rPr>
          <w:sz w:val="22"/>
        </w:rPr>
      </w:pPr>
      <w:r>
        <w:rPr>
          <w:color w:val="231F20"/>
          <w:sz w:val="22"/>
        </w:rPr>
        <w:t>limitations on airport gate capacity or use of other airport</w:t>
      </w:r>
      <w:r>
        <w:rPr>
          <w:color w:val="231F20"/>
          <w:spacing w:val="-5"/>
          <w:sz w:val="22"/>
        </w:rPr>
        <w:t> </w:t>
      </w:r>
      <w:r>
        <w:rPr>
          <w:color w:val="231F20"/>
          <w:sz w:val="22"/>
        </w:rPr>
        <w:t>facilities;</w:t>
      </w:r>
    </w:p>
    <w:p>
      <w:pPr>
        <w:pStyle w:val="ListParagraph"/>
        <w:numPr>
          <w:ilvl w:val="2"/>
          <w:numId w:val="4"/>
        </w:numPr>
        <w:tabs>
          <w:tab w:pos="1179" w:val="left" w:leader="none"/>
          <w:tab w:pos="1181" w:val="left" w:leader="none"/>
        </w:tabs>
        <w:spacing w:line="240" w:lineRule="auto" w:before="151" w:after="0"/>
        <w:ind w:left="1180" w:right="0" w:hanging="360"/>
        <w:jc w:val="left"/>
        <w:rPr>
          <w:sz w:val="22"/>
        </w:rPr>
      </w:pPr>
      <w:r>
        <w:rPr>
          <w:color w:val="231F20"/>
          <w:sz w:val="22"/>
        </w:rPr>
        <w:t>limitations on route</w:t>
      </w:r>
      <w:r>
        <w:rPr>
          <w:color w:val="231F20"/>
          <w:spacing w:val="-2"/>
          <w:sz w:val="22"/>
        </w:rPr>
        <w:t> </w:t>
      </w:r>
      <w:r>
        <w:rPr>
          <w:color w:val="231F20"/>
          <w:sz w:val="22"/>
        </w:rPr>
        <w:t>authorities;</w:t>
      </w:r>
    </w:p>
    <w:p>
      <w:pPr>
        <w:pStyle w:val="ListParagraph"/>
        <w:numPr>
          <w:ilvl w:val="2"/>
          <w:numId w:val="4"/>
        </w:numPr>
        <w:tabs>
          <w:tab w:pos="1179" w:val="left" w:leader="none"/>
          <w:tab w:pos="1181" w:val="left" w:leader="none"/>
        </w:tabs>
        <w:spacing w:line="240" w:lineRule="auto" w:before="151" w:after="0"/>
        <w:ind w:left="1180" w:right="0" w:hanging="360"/>
        <w:jc w:val="left"/>
        <w:rPr>
          <w:sz w:val="22"/>
        </w:rPr>
      </w:pPr>
      <w:r>
        <w:rPr>
          <w:color w:val="231F20"/>
          <w:sz w:val="22"/>
        </w:rPr>
        <w:t>actions and decisions that create difficulties in obtaining access at slot-controlled airports;</w:t>
      </w:r>
    </w:p>
    <w:p>
      <w:pPr>
        <w:spacing w:after="0" w:line="240" w:lineRule="auto"/>
        <w:jc w:val="left"/>
        <w:rPr>
          <w:sz w:val="22"/>
        </w:rPr>
        <w:sectPr>
          <w:pgSz w:w="11880" w:h="15480"/>
          <w:pgMar w:header="0" w:footer="1240" w:top="1240" w:bottom="1420" w:left="1280" w:right="1260"/>
        </w:sectPr>
      </w:pPr>
    </w:p>
    <w:p>
      <w:pPr>
        <w:pStyle w:val="ListParagraph"/>
        <w:numPr>
          <w:ilvl w:val="2"/>
          <w:numId w:val="4"/>
        </w:numPr>
        <w:tabs>
          <w:tab w:pos="1179" w:val="left" w:leader="none"/>
          <w:tab w:pos="1180" w:val="left" w:leader="none"/>
        </w:tabs>
        <w:spacing w:line="240" w:lineRule="auto" w:before="74" w:after="0"/>
        <w:ind w:left="1180" w:right="0" w:hanging="360"/>
        <w:jc w:val="left"/>
        <w:rPr>
          <w:sz w:val="22"/>
        </w:rPr>
      </w:pPr>
      <w:r>
        <w:rPr>
          <w:color w:val="231F20"/>
          <w:sz w:val="22"/>
        </w:rPr>
        <w:t>actions and decisions that create difficulties in obtaining operating permits and</w:t>
      </w:r>
      <w:r>
        <w:rPr>
          <w:color w:val="231F20"/>
          <w:spacing w:val="-1"/>
          <w:sz w:val="22"/>
        </w:rPr>
        <w:t> </w:t>
      </w:r>
      <w:r>
        <w:rPr>
          <w:color w:val="231F20"/>
          <w:sz w:val="22"/>
        </w:rPr>
        <w:t>approvals;</w:t>
      </w:r>
    </w:p>
    <w:p>
      <w:pPr>
        <w:pStyle w:val="ListParagraph"/>
        <w:numPr>
          <w:ilvl w:val="2"/>
          <w:numId w:val="4"/>
        </w:numPr>
        <w:tabs>
          <w:tab w:pos="1179" w:val="left" w:leader="none"/>
          <w:tab w:pos="1180" w:val="left" w:leader="none"/>
        </w:tabs>
        <w:spacing w:line="240" w:lineRule="auto" w:before="136" w:after="0"/>
        <w:ind w:left="1180" w:right="0" w:hanging="360"/>
        <w:jc w:val="left"/>
        <w:rPr>
          <w:sz w:val="22"/>
        </w:rPr>
      </w:pPr>
      <w:r>
        <w:rPr>
          <w:color w:val="231F20"/>
          <w:sz w:val="22"/>
        </w:rPr>
        <w:t>changes to environmental regulations;</w:t>
      </w:r>
    </w:p>
    <w:p>
      <w:pPr>
        <w:pStyle w:val="ListParagraph"/>
        <w:numPr>
          <w:ilvl w:val="2"/>
          <w:numId w:val="4"/>
        </w:numPr>
        <w:tabs>
          <w:tab w:pos="1180" w:val="left" w:leader="none"/>
        </w:tabs>
        <w:spacing w:line="247" w:lineRule="auto" w:before="136" w:after="0"/>
        <w:ind w:left="1180" w:right="118" w:hanging="360"/>
        <w:jc w:val="both"/>
        <w:rPr>
          <w:sz w:val="22"/>
        </w:rPr>
      </w:pPr>
      <w:r>
        <w:rPr>
          <w:color w:val="231F20"/>
          <w:sz w:val="22"/>
        </w:rPr>
        <w:t>new or increased taxes or fees, such as the July 2014 increased Transportation Security Fee discussed above under “Regulation - Aviation Taxes”;</w:t>
      </w:r>
    </w:p>
    <w:p>
      <w:pPr>
        <w:pStyle w:val="ListParagraph"/>
        <w:numPr>
          <w:ilvl w:val="2"/>
          <w:numId w:val="4"/>
        </w:numPr>
        <w:tabs>
          <w:tab w:pos="1180" w:val="left" w:leader="none"/>
        </w:tabs>
        <w:spacing w:line="247" w:lineRule="auto" w:before="129" w:after="0"/>
        <w:ind w:left="1180" w:right="118" w:hanging="360"/>
        <w:jc w:val="both"/>
        <w:rPr>
          <w:sz w:val="22"/>
        </w:rPr>
      </w:pPr>
      <w:r>
        <w:rPr>
          <w:color w:val="231F20"/>
          <w:sz w:val="22"/>
        </w:rPr>
        <w:t>changes to laws that affect the services that can be offered by airlines in particular markets and at particular</w:t>
      </w:r>
      <w:r>
        <w:rPr>
          <w:color w:val="231F20"/>
          <w:spacing w:val="-1"/>
          <w:sz w:val="22"/>
        </w:rPr>
        <w:t> </w:t>
      </w:r>
      <w:r>
        <w:rPr>
          <w:color w:val="231F20"/>
          <w:sz w:val="22"/>
        </w:rPr>
        <w:t>airports;</w:t>
      </w:r>
    </w:p>
    <w:p>
      <w:pPr>
        <w:pStyle w:val="ListParagraph"/>
        <w:numPr>
          <w:ilvl w:val="2"/>
          <w:numId w:val="4"/>
        </w:numPr>
        <w:tabs>
          <w:tab w:pos="1179" w:val="left" w:leader="none"/>
          <w:tab w:pos="1180" w:val="left" w:leader="none"/>
        </w:tabs>
        <w:spacing w:line="240" w:lineRule="auto" w:before="129" w:after="0"/>
        <w:ind w:left="1180" w:right="0" w:hanging="360"/>
        <w:jc w:val="left"/>
        <w:rPr>
          <w:sz w:val="22"/>
        </w:rPr>
      </w:pPr>
      <w:r>
        <w:rPr>
          <w:color w:val="231F20"/>
          <w:sz w:val="22"/>
        </w:rPr>
        <w:t>restrictions on competitive practices;</w:t>
      </w:r>
    </w:p>
    <w:p>
      <w:pPr>
        <w:pStyle w:val="ListParagraph"/>
        <w:numPr>
          <w:ilvl w:val="2"/>
          <w:numId w:val="4"/>
        </w:numPr>
        <w:tabs>
          <w:tab w:pos="1180" w:val="left" w:leader="none"/>
        </w:tabs>
        <w:spacing w:line="247" w:lineRule="auto" w:before="136" w:after="0"/>
        <w:ind w:left="1180" w:right="117" w:hanging="360"/>
        <w:jc w:val="both"/>
        <w:rPr>
          <w:sz w:val="22"/>
        </w:rPr>
      </w:pPr>
      <w:r>
        <w:rPr>
          <w:color w:val="231F20"/>
          <w:sz w:val="22"/>
        </w:rPr>
        <w:t>changes in laws that increase costs for safety, security, compliance, or other Customer Service standards, such as the FAA regulations with respect to Pilot flight/duty time limitations and rest requirements discussed above under “Business -</w:t>
      </w:r>
      <w:r>
        <w:rPr>
          <w:color w:val="231F20"/>
          <w:spacing w:val="2"/>
          <w:sz w:val="22"/>
        </w:rPr>
        <w:t> </w:t>
      </w:r>
      <w:r>
        <w:rPr>
          <w:color w:val="231F20"/>
          <w:sz w:val="22"/>
        </w:rPr>
        <w:t>Regulation”;</w:t>
      </w:r>
    </w:p>
    <w:p>
      <w:pPr>
        <w:pStyle w:val="ListParagraph"/>
        <w:numPr>
          <w:ilvl w:val="2"/>
          <w:numId w:val="4"/>
        </w:numPr>
        <w:tabs>
          <w:tab w:pos="1180" w:val="left" w:leader="none"/>
        </w:tabs>
        <w:spacing w:line="247" w:lineRule="auto" w:before="129" w:after="0"/>
        <w:ind w:left="1180" w:right="118" w:hanging="360"/>
        <w:jc w:val="both"/>
        <w:rPr>
          <w:sz w:val="22"/>
        </w:rPr>
      </w:pPr>
      <w:r>
        <w:rPr>
          <w:color w:val="231F20"/>
          <w:sz w:val="22"/>
        </w:rPr>
        <w:t>changes in laws that may limit the Company’s ability to enter into fuel derivative contracts to hedge against increases in fuel</w:t>
      </w:r>
      <w:r>
        <w:rPr>
          <w:color w:val="231F20"/>
          <w:spacing w:val="-2"/>
          <w:sz w:val="22"/>
        </w:rPr>
        <w:t> </w:t>
      </w:r>
      <w:r>
        <w:rPr>
          <w:color w:val="231F20"/>
          <w:sz w:val="22"/>
        </w:rPr>
        <w:t>prices;</w:t>
      </w:r>
    </w:p>
    <w:p>
      <w:pPr>
        <w:pStyle w:val="ListParagraph"/>
        <w:numPr>
          <w:ilvl w:val="2"/>
          <w:numId w:val="4"/>
        </w:numPr>
        <w:tabs>
          <w:tab w:pos="1180" w:val="left" w:leader="none"/>
        </w:tabs>
        <w:spacing w:line="247" w:lineRule="auto" w:before="129" w:after="0"/>
        <w:ind w:left="1180" w:right="118" w:hanging="360"/>
        <w:jc w:val="both"/>
        <w:rPr>
          <w:sz w:val="22"/>
        </w:rPr>
      </w:pPr>
      <w:r>
        <w:rPr>
          <w:color w:val="231F20"/>
          <w:sz w:val="22"/>
        </w:rPr>
        <w:t>changes in laws that may limit or regulate the Company’s ability to promote the Company’s business or fares; and</w:t>
      </w:r>
    </w:p>
    <w:p>
      <w:pPr>
        <w:pStyle w:val="ListParagraph"/>
        <w:numPr>
          <w:ilvl w:val="2"/>
          <w:numId w:val="4"/>
        </w:numPr>
        <w:tabs>
          <w:tab w:pos="1179" w:val="left" w:leader="none"/>
          <w:tab w:pos="1180" w:val="left" w:leader="none"/>
        </w:tabs>
        <w:spacing w:line="240" w:lineRule="auto" w:before="129" w:after="0"/>
        <w:ind w:left="1180" w:right="0" w:hanging="360"/>
        <w:jc w:val="left"/>
        <w:rPr>
          <w:sz w:val="22"/>
        </w:rPr>
      </w:pPr>
      <w:r>
        <w:rPr>
          <w:color w:val="231F20"/>
          <w:sz w:val="22"/>
        </w:rPr>
        <w:t>the adoption of more restrictive locally-imposed noise</w:t>
      </w:r>
      <w:r>
        <w:rPr>
          <w:color w:val="231F20"/>
          <w:spacing w:val="-2"/>
          <w:sz w:val="22"/>
        </w:rPr>
        <w:t> </w:t>
      </w:r>
      <w:r>
        <w:rPr>
          <w:color w:val="231F20"/>
          <w:sz w:val="22"/>
        </w:rPr>
        <w:t>regulations.</w:t>
      </w:r>
    </w:p>
    <w:p>
      <w:pPr>
        <w:pStyle w:val="BodyText"/>
        <w:spacing w:line="247" w:lineRule="auto" w:before="136"/>
        <w:ind w:left="100" w:right="117" w:firstLine="720"/>
        <w:jc w:val="both"/>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pStyle w:val="Heading2"/>
        <w:spacing w:line="247" w:lineRule="auto" w:before="129"/>
        <w:ind w:right="97"/>
      </w:pPr>
      <w:r>
        <w:rPr>
          <w:i/>
          <w:color w:val="231F20"/>
        </w:rPr>
        <w:t>The airline industry is affected by many conditions that are beyond its control, which can impact </w:t>
      </w:r>
      <w:r>
        <w:rPr>
          <w:color w:val="231F20"/>
        </w:rPr>
        <w:t>the Company’s business strategies and results of operations.</w:t>
      </w:r>
    </w:p>
    <w:p>
      <w:pPr>
        <w:pStyle w:val="BodyText"/>
        <w:spacing w:line="247" w:lineRule="auto" w:before="129"/>
        <w:ind w:left="100" w:right="118" w:firstLine="720"/>
        <w:jc w:val="both"/>
      </w:pPr>
      <w:r>
        <w:rPr>
          <w:color w:val="231F20"/>
        </w:rPr>
        <w:t>In addition to the unpredictable economic conditions and fuel costs discussed above, the Company, like the airline industry in general, is affected by conditions that are largely unforeseeable and outside of its control, including, among others:</w:t>
      </w:r>
    </w:p>
    <w:p>
      <w:pPr>
        <w:pStyle w:val="ListParagraph"/>
        <w:numPr>
          <w:ilvl w:val="2"/>
          <w:numId w:val="4"/>
        </w:numPr>
        <w:tabs>
          <w:tab w:pos="1179" w:val="left" w:leader="none"/>
          <w:tab w:pos="1181" w:val="left" w:leader="none"/>
        </w:tabs>
        <w:spacing w:line="240" w:lineRule="auto" w:before="129" w:after="0"/>
        <w:ind w:left="1180" w:right="0" w:hanging="360"/>
        <w:jc w:val="left"/>
        <w:rPr>
          <w:sz w:val="22"/>
        </w:rPr>
      </w:pPr>
      <w:r>
        <w:rPr>
          <w:color w:val="231F20"/>
          <w:sz w:val="22"/>
        </w:rPr>
        <w:t>adverse weather and natural</w:t>
      </w:r>
      <w:r>
        <w:rPr>
          <w:color w:val="231F20"/>
          <w:spacing w:val="1"/>
          <w:sz w:val="22"/>
        </w:rPr>
        <w:t> </w:t>
      </w:r>
      <w:r>
        <w:rPr>
          <w:color w:val="231F20"/>
          <w:sz w:val="22"/>
        </w:rPr>
        <w:t>disasters;</w:t>
      </w:r>
    </w:p>
    <w:p>
      <w:pPr>
        <w:pStyle w:val="ListParagraph"/>
        <w:numPr>
          <w:ilvl w:val="2"/>
          <w:numId w:val="4"/>
        </w:numPr>
        <w:tabs>
          <w:tab w:pos="1179" w:val="left" w:leader="none"/>
          <w:tab w:pos="1181" w:val="left" w:leader="none"/>
        </w:tabs>
        <w:spacing w:line="240" w:lineRule="auto" w:before="137" w:after="0"/>
        <w:ind w:left="1180" w:right="0" w:hanging="360"/>
        <w:jc w:val="left"/>
        <w:rPr>
          <w:sz w:val="22"/>
        </w:rPr>
      </w:pPr>
      <w:r>
        <w:rPr>
          <w:color w:val="231F20"/>
          <w:sz w:val="22"/>
        </w:rPr>
        <w:t>outbreaks of</w:t>
      </w:r>
      <w:r>
        <w:rPr>
          <w:color w:val="231F20"/>
          <w:spacing w:val="-1"/>
          <w:sz w:val="22"/>
        </w:rPr>
        <w:t> </w:t>
      </w:r>
      <w:r>
        <w:rPr>
          <w:color w:val="231F20"/>
          <w:sz w:val="22"/>
        </w:rPr>
        <w:t>disease;</w:t>
      </w:r>
    </w:p>
    <w:p>
      <w:pPr>
        <w:pStyle w:val="ListParagraph"/>
        <w:numPr>
          <w:ilvl w:val="2"/>
          <w:numId w:val="4"/>
        </w:numPr>
        <w:tabs>
          <w:tab w:pos="1181" w:val="left" w:leader="none"/>
        </w:tabs>
        <w:spacing w:line="247" w:lineRule="auto" w:before="137" w:after="0"/>
        <w:ind w:left="1180" w:right="118" w:hanging="360"/>
        <w:jc w:val="both"/>
        <w:rPr>
          <w:sz w:val="22"/>
        </w:rPr>
      </w:pPr>
      <w:r>
        <w:rPr>
          <w:color w:val="231F20"/>
          <w:sz w:val="22"/>
        </w:rPr>
        <w:t>changes in consumer preferences, perceptions, spending patterns, or demographic trends (including, without limitation, changes in government travel patterns due to government shutdowns or</w:t>
      </w:r>
      <w:r>
        <w:rPr>
          <w:color w:val="231F20"/>
          <w:spacing w:val="-1"/>
          <w:sz w:val="22"/>
        </w:rPr>
        <w:t> </w:t>
      </w:r>
      <w:r>
        <w:rPr>
          <w:color w:val="231F20"/>
          <w:sz w:val="22"/>
        </w:rPr>
        <w:t>sequestration);</w:t>
      </w:r>
    </w:p>
    <w:p>
      <w:pPr>
        <w:pStyle w:val="ListParagraph"/>
        <w:numPr>
          <w:ilvl w:val="2"/>
          <w:numId w:val="4"/>
        </w:numPr>
        <w:tabs>
          <w:tab w:pos="1181" w:val="left" w:leader="none"/>
        </w:tabs>
        <w:spacing w:line="247" w:lineRule="auto" w:before="129" w:after="0"/>
        <w:ind w:left="1180" w:right="117" w:hanging="360"/>
        <w:jc w:val="both"/>
        <w:rPr>
          <w:sz w:val="22"/>
        </w:rPr>
      </w:pPr>
      <w:r>
        <w:rPr>
          <w:color w:val="231F20"/>
          <w:sz w:val="22"/>
        </w:rPr>
        <w:t>actual or potential disruptions in the air traffic control system (including, without limitation, as a result of potential FAA budget cuts due to government shutdowns or sequestration);</w:t>
      </w:r>
    </w:p>
    <w:p>
      <w:pPr>
        <w:pStyle w:val="ListParagraph"/>
        <w:numPr>
          <w:ilvl w:val="2"/>
          <w:numId w:val="4"/>
        </w:numPr>
        <w:tabs>
          <w:tab w:pos="1181" w:val="left" w:leader="none"/>
        </w:tabs>
        <w:spacing w:line="247" w:lineRule="auto" w:before="129" w:after="0"/>
        <w:ind w:left="1180" w:right="117" w:hanging="360"/>
        <w:jc w:val="both"/>
        <w:rPr>
          <w:sz w:val="22"/>
        </w:rPr>
      </w:pPr>
      <w:r>
        <w:rPr>
          <w:color w:val="231F20"/>
          <w:sz w:val="22"/>
        </w:rPr>
        <w:t>changes in the competitive environment due to industry consolidation, industry bankruptcies, and other</w:t>
      </w:r>
      <w:r>
        <w:rPr>
          <w:color w:val="231F20"/>
          <w:spacing w:val="-1"/>
          <w:sz w:val="22"/>
        </w:rPr>
        <w:t> </w:t>
      </w:r>
      <w:r>
        <w:rPr>
          <w:color w:val="231F20"/>
          <w:sz w:val="22"/>
        </w:rPr>
        <w:t>factors;</w:t>
      </w:r>
    </w:p>
    <w:p>
      <w:pPr>
        <w:pStyle w:val="ListParagraph"/>
        <w:numPr>
          <w:ilvl w:val="2"/>
          <w:numId w:val="4"/>
        </w:numPr>
        <w:tabs>
          <w:tab w:pos="1179" w:val="left" w:leader="none"/>
          <w:tab w:pos="1181" w:val="left" w:leader="none"/>
        </w:tabs>
        <w:spacing w:line="240" w:lineRule="auto" w:before="129" w:after="0"/>
        <w:ind w:left="1180" w:right="0" w:hanging="360"/>
        <w:jc w:val="left"/>
        <w:rPr>
          <w:sz w:val="22"/>
        </w:rPr>
      </w:pPr>
      <w:r>
        <w:rPr>
          <w:color w:val="231F20"/>
          <w:sz w:val="22"/>
        </w:rPr>
        <w:t>air traffic congestion and other air traffic control issues;</w:t>
      </w:r>
      <w:r>
        <w:rPr>
          <w:color w:val="231F20"/>
          <w:spacing w:val="-5"/>
          <w:sz w:val="22"/>
        </w:rPr>
        <w:t> </w:t>
      </w:r>
      <w:r>
        <w:rPr>
          <w:color w:val="231F20"/>
          <w:sz w:val="22"/>
        </w:rPr>
        <w:t>and</w:t>
      </w:r>
    </w:p>
    <w:p>
      <w:pPr>
        <w:pStyle w:val="ListParagraph"/>
        <w:numPr>
          <w:ilvl w:val="2"/>
          <w:numId w:val="4"/>
        </w:numPr>
        <w:tabs>
          <w:tab w:pos="1179" w:val="left" w:leader="none"/>
          <w:tab w:pos="1181" w:val="left" w:leader="none"/>
        </w:tabs>
        <w:spacing w:line="240" w:lineRule="auto" w:before="136" w:after="0"/>
        <w:ind w:left="1180" w:right="0" w:hanging="360"/>
        <w:jc w:val="left"/>
        <w:rPr>
          <w:sz w:val="22"/>
        </w:rPr>
      </w:pPr>
      <w:r>
        <w:rPr>
          <w:color w:val="231F20"/>
          <w:sz w:val="22"/>
        </w:rPr>
        <w:t>actual or threatened war, terrorist attacks, and political</w:t>
      </w:r>
      <w:r>
        <w:rPr>
          <w:color w:val="231F20"/>
          <w:spacing w:val="-1"/>
          <w:sz w:val="22"/>
        </w:rPr>
        <w:t> </w:t>
      </w:r>
      <w:r>
        <w:rPr>
          <w:color w:val="231F20"/>
          <w:sz w:val="22"/>
        </w:rPr>
        <w:t>instability.</w:t>
      </w:r>
    </w:p>
    <w:p>
      <w:pPr>
        <w:spacing w:after="0" w:line="240" w:lineRule="auto"/>
        <w:jc w:val="left"/>
        <w:rPr>
          <w:sz w:val="22"/>
        </w:rPr>
        <w:sectPr>
          <w:pgSz w:w="11880" w:h="15480"/>
          <w:pgMar w:header="0" w:footer="1240" w:top="1240" w:bottom="1420" w:left="1280" w:right="1260"/>
        </w:sectPr>
      </w:pPr>
    </w:p>
    <w:p>
      <w:pPr>
        <w:pStyle w:val="Heading2"/>
        <w:spacing w:before="74"/>
        <w:rPr>
          <w:i/>
        </w:rPr>
      </w:pPr>
      <w:r>
        <w:rPr>
          <w:i/>
          <w:color w:val="231F20"/>
        </w:rPr>
        <w:t>The airline industry is intensely competitive.</w:t>
      </w:r>
    </w:p>
    <w:p>
      <w:pPr>
        <w:pStyle w:val="BodyText"/>
        <w:spacing w:line="247" w:lineRule="auto" w:before="166"/>
        <w:ind w:left="100" w:right="117" w:firstLine="720"/>
        <w:jc w:val="both"/>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w:t>
      </w:r>
      <w:r>
        <w:rPr>
          <w:color w:val="231F20"/>
          <w:spacing w:val="-2"/>
        </w:rPr>
        <w:t> </w:t>
      </w:r>
      <w:r>
        <w:rPr>
          <w:color w:val="231F20"/>
        </w:rPr>
        <w:t>activities.</w:t>
      </w:r>
    </w:p>
    <w:p>
      <w:pPr>
        <w:pStyle w:val="Heading2"/>
        <w:spacing w:line="247" w:lineRule="auto" w:before="159"/>
        <w:ind w:right="313"/>
      </w:pPr>
      <w:r>
        <w:rPr>
          <w:i/>
          <w:color w:val="231F20"/>
        </w:rPr>
        <w:t>The Company’s future results will suffer if it does not effectively manage its expanded </w:t>
      </w:r>
      <w:r>
        <w:rPr>
          <w:color w:val="231F20"/>
        </w:rPr>
        <w:t>operations, including its international operations.</w:t>
      </w:r>
    </w:p>
    <w:p>
      <w:pPr>
        <w:pStyle w:val="BodyText"/>
        <w:spacing w:line="247" w:lineRule="auto" w:before="159"/>
        <w:ind w:left="100" w:right="117" w:firstLine="720"/>
        <w:jc w:val="both"/>
      </w:pPr>
      <w:r>
        <w:rPr>
          <w:color w:val="231F20"/>
        </w:rPr>
        <w:t>As the Company expands its international flight offerings, the U.S. Customs and Border Protection (“CBP”) will become an increasingly important federal agency. CBP personnel and CBP- mandated procedures can affect the Company’s operations, costs, and Customer experience. The Company will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 term or the</w:t>
      </w:r>
      <w:r>
        <w:rPr>
          <w:color w:val="231F20"/>
          <w:spacing w:val="-2"/>
        </w:rPr>
        <w:t> </w:t>
      </w:r>
      <w:r>
        <w:rPr>
          <w:color w:val="231F20"/>
        </w:rPr>
        <w:t>long-term.</w:t>
      </w:r>
    </w:p>
    <w:p>
      <w:pPr>
        <w:pStyle w:val="BodyText"/>
        <w:spacing w:line="247" w:lineRule="auto" w:before="159"/>
        <w:ind w:left="100" w:right="117" w:firstLine="720"/>
        <w:jc w:val="both"/>
      </w:pPr>
      <w:r>
        <w:rPr>
          <w:color w:val="231F20"/>
        </w:rPr>
        <w:t>International flying requires the Company to modify certain processes, as the airport environment is dramatically different in certain international locations with respect to, among other things, common-use ticket counters and gate areas, local operating requirements, and cultural preferences. In addition, international flying exposes the Company to certain foreign currency risks to the extent the Company chooses to, or is required to, transact in currencies other than the U.S. dollar. To the extent the Company seeks to serve additional foreign destinations in the future, it will be required to obtain necessary authority from the DOT and approvals from the FAA, as well as any applicable foreign government or other authority.</w:t>
      </w:r>
    </w:p>
    <w:p>
      <w:pPr>
        <w:pStyle w:val="BodyText"/>
        <w:spacing w:line="247" w:lineRule="auto" w:before="159"/>
        <w:ind w:left="100" w:right="117" w:firstLine="720"/>
        <w:jc w:val="both"/>
      </w:pPr>
      <w:r>
        <w:rPr>
          <w:color w:val="231F20"/>
        </w:rPr>
        <w:t>The Company’s expansion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 Furthermore,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3"/>
        </w:rPr>
        <w:t> </w:t>
      </w:r>
      <w:r>
        <w:rPr>
          <w:color w:val="231F20"/>
        </w:rPr>
        <w:t>operations.</w:t>
      </w:r>
    </w:p>
    <w:p>
      <w:pPr>
        <w:spacing w:after="0" w:line="247" w:lineRule="auto"/>
        <w:jc w:val="both"/>
        <w:sectPr>
          <w:pgSz w:w="11880" w:h="15480"/>
          <w:pgMar w:header="0" w:footer="1240" w:top="1240" w:bottom="1420" w:left="1280" w:right="1260"/>
        </w:sectPr>
      </w:pPr>
    </w:p>
    <w:p>
      <w:pPr>
        <w:pStyle w:val="Heading2"/>
        <w:spacing w:line="247" w:lineRule="auto" w:before="74"/>
        <w:ind w:right="118"/>
        <w:jc w:val="both"/>
      </w:pPr>
      <w:r>
        <w:rPr>
          <w:i/>
          <w:color w:val="231F20"/>
        </w:rPr>
        <w:t>AirTran is currently subject to pending antitrust litigation, and if judgment were to be rendered </w:t>
      </w:r>
      <w:r>
        <w:rPr>
          <w:color w:val="231F20"/>
        </w:rPr>
        <w:t>against AirTran in the litigation, such judgment could adversely affect the Company’s operating results.</w:t>
      </w:r>
    </w:p>
    <w:p>
      <w:pPr>
        <w:pStyle w:val="BodyText"/>
        <w:spacing w:line="247" w:lineRule="auto" w:before="159"/>
        <w:ind w:left="100" w:right="117" w:firstLine="720"/>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AirTran filed a motion to exclude the class certification reports of plaintiffs’ expert. The Court has not yet ruled on the class certification motion or the related motion to exclude plaintiffs’ expert. The parties engaged in extensive discovery, which was extended due to discovery disputes between plaintiffs and Delta, but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have delayed further briefing on summary judgment. On December 2, 2013, plaintiffs moved for discovery sanctions against Delta, and the Court has suspended further briefing on (i) the motion for summary judgment, (ii) the motion for class certification, and (iii) the motion to strike plaintiffs’ expert on class certification, until the sanctions motion is resolved. On May 14, 2014, the Court referred the sanctions dispute to a special master, the special master has issued a series of reports and recommendations, and plaintiffs and Delta have submitted objections to the special master’s report and recommendations. While AirTran has denied all allegations of wrongdoing, including those in the Consolidated Amended Complaint, and intends to defend vigorously any and all such allegations, results of legal proceedings such as this one cannot be predicted with certainty. Regardless of its merit, this litigation and any potential future claims against the Company or AirTran may be both time consuming and disruptive to the Company’s operations and cause significant expense and diversion of management attention. Should AirTran and the Company fail to prevail in this or other matters, the Company may be faced with significant monetary damages or injunctive relief that could materially adversely affect its business and might materially affect its financial condition and operating</w:t>
      </w:r>
      <w:r>
        <w:rPr>
          <w:color w:val="231F20"/>
          <w:spacing w:val="-1"/>
        </w:rPr>
        <w:t> </w:t>
      </w:r>
      <w:r>
        <w:rPr>
          <w:color w:val="231F20"/>
        </w:rPr>
        <w:t>results.</w:t>
      </w:r>
    </w:p>
    <w:p>
      <w:pPr>
        <w:spacing w:after="0" w:line="247" w:lineRule="auto"/>
        <w:jc w:val="both"/>
        <w:sectPr>
          <w:pgSz w:w="11880" w:h="15480"/>
          <w:pgMar w:header="0" w:footer="1240" w:top="1240" w:bottom="1420" w:left="1280" w:right="1260"/>
        </w:sectPr>
      </w:pPr>
    </w:p>
    <w:p>
      <w:pPr>
        <w:pStyle w:val="Heading2"/>
        <w:spacing w:line="247" w:lineRule="auto" w:before="74"/>
        <w:ind w:right="118"/>
        <w:jc w:val="both"/>
      </w:pPr>
      <w:r>
        <w:rPr>
          <w:i/>
          <w:color w:val="231F20"/>
        </w:rPr>
        <w:t>The application of the acquisition method of accounting resulted in the Company recording a </w:t>
      </w:r>
      <w:r>
        <w:rPr>
          <w:color w:val="231F20"/>
        </w:rPr>
        <w:t>significant amount of goodwill in connection with the acquisition of AirTran, which could result in significant future impairment charges and negatively affect the Company’s financial results.</w:t>
      </w:r>
    </w:p>
    <w:p>
      <w:pPr>
        <w:pStyle w:val="BodyText"/>
        <w:spacing w:line="247" w:lineRule="auto" w:before="159"/>
        <w:ind w:left="100" w:right="117" w:firstLine="720"/>
        <w:jc w:val="both"/>
      </w:pPr>
      <w:r>
        <w:rPr>
          <w:color w:val="231F20"/>
        </w:rPr>
        <w:t>In accordance with applicable acquisition accounting rules, the Company recorded goodwill on its Consolidated Balance Sheet to the extent the AirTran acquisition purchase price exceeded the net fair value of AirTran’s tangible and intangible assets and liabilities as of the acquisition date. Goodwill is not amortized, but is tested for impairment at least annually. Future impairment of Goodwill could  be recorded in the Company’s results of operations as a result of changes in assumptions, estimates, or circumstances, some of which are beyond the Company’s control. Factors which could result in an impairment, holding other assumptions constant, could include, but are not limited to: (i) reduced passenger demand as a result of domestic or global economic conditions; (ii) significantly higher prices for</w:t>
      </w:r>
      <w:r>
        <w:rPr>
          <w:color w:val="231F20"/>
          <w:spacing w:val="11"/>
        </w:rPr>
        <w:t> </w:t>
      </w:r>
      <w:r>
        <w:rPr>
          <w:color w:val="231F20"/>
        </w:rPr>
        <w:t>jet</w:t>
      </w:r>
      <w:r>
        <w:rPr>
          <w:color w:val="231F20"/>
          <w:spacing w:val="12"/>
        </w:rPr>
        <w:t> </w:t>
      </w:r>
      <w:r>
        <w:rPr>
          <w:color w:val="231F20"/>
        </w:rPr>
        <w:t>fuel;</w:t>
      </w:r>
      <w:r>
        <w:rPr>
          <w:color w:val="231F20"/>
          <w:spacing w:val="11"/>
        </w:rPr>
        <w:t> </w:t>
      </w:r>
      <w:r>
        <w:rPr>
          <w:color w:val="231F20"/>
        </w:rPr>
        <w:t>(iii)</w:t>
      </w:r>
      <w:r>
        <w:rPr>
          <w:color w:val="231F20"/>
          <w:spacing w:val="11"/>
        </w:rPr>
        <w:t> </w:t>
      </w:r>
      <w:r>
        <w:rPr>
          <w:color w:val="231F20"/>
        </w:rPr>
        <w:t>lower</w:t>
      </w:r>
      <w:r>
        <w:rPr>
          <w:color w:val="231F20"/>
          <w:spacing w:val="11"/>
        </w:rPr>
        <w:t> </w:t>
      </w:r>
      <w:r>
        <w:rPr>
          <w:color w:val="231F20"/>
        </w:rPr>
        <w:t>fares</w:t>
      </w:r>
      <w:r>
        <w:rPr>
          <w:color w:val="231F20"/>
          <w:spacing w:val="11"/>
        </w:rPr>
        <w:t> </w:t>
      </w:r>
      <w:r>
        <w:rPr>
          <w:color w:val="231F20"/>
        </w:rPr>
        <w:t>or</w:t>
      </w:r>
      <w:r>
        <w:rPr>
          <w:color w:val="231F20"/>
          <w:spacing w:val="10"/>
        </w:rPr>
        <w:t> </w:t>
      </w:r>
      <w:r>
        <w:rPr>
          <w:color w:val="231F20"/>
        </w:rPr>
        <w:t>passenger</w:t>
      </w:r>
      <w:r>
        <w:rPr>
          <w:color w:val="231F20"/>
          <w:spacing w:val="12"/>
        </w:rPr>
        <w:t> </w:t>
      </w:r>
      <w:r>
        <w:rPr>
          <w:color w:val="231F20"/>
        </w:rPr>
        <w:t>yields</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result</w:t>
      </w:r>
      <w:r>
        <w:rPr>
          <w:color w:val="231F20"/>
          <w:spacing w:val="11"/>
        </w:rPr>
        <w:t> </w:t>
      </w:r>
      <w:r>
        <w:rPr>
          <w:color w:val="231F20"/>
        </w:rPr>
        <w:t>of</w:t>
      </w:r>
      <w:r>
        <w:rPr>
          <w:color w:val="231F20"/>
          <w:spacing w:val="10"/>
        </w:rPr>
        <w:t> </w:t>
      </w:r>
      <w:r>
        <w:rPr>
          <w:color w:val="231F20"/>
        </w:rPr>
        <w:t>increased</w:t>
      </w:r>
      <w:r>
        <w:rPr>
          <w:color w:val="231F20"/>
          <w:spacing w:val="12"/>
        </w:rPr>
        <w:t> </w:t>
      </w:r>
      <w:r>
        <w:rPr>
          <w:color w:val="231F20"/>
        </w:rPr>
        <w:t>competition</w:t>
      </w:r>
      <w:r>
        <w:rPr>
          <w:color w:val="231F20"/>
          <w:spacing w:val="10"/>
        </w:rPr>
        <w:t> </w:t>
      </w:r>
      <w:r>
        <w:rPr>
          <w:color w:val="231F20"/>
        </w:rPr>
        <w:t>or</w:t>
      </w:r>
      <w:r>
        <w:rPr>
          <w:color w:val="231F20"/>
          <w:spacing w:val="10"/>
        </w:rPr>
        <w:t> </w:t>
      </w:r>
      <w:r>
        <w:rPr>
          <w:color w:val="231F20"/>
        </w:rPr>
        <w:t>lower</w:t>
      </w:r>
      <w:r>
        <w:rPr>
          <w:color w:val="231F20"/>
          <w:spacing w:val="11"/>
        </w:rPr>
        <w:t> </w:t>
      </w:r>
      <w:r>
        <w:rPr>
          <w:color w:val="231F20"/>
        </w:rPr>
        <w:t>demand;</w:t>
      </w:r>
    </w:p>
    <w:p>
      <w:pPr>
        <w:pStyle w:val="ListParagraph"/>
        <w:numPr>
          <w:ilvl w:val="0"/>
          <w:numId w:val="5"/>
        </w:numPr>
        <w:tabs>
          <w:tab w:pos="481" w:val="left" w:leader="none"/>
        </w:tabs>
        <w:spacing w:line="247" w:lineRule="auto" w:before="0" w:after="0"/>
        <w:ind w:left="100" w:right="117" w:firstLine="0"/>
        <w:jc w:val="both"/>
        <w:rPr>
          <w:sz w:val="22"/>
        </w:rPr>
      </w:pPr>
      <w:r>
        <w:rPr>
          <w:color w:val="231F20"/>
          <w:sz w:val="22"/>
        </w:rPr>
        <w:t>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The Company can provide no assurance that a significant impairment charge will not occur in one or more future periods. Any such charges may materially negatively affect the Company’s financial results. See Note 1 to the Consolidated Financial Statements for further</w:t>
      </w:r>
      <w:r>
        <w:rPr>
          <w:color w:val="231F20"/>
          <w:spacing w:val="-2"/>
          <w:sz w:val="22"/>
        </w:rPr>
        <w:t> </w:t>
      </w:r>
      <w:r>
        <w:rPr>
          <w:color w:val="231F20"/>
          <w:sz w:val="22"/>
        </w:rPr>
        <w:t>information.</w:t>
      </w:r>
    </w:p>
    <w:p>
      <w:pPr>
        <w:tabs>
          <w:tab w:pos="1529" w:val="left" w:leader="none"/>
        </w:tabs>
        <w:spacing w:before="160"/>
        <w:ind w:left="100" w:right="0" w:firstLine="0"/>
        <w:jc w:val="both"/>
        <w:rPr>
          <w:b/>
          <w:i/>
          <w:sz w:val="22"/>
        </w:rPr>
      </w:pPr>
      <w:bookmarkStart w:name="Item 1B. Unresolved Staff Comments" w:id="5"/>
      <w:bookmarkEnd w:id="5"/>
      <w:r>
        <w:rPr/>
      </w:r>
      <w:r>
        <w:rPr>
          <w:b/>
          <w:color w:val="231F20"/>
          <w:sz w:val="22"/>
        </w:rPr>
        <w:t>Item 1B.</w:t>
        <w:tab/>
      </w:r>
      <w:r>
        <w:rPr>
          <w:b/>
          <w:i/>
          <w:color w:val="231F20"/>
          <w:sz w:val="22"/>
        </w:rPr>
        <w:t>Unresolved Staff</w:t>
      </w:r>
      <w:r>
        <w:rPr>
          <w:b/>
          <w:i/>
          <w:color w:val="231F20"/>
          <w:spacing w:val="-1"/>
          <w:sz w:val="22"/>
        </w:rPr>
        <w:t> </w:t>
      </w:r>
      <w:r>
        <w:rPr>
          <w:b/>
          <w:i/>
          <w:color w:val="231F20"/>
          <w:sz w:val="22"/>
        </w:rPr>
        <w:t>Comments</w:t>
      </w:r>
    </w:p>
    <w:p>
      <w:pPr>
        <w:pStyle w:val="BodyText"/>
        <w:spacing w:before="167"/>
        <w:ind w:left="820"/>
      </w:pPr>
      <w:r>
        <w:rPr>
          <w:color w:val="231F20"/>
        </w:rPr>
        <w:t>None.</w:t>
      </w:r>
    </w:p>
    <w:p>
      <w:pPr>
        <w:spacing w:after="0"/>
        <w:sectPr>
          <w:pgSz w:w="11880" w:h="15480"/>
          <w:pgMar w:header="0" w:footer="1240" w:top="1240" w:bottom="1420" w:left="1280" w:right="1260"/>
        </w:sectPr>
      </w:pPr>
    </w:p>
    <w:p>
      <w:pPr>
        <w:tabs>
          <w:tab w:pos="1549" w:val="left" w:leader="none"/>
        </w:tabs>
        <w:spacing w:before="74"/>
        <w:ind w:left="120" w:right="0" w:firstLine="0"/>
        <w:jc w:val="left"/>
        <w:rPr>
          <w:b/>
          <w:i/>
          <w:sz w:val="22"/>
        </w:rPr>
      </w:pPr>
      <w:bookmarkStart w:name="Item 2. Properties" w:id="6"/>
      <w:bookmarkEnd w:id="6"/>
      <w:r>
        <w:rPr/>
      </w:r>
      <w:r>
        <w:rPr>
          <w:b/>
          <w:color w:val="231F20"/>
          <w:sz w:val="22"/>
        </w:rPr>
        <w:t>Item 2.</w:t>
        <w:tab/>
      </w:r>
      <w:r>
        <w:rPr>
          <w:b/>
          <w:i/>
          <w:color w:val="231F20"/>
          <w:sz w:val="22"/>
        </w:rPr>
        <w:t>Properties</w:t>
      </w:r>
    </w:p>
    <w:p>
      <w:pPr>
        <w:pStyle w:val="Heading1"/>
        <w:spacing w:before="166"/>
        <w:ind w:left="120"/>
      </w:pPr>
      <w:r>
        <w:rPr>
          <w:color w:val="231F20"/>
        </w:rPr>
        <w:t>Aircraft</w:t>
      </w:r>
    </w:p>
    <w:p>
      <w:pPr>
        <w:pStyle w:val="BodyText"/>
        <w:spacing w:line="247" w:lineRule="auto" w:before="166"/>
        <w:ind w:left="120" w:right="117" w:firstLine="720"/>
        <w:jc w:val="both"/>
      </w:pPr>
      <w:r>
        <w:rPr>
          <w:color w:val="231F20"/>
        </w:rPr>
        <w:t>Southwest operated a total of 665 Boeing 737 aircraft as of December 31, 2014, of which 98 and 14 were under operating and capital leases, respectively. The following table details information  on the 665 aircraft as of December 31,</w:t>
      </w:r>
      <w:r>
        <w:rPr>
          <w:color w:val="231F20"/>
          <w:spacing w:val="-1"/>
        </w:rPr>
        <w:t> </w:t>
      </w:r>
      <w:r>
        <w:rPr>
          <w:color w:val="231F20"/>
        </w:rPr>
        <w:t>2014:</w:t>
      </w:r>
    </w:p>
    <w:p>
      <w:pPr>
        <w:spacing w:after="0" w:line="247" w:lineRule="auto"/>
        <w:jc w:val="both"/>
        <w:sectPr>
          <w:pgSz w:w="11880" w:h="15480"/>
          <w:pgMar w:header="0" w:footer="1240" w:top="1240" w:bottom="1420" w:left="1260" w:right="1260"/>
        </w:sectPr>
      </w:pPr>
    </w:p>
    <w:p>
      <w:pPr>
        <w:spacing w:line="200" w:lineRule="exact" w:before="144"/>
        <w:ind w:left="4642" w:right="-19" w:hanging="189"/>
        <w:jc w:val="left"/>
        <w:rPr>
          <w:b/>
          <w:sz w:val="20"/>
        </w:rPr>
      </w:pPr>
      <w:r>
        <w:rPr/>
        <w:pict>
          <v:shape style="position:absolute;margin-left:69pt;margin-top:25.9pt;width:456pt;height:101.55pt;mso-position-horizontal-relative:page;mso-position-vertical-relative:paragraph;z-index:140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20"/>
                    <w:gridCol w:w="100"/>
                    <w:gridCol w:w="1180"/>
                    <w:gridCol w:w="100"/>
                    <w:gridCol w:w="1180"/>
                    <w:gridCol w:w="100"/>
                    <w:gridCol w:w="1180"/>
                    <w:gridCol w:w="100"/>
                    <w:gridCol w:w="1180"/>
                    <w:gridCol w:w="100"/>
                    <w:gridCol w:w="1180"/>
                  </w:tblGrid>
                  <w:tr>
                    <w:trPr>
                      <w:trHeight w:val="256" w:hRule="exact"/>
                    </w:trPr>
                    <w:tc>
                      <w:tcPr>
                        <w:tcW w:w="2720" w:type="dxa"/>
                      </w:tcPr>
                      <w:p>
                        <w:pPr>
                          <w:pStyle w:val="TableParagraph"/>
                          <w:spacing w:line="229" w:lineRule="exact" w:before="0"/>
                          <w:ind w:left="60"/>
                          <w:rPr>
                            <w:b/>
                            <w:sz w:val="20"/>
                          </w:rPr>
                        </w:pPr>
                        <w:r>
                          <w:rPr>
                            <w:b/>
                            <w:color w:val="231F20"/>
                            <w:sz w:val="20"/>
                          </w:rPr>
                          <w:t>Type</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Seats</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(Yrs)</w:t>
                        </w:r>
                      </w:p>
                    </w:tc>
                    <w:tc>
                      <w:tcPr>
                        <w:tcW w:w="100" w:type="dxa"/>
                      </w:tcPr>
                      <w:p>
                        <w:pPr/>
                      </w:p>
                    </w:tc>
                    <w:tc>
                      <w:tcPr>
                        <w:tcW w:w="1180" w:type="dxa"/>
                        <w:tcBorders>
                          <w:bottom w:val="single" w:sz="8" w:space="0" w:color="231F20"/>
                        </w:tcBorders>
                      </w:tcPr>
                      <w:p>
                        <w:pPr>
                          <w:pStyle w:val="TableParagraph"/>
                          <w:spacing w:line="229" w:lineRule="exact" w:before="0"/>
                          <w:ind w:left="238"/>
                          <w:rPr>
                            <w:b/>
                            <w:sz w:val="20"/>
                          </w:rPr>
                        </w:pPr>
                        <w:r>
                          <w:rPr>
                            <w:b/>
                            <w:color w:val="231F20"/>
                            <w:sz w:val="20"/>
                          </w:rPr>
                          <w:t>Aircraft</w:t>
                        </w:r>
                      </w:p>
                    </w:tc>
                    <w:tc>
                      <w:tcPr>
                        <w:tcW w:w="100" w:type="dxa"/>
                      </w:tcPr>
                      <w:p>
                        <w:pPr/>
                      </w:p>
                    </w:tc>
                    <w:tc>
                      <w:tcPr>
                        <w:tcW w:w="1180" w:type="dxa"/>
                        <w:tcBorders>
                          <w:bottom w:val="single" w:sz="8" w:space="0" w:color="231F20"/>
                        </w:tcBorders>
                      </w:tcPr>
                      <w:p>
                        <w:pPr>
                          <w:pStyle w:val="TableParagraph"/>
                          <w:spacing w:line="229" w:lineRule="exact" w:before="0"/>
                          <w:ind w:left="141"/>
                          <w:rPr>
                            <w:b/>
                            <w:sz w:val="20"/>
                          </w:rPr>
                        </w:pPr>
                        <w:r>
                          <w:rPr>
                            <w:b/>
                            <w:color w:val="231F20"/>
                            <w:sz w:val="20"/>
                          </w:rPr>
                          <w:t>Owned (1)</w:t>
                        </w:r>
                      </w:p>
                    </w:tc>
                    <w:tc>
                      <w:tcPr>
                        <w:tcW w:w="100" w:type="dxa"/>
                      </w:tcPr>
                      <w:p>
                        <w:pPr/>
                      </w:p>
                    </w:tc>
                    <w:tc>
                      <w:tcPr>
                        <w:tcW w:w="1180" w:type="dxa"/>
                        <w:tcBorders>
                          <w:bottom w:val="single" w:sz="8" w:space="0" w:color="231F20"/>
                        </w:tcBorders>
                      </w:tcPr>
                      <w:p>
                        <w:pPr>
                          <w:pStyle w:val="TableParagraph"/>
                          <w:spacing w:line="229" w:lineRule="exact" w:before="0"/>
                          <w:ind w:left="290"/>
                          <w:rPr>
                            <w:b/>
                            <w:sz w:val="20"/>
                          </w:rPr>
                        </w:pPr>
                        <w:r>
                          <w:rPr>
                            <w:b/>
                            <w:color w:val="231F20"/>
                            <w:sz w:val="20"/>
                          </w:rPr>
                          <w:t>Leased</w:t>
                        </w:r>
                      </w:p>
                    </w:tc>
                  </w:tr>
                  <w:tr>
                    <w:trPr>
                      <w:trHeight w:val="290" w:hRule="exact"/>
                    </w:trPr>
                    <w:tc>
                      <w:tcPr>
                        <w:tcW w:w="2720" w:type="dxa"/>
                        <w:shd w:val="clear" w:color="auto" w:fill="CCECFC"/>
                      </w:tcPr>
                      <w:p>
                        <w:pPr>
                          <w:pStyle w:val="TableParagraph"/>
                          <w:spacing w:before="33"/>
                          <w:ind w:left="60"/>
                          <w:rPr>
                            <w:sz w:val="20"/>
                          </w:rPr>
                        </w:pPr>
                        <w:r>
                          <w:rPr>
                            <w:color w:val="231F20"/>
                            <w:sz w:val="20"/>
                          </w:rPr>
                          <w:t>717-200 (2)</w:t>
                        </w:r>
                      </w:p>
                    </w:tc>
                    <w:tc>
                      <w:tcPr>
                        <w:tcW w:w="100" w:type="dxa"/>
                        <w:shd w:val="clear" w:color="auto" w:fill="CCECFC"/>
                      </w:tcPr>
                      <w:p>
                        <w:pPr/>
                      </w:p>
                    </w:tc>
                    <w:tc>
                      <w:tcPr>
                        <w:tcW w:w="1180" w:type="dxa"/>
                        <w:tcBorders>
                          <w:top w:val="single" w:sz="8" w:space="0" w:color="231F20"/>
                        </w:tcBorders>
                        <w:shd w:val="clear" w:color="auto" w:fill="CCECFC"/>
                      </w:tcPr>
                      <w:p>
                        <w:pPr>
                          <w:pStyle w:val="TableParagraph"/>
                          <w:spacing w:before="33"/>
                          <w:ind w:left="596"/>
                          <w:rPr>
                            <w:sz w:val="20"/>
                          </w:rPr>
                        </w:pPr>
                        <w:r>
                          <w:rPr>
                            <w:color w:val="231F20"/>
                            <w:sz w:val="20"/>
                          </w:rPr>
                          <w:t>117</w:t>
                        </w:r>
                      </w:p>
                    </w:tc>
                    <w:tc>
                      <w:tcPr>
                        <w:tcW w:w="100" w:type="dxa"/>
                        <w:shd w:val="clear" w:color="auto" w:fill="CCECFC"/>
                      </w:tcPr>
                      <w:p>
                        <w:pPr/>
                      </w:p>
                    </w:tc>
                    <w:tc>
                      <w:tcPr>
                        <w:tcW w:w="1180" w:type="dxa"/>
                        <w:tcBorders>
                          <w:top w:val="single" w:sz="8" w:space="0" w:color="231F20"/>
                        </w:tcBorders>
                        <w:shd w:val="clear" w:color="auto" w:fill="CCECFC"/>
                      </w:tcPr>
                      <w:p>
                        <w:pPr>
                          <w:pStyle w:val="TableParagraph"/>
                          <w:spacing w:before="33"/>
                          <w:ind w:right="79"/>
                          <w:jc w:val="right"/>
                          <w:rPr>
                            <w:sz w:val="20"/>
                          </w:rPr>
                        </w:pPr>
                        <w:r>
                          <w:rPr>
                            <w:color w:val="231F20"/>
                            <w:sz w:val="20"/>
                          </w:rPr>
                          <w:t>—</w:t>
                        </w:r>
                      </w:p>
                    </w:tc>
                    <w:tc>
                      <w:tcPr>
                        <w:tcW w:w="100" w:type="dxa"/>
                        <w:shd w:val="clear" w:color="auto" w:fill="CCECFC"/>
                      </w:tcPr>
                      <w:p>
                        <w:pPr/>
                      </w:p>
                    </w:tc>
                    <w:tc>
                      <w:tcPr>
                        <w:tcW w:w="1180" w:type="dxa"/>
                        <w:tcBorders>
                          <w:top w:val="single" w:sz="8" w:space="0" w:color="231F20"/>
                        </w:tcBorders>
                        <w:shd w:val="clear" w:color="auto" w:fill="CCECFC"/>
                      </w:tcPr>
                      <w:p>
                        <w:pPr>
                          <w:pStyle w:val="TableParagraph"/>
                          <w:spacing w:before="33"/>
                          <w:ind w:right="79"/>
                          <w:jc w:val="right"/>
                          <w:rPr>
                            <w:sz w:val="20"/>
                          </w:rPr>
                        </w:pPr>
                        <w:r>
                          <w:rPr>
                            <w:color w:val="231F20"/>
                            <w:sz w:val="20"/>
                          </w:rPr>
                          <w:t>—</w:t>
                        </w:r>
                      </w:p>
                    </w:tc>
                    <w:tc>
                      <w:tcPr>
                        <w:tcW w:w="100" w:type="dxa"/>
                        <w:shd w:val="clear" w:color="auto" w:fill="CCECFC"/>
                      </w:tcPr>
                      <w:p>
                        <w:pPr/>
                      </w:p>
                    </w:tc>
                    <w:tc>
                      <w:tcPr>
                        <w:tcW w:w="1180" w:type="dxa"/>
                        <w:tcBorders>
                          <w:top w:val="single" w:sz="8" w:space="0" w:color="231F20"/>
                        </w:tcBorders>
                        <w:shd w:val="clear" w:color="auto" w:fill="CCECFC"/>
                      </w:tcPr>
                      <w:p>
                        <w:pPr>
                          <w:pStyle w:val="TableParagraph"/>
                          <w:spacing w:before="33"/>
                          <w:ind w:right="79"/>
                          <w:jc w:val="right"/>
                          <w:rPr>
                            <w:sz w:val="20"/>
                          </w:rPr>
                        </w:pPr>
                        <w:r>
                          <w:rPr>
                            <w:color w:val="231F20"/>
                            <w:sz w:val="20"/>
                          </w:rPr>
                          <w:t>—</w:t>
                        </w:r>
                      </w:p>
                    </w:tc>
                    <w:tc>
                      <w:tcPr>
                        <w:tcW w:w="100" w:type="dxa"/>
                        <w:shd w:val="clear" w:color="auto" w:fill="CCECFC"/>
                      </w:tcPr>
                      <w:p>
                        <w:pPr/>
                      </w:p>
                    </w:tc>
                    <w:tc>
                      <w:tcPr>
                        <w:tcW w:w="1180" w:type="dxa"/>
                        <w:tcBorders>
                          <w:top w:val="single" w:sz="8" w:space="0" w:color="231F20"/>
                        </w:tcBorders>
                        <w:shd w:val="clear" w:color="auto" w:fill="CCECFC"/>
                      </w:tcPr>
                      <w:p>
                        <w:pPr>
                          <w:pStyle w:val="TableParagraph"/>
                          <w:spacing w:before="33"/>
                          <w:ind w:right="79"/>
                          <w:jc w:val="right"/>
                          <w:rPr>
                            <w:sz w:val="20"/>
                          </w:rPr>
                        </w:pPr>
                        <w:r>
                          <w:rPr>
                            <w:color w:val="231F20"/>
                            <w:sz w:val="20"/>
                          </w:rPr>
                          <w:t>—</w:t>
                        </w:r>
                      </w:p>
                    </w:tc>
                  </w:tr>
                  <w:tr>
                    <w:trPr>
                      <w:trHeight w:val="280" w:hRule="exact"/>
                    </w:trPr>
                    <w:tc>
                      <w:tcPr>
                        <w:tcW w:w="2720" w:type="dxa"/>
                      </w:tcPr>
                      <w:p>
                        <w:pPr>
                          <w:pStyle w:val="TableParagraph"/>
                          <w:spacing w:before="33"/>
                          <w:ind w:left="60"/>
                          <w:rPr>
                            <w:sz w:val="20"/>
                          </w:rPr>
                        </w:pPr>
                        <w:r>
                          <w:rPr>
                            <w:color w:val="231F20"/>
                            <w:sz w:val="20"/>
                          </w:rPr>
                          <w:t>737-300</w:t>
                        </w:r>
                      </w:p>
                    </w:tc>
                    <w:tc>
                      <w:tcPr>
                        <w:tcW w:w="100" w:type="dxa"/>
                      </w:tcPr>
                      <w:p>
                        <w:pPr/>
                      </w:p>
                    </w:tc>
                    <w:tc>
                      <w:tcPr>
                        <w:tcW w:w="1180" w:type="dxa"/>
                      </w:tcPr>
                      <w:p>
                        <w:pPr>
                          <w:pStyle w:val="TableParagraph"/>
                          <w:spacing w:before="33"/>
                          <w:ind w:left="313"/>
                          <w:rPr>
                            <w:sz w:val="20"/>
                          </w:rPr>
                        </w:pPr>
                        <w:r>
                          <w:rPr>
                            <w:color w:val="231F20"/>
                            <w:sz w:val="20"/>
                          </w:rPr>
                          <w:t>137 or 143</w:t>
                        </w:r>
                      </w:p>
                    </w:tc>
                    <w:tc>
                      <w:tcPr>
                        <w:tcW w:w="100" w:type="dxa"/>
                      </w:tcPr>
                      <w:p>
                        <w:pPr/>
                      </w:p>
                    </w:tc>
                    <w:tc>
                      <w:tcPr>
                        <w:tcW w:w="1180" w:type="dxa"/>
                      </w:tcPr>
                      <w:p>
                        <w:pPr>
                          <w:pStyle w:val="TableParagraph"/>
                          <w:spacing w:before="33"/>
                          <w:ind w:right="79"/>
                          <w:jc w:val="right"/>
                          <w:rPr>
                            <w:sz w:val="20"/>
                          </w:rPr>
                        </w:pPr>
                        <w:r>
                          <w:rPr>
                            <w:color w:val="231F20"/>
                            <w:sz w:val="20"/>
                          </w:rPr>
                          <w:t>21</w:t>
                        </w:r>
                      </w:p>
                    </w:tc>
                    <w:tc>
                      <w:tcPr>
                        <w:tcW w:w="100" w:type="dxa"/>
                      </w:tcPr>
                      <w:p>
                        <w:pPr/>
                      </w:p>
                    </w:tc>
                    <w:tc>
                      <w:tcPr>
                        <w:tcW w:w="1180" w:type="dxa"/>
                      </w:tcPr>
                      <w:p>
                        <w:pPr>
                          <w:pStyle w:val="TableParagraph"/>
                          <w:spacing w:before="33"/>
                          <w:ind w:right="79"/>
                          <w:jc w:val="right"/>
                          <w:rPr>
                            <w:sz w:val="20"/>
                          </w:rPr>
                        </w:pPr>
                        <w:r>
                          <w:rPr>
                            <w:color w:val="231F20"/>
                            <w:sz w:val="20"/>
                          </w:rPr>
                          <w:t>120</w:t>
                        </w:r>
                      </w:p>
                    </w:tc>
                    <w:tc>
                      <w:tcPr>
                        <w:tcW w:w="100" w:type="dxa"/>
                      </w:tcPr>
                      <w:p>
                        <w:pPr/>
                      </w:p>
                    </w:tc>
                    <w:tc>
                      <w:tcPr>
                        <w:tcW w:w="1180" w:type="dxa"/>
                      </w:tcPr>
                      <w:p>
                        <w:pPr>
                          <w:pStyle w:val="TableParagraph"/>
                          <w:spacing w:before="33"/>
                          <w:ind w:right="79"/>
                          <w:jc w:val="right"/>
                          <w:rPr>
                            <w:sz w:val="20"/>
                          </w:rPr>
                        </w:pPr>
                        <w:r>
                          <w:rPr>
                            <w:color w:val="231F20"/>
                            <w:sz w:val="20"/>
                          </w:rPr>
                          <w:t>76</w:t>
                        </w:r>
                      </w:p>
                    </w:tc>
                    <w:tc>
                      <w:tcPr>
                        <w:tcW w:w="100" w:type="dxa"/>
                      </w:tcPr>
                      <w:p>
                        <w:pPr/>
                      </w:p>
                    </w:tc>
                    <w:tc>
                      <w:tcPr>
                        <w:tcW w:w="1180" w:type="dxa"/>
                      </w:tcPr>
                      <w:p>
                        <w:pPr>
                          <w:pStyle w:val="TableParagraph"/>
                          <w:spacing w:before="33"/>
                          <w:ind w:right="79"/>
                          <w:jc w:val="right"/>
                          <w:rPr>
                            <w:sz w:val="20"/>
                          </w:rPr>
                        </w:pPr>
                        <w:r>
                          <w:rPr>
                            <w:color w:val="231F20"/>
                            <w:sz w:val="20"/>
                          </w:rPr>
                          <w:t>44</w:t>
                        </w:r>
                      </w:p>
                    </w:tc>
                  </w:tr>
                  <w:tr>
                    <w:trPr>
                      <w:trHeight w:val="280" w:hRule="exact"/>
                    </w:trPr>
                    <w:tc>
                      <w:tcPr>
                        <w:tcW w:w="2720" w:type="dxa"/>
                        <w:shd w:val="clear" w:color="auto" w:fill="CCECFC"/>
                      </w:tcPr>
                      <w:p>
                        <w:pPr>
                          <w:pStyle w:val="TableParagraph"/>
                          <w:spacing w:before="33"/>
                          <w:ind w:left="60"/>
                          <w:rPr>
                            <w:sz w:val="20"/>
                          </w:rPr>
                        </w:pPr>
                        <w:r>
                          <w:rPr>
                            <w:color w:val="231F20"/>
                            <w:sz w:val="20"/>
                          </w:rPr>
                          <w:t>737-500</w:t>
                        </w:r>
                      </w:p>
                    </w:tc>
                    <w:tc>
                      <w:tcPr>
                        <w:tcW w:w="100" w:type="dxa"/>
                        <w:shd w:val="clear" w:color="auto" w:fill="CCECFC"/>
                      </w:tcPr>
                      <w:p>
                        <w:pPr/>
                      </w:p>
                    </w:tc>
                    <w:tc>
                      <w:tcPr>
                        <w:tcW w:w="1180" w:type="dxa"/>
                        <w:shd w:val="clear" w:color="auto" w:fill="CCECFC"/>
                      </w:tcPr>
                      <w:p>
                        <w:pPr>
                          <w:pStyle w:val="TableParagraph"/>
                          <w:spacing w:before="33"/>
                          <w:ind w:left="596"/>
                          <w:rPr>
                            <w:sz w:val="20"/>
                          </w:rPr>
                        </w:pPr>
                        <w:r>
                          <w:rPr>
                            <w:color w:val="231F20"/>
                            <w:sz w:val="20"/>
                          </w:rPr>
                          <w:t>122</w:t>
                        </w:r>
                      </w:p>
                    </w:tc>
                    <w:tc>
                      <w:tcPr>
                        <w:tcW w:w="100" w:type="dxa"/>
                        <w:shd w:val="clear" w:color="auto" w:fill="CCECFC"/>
                      </w:tcPr>
                      <w:p>
                        <w:pPr/>
                      </w:p>
                    </w:tc>
                    <w:tc>
                      <w:tcPr>
                        <w:tcW w:w="1180" w:type="dxa"/>
                        <w:shd w:val="clear" w:color="auto" w:fill="CCECFC"/>
                      </w:tcPr>
                      <w:p>
                        <w:pPr>
                          <w:pStyle w:val="TableParagraph"/>
                          <w:spacing w:before="33"/>
                          <w:ind w:right="79"/>
                          <w:jc w:val="right"/>
                          <w:rPr>
                            <w:sz w:val="20"/>
                          </w:rPr>
                        </w:pPr>
                        <w:r>
                          <w:rPr>
                            <w:color w:val="231F20"/>
                            <w:sz w:val="20"/>
                          </w:rPr>
                          <w:t>23</w:t>
                        </w:r>
                      </w:p>
                    </w:tc>
                    <w:tc>
                      <w:tcPr>
                        <w:tcW w:w="100" w:type="dxa"/>
                        <w:shd w:val="clear" w:color="auto" w:fill="CCECFC"/>
                      </w:tcPr>
                      <w:p>
                        <w:pPr/>
                      </w:p>
                    </w:tc>
                    <w:tc>
                      <w:tcPr>
                        <w:tcW w:w="1180" w:type="dxa"/>
                        <w:shd w:val="clear" w:color="auto" w:fill="CCECFC"/>
                      </w:tcPr>
                      <w:p>
                        <w:pPr>
                          <w:pStyle w:val="TableParagraph"/>
                          <w:spacing w:before="33"/>
                          <w:ind w:right="79"/>
                          <w:jc w:val="right"/>
                          <w:rPr>
                            <w:sz w:val="20"/>
                          </w:rPr>
                        </w:pPr>
                        <w:r>
                          <w:rPr>
                            <w:color w:val="231F20"/>
                            <w:sz w:val="20"/>
                          </w:rPr>
                          <w:t>13</w:t>
                        </w:r>
                      </w:p>
                    </w:tc>
                    <w:tc>
                      <w:tcPr>
                        <w:tcW w:w="100" w:type="dxa"/>
                        <w:shd w:val="clear" w:color="auto" w:fill="CCECFC"/>
                      </w:tcPr>
                      <w:p>
                        <w:pPr/>
                      </w:p>
                    </w:tc>
                    <w:tc>
                      <w:tcPr>
                        <w:tcW w:w="1180" w:type="dxa"/>
                        <w:shd w:val="clear" w:color="auto" w:fill="CCECFC"/>
                      </w:tcPr>
                      <w:p>
                        <w:pPr>
                          <w:pStyle w:val="TableParagraph"/>
                          <w:spacing w:before="33"/>
                          <w:ind w:right="79"/>
                          <w:jc w:val="right"/>
                          <w:rPr>
                            <w:sz w:val="20"/>
                          </w:rPr>
                        </w:pPr>
                        <w:r>
                          <w:rPr>
                            <w:color w:val="231F20"/>
                            <w:sz w:val="20"/>
                          </w:rPr>
                          <w:t>10</w:t>
                        </w:r>
                      </w:p>
                    </w:tc>
                    <w:tc>
                      <w:tcPr>
                        <w:tcW w:w="100" w:type="dxa"/>
                        <w:shd w:val="clear" w:color="auto" w:fill="CCECFC"/>
                      </w:tcPr>
                      <w:p>
                        <w:pPr/>
                      </w:p>
                    </w:tc>
                    <w:tc>
                      <w:tcPr>
                        <w:tcW w:w="1180" w:type="dxa"/>
                        <w:shd w:val="clear" w:color="auto" w:fill="CCECFC"/>
                      </w:tcPr>
                      <w:p>
                        <w:pPr>
                          <w:pStyle w:val="TableParagraph"/>
                          <w:spacing w:before="33"/>
                          <w:ind w:right="79"/>
                          <w:jc w:val="right"/>
                          <w:rPr>
                            <w:sz w:val="20"/>
                          </w:rPr>
                        </w:pPr>
                        <w:r>
                          <w:rPr>
                            <w:color w:val="231F20"/>
                            <w:sz w:val="20"/>
                          </w:rPr>
                          <w:t>3</w:t>
                        </w:r>
                      </w:p>
                    </w:tc>
                  </w:tr>
                  <w:tr>
                    <w:trPr>
                      <w:trHeight w:val="280" w:hRule="exact"/>
                    </w:trPr>
                    <w:tc>
                      <w:tcPr>
                        <w:tcW w:w="2720" w:type="dxa"/>
                      </w:tcPr>
                      <w:p>
                        <w:pPr>
                          <w:pStyle w:val="TableParagraph"/>
                          <w:spacing w:before="33"/>
                          <w:ind w:left="60"/>
                          <w:rPr>
                            <w:sz w:val="20"/>
                          </w:rPr>
                        </w:pPr>
                        <w:r>
                          <w:rPr>
                            <w:color w:val="231F20"/>
                            <w:sz w:val="20"/>
                          </w:rPr>
                          <w:t>737-700</w:t>
                        </w:r>
                      </w:p>
                    </w:tc>
                    <w:tc>
                      <w:tcPr>
                        <w:tcW w:w="100" w:type="dxa"/>
                      </w:tcPr>
                      <w:p>
                        <w:pPr/>
                      </w:p>
                    </w:tc>
                    <w:tc>
                      <w:tcPr>
                        <w:tcW w:w="1180" w:type="dxa"/>
                      </w:tcPr>
                      <w:p>
                        <w:pPr>
                          <w:pStyle w:val="TableParagraph"/>
                          <w:spacing w:before="33"/>
                          <w:ind w:left="596"/>
                          <w:rPr>
                            <w:sz w:val="20"/>
                          </w:rPr>
                        </w:pPr>
                        <w:r>
                          <w:rPr>
                            <w:color w:val="231F20"/>
                            <w:sz w:val="20"/>
                          </w:rPr>
                          <w:t>143</w:t>
                        </w:r>
                      </w:p>
                    </w:tc>
                    <w:tc>
                      <w:tcPr>
                        <w:tcW w:w="100" w:type="dxa"/>
                      </w:tcPr>
                      <w:p>
                        <w:pPr/>
                      </w:p>
                    </w:tc>
                    <w:tc>
                      <w:tcPr>
                        <w:tcW w:w="1180" w:type="dxa"/>
                      </w:tcPr>
                      <w:p>
                        <w:pPr>
                          <w:pStyle w:val="TableParagraph"/>
                          <w:spacing w:before="33"/>
                          <w:ind w:right="79"/>
                          <w:jc w:val="right"/>
                          <w:rPr>
                            <w:sz w:val="20"/>
                          </w:rPr>
                        </w:pPr>
                        <w:r>
                          <w:rPr>
                            <w:color w:val="231F20"/>
                            <w:sz w:val="20"/>
                          </w:rPr>
                          <w:t>10</w:t>
                        </w:r>
                      </w:p>
                    </w:tc>
                    <w:tc>
                      <w:tcPr>
                        <w:tcW w:w="100" w:type="dxa"/>
                      </w:tcPr>
                      <w:p>
                        <w:pPr/>
                      </w:p>
                    </w:tc>
                    <w:tc>
                      <w:tcPr>
                        <w:tcW w:w="1180" w:type="dxa"/>
                      </w:tcPr>
                      <w:p>
                        <w:pPr>
                          <w:pStyle w:val="TableParagraph"/>
                          <w:spacing w:before="33"/>
                          <w:ind w:right="79"/>
                          <w:jc w:val="right"/>
                          <w:rPr>
                            <w:sz w:val="20"/>
                          </w:rPr>
                        </w:pPr>
                        <w:r>
                          <w:rPr>
                            <w:color w:val="231F20"/>
                            <w:sz w:val="20"/>
                          </w:rPr>
                          <w:t>447</w:t>
                        </w:r>
                      </w:p>
                    </w:tc>
                    <w:tc>
                      <w:tcPr>
                        <w:tcW w:w="100" w:type="dxa"/>
                      </w:tcPr>
                      <w:p>
                        <w:pPr/>
                      </w:p>
                    </w:tc>
                    <w:tc>
                      <w:tcPr>
                        <w:tcW w:w="1180" w:type="dxa"/>
                      </w:tcPr>
                      <w:p>
                        <w:pPr>
                          <w:pStyle w:val="TableParagraph"/>
                          <w:spacing w:before="33"/>
                          <w:ind w:right="79"/>
                          <w:jc w:val="right"/>
                          <w:rPr>
                            <w:sz w:val="20"/>
                          </w:rPr>
                        </w:pPr>
                        <w:r>
                          <w:rPr>
                            <w:color w:val="231F20"/>
                            <w:sz w:val="20"/>
                          </w:rPr>
                          <w:t>389</w:t>
                        </w:r>
                      </w:p>
                    </w:tc>
                    <w:tc>
                      <w:tcPr>
                        <w:tcW w:w="100" w:type="dxa"/>
                      </w:tcPr>
                      <w:p>
                        <w:pPr/>
                      </w:p>
                    </w:tc>
                    <w:tc>
                      <w:tcPr>
                        <w:tcW w:w="1180" w:type="dxa"/>
                      </w:tcPr>
                      <w:p>
                        <w:pPr>
                          <w:pStyle w:val="TableParagraph"/>
                          <w:spacing w:before="33"/>
                          <w:ind w:right="79"/>
                          <w:jc w:val="right"/>
                          <w:rPr>
                            <w:sz w:val="20"/>
                          </w:rPr>
                        </w:pPr>
                        <w:r>
                          <w:rPr>
                            <w:color w:val="231F20"/>
                            <w:sz w:val="20"/>
                          </w:rPr>
                          <w:t>58</w:t>
                        </w:r>
                      </w:p>
                    </w:tc>
                  </w:tr>
                  <w:tr>
                    <w:trPr>
                      <w:trHeight w:val="295" w:hRule="exact"/>
                    </w:trPr>
                    <w:tc>
                      <w:tcPr>
                        <w:tcW w:w="2720" w:type="dxa"/>
                        <w:shd w:val="clear" w:color="auto" w:fill="CCECFC"/>
                      </w:tcPr>
                      <w:p>
                        <w:pPr>
                          <w:pStyle w:val="TableParagraph"/>
                          <w:spacing w:before="33"/>
                          <w:ind w:left="60"/>
                          <w:rPr>
                            <w:sz w:val="20"/>
                          </w:rPr>
                        </w:pPr>
                        <w:r>
                          <w:rPr>
                            <w:color w:val="231F20"/>
                            <w:sz w:val="20"/>
                          </w:rPr>
                          <w:t>737-800</w:t>
                        </w:r>
                      </w:p>
                    </w:tc>
                    <w:tc>
                      <w:tcPr>
                        <w:tcW w:w="100" w:type="dxa"/>
                        <w:shd w:val="clear" w:color="auto" w:fill="CCECFC"/>
                      </w:tcPr>
                      <w:p>
                        <w:pPr/>
                      </w:p>
                    </w:tc>
                    <w:tc>
                      <w:tcPr>
                        <w:tcW w:w="1180" w:type="dxa"/>
                        <w:shd w:val="clear" w:color="auto" w:fill="CCECFC"/>
                      </w:tcPr>
                      <w:p>
                        <w:pPr>
                          <w:pStyle w:val="TableParagraph"/>
                          <w:spacing w:before="33"/>
                          <w:ind w:left="596"/>
                          <w:rPr>
                            <w:sz w:val="20"/>
                          </w:rPr>
                        </w:pPr>
                        <w:r>
                          <w:rPr>
                            <w:color w:val="231F20"/>
                            <w:sz w:val="20"/>
                          </w:rPr>
                          <w:t>175</w:t>
                        </w:r>
                      </w:p>
                    </w:tc>
                    <w:tc>
                      <w:tcPr>
                        <w:tcW w:w="100" w:type="dxa"/>
                        <w:shd w:val="clear" w:color="auto" w:fill="CCECFC"/>
                      </w:tcPr>
                      <w:p>
                        <w:pPr/>
                      </w:p>
                    </w:tc>
                    <w:tc>
                      <w:tcPr>
                        <w:tcW w:w="1180" w:type="dxa"/>
                        <w:shd w:val="clear" w:color="auto" w:fill="CCECFC"/>
                      </w:tcPr>
                      <w:p>
                        <w:pPr>
                          <w:pStyle w:val="TableParagraph"/>
                          <w:spacing w:before="33"/>
                          <w:ind w:right="79"/>
                          <w:jc w:val="right"/>
                          <w:rPr>
                            <w:sz w:val="20"/>
                          </w:rPr>
                        </w:pPr>
                        <w:r>
                          <w:rPr>
                            <w:color w:val="231F20"/>
                            <w:sz w:val="20"/>
                          </w:rPr>
                          <w:t>1</w:t>
                        </w:r>
                      </w:p>
                    </w:tc>
                    <w:tc>
                      <w:tcPr>
                        <w:tcW w:w="100" w:type="dxa"/>
                        <w:shd w:val="clear" w:color="auto" w:fill="CCECFC"/>
                      </w:tcPr>
                      <w:p>
                        <w:pPr/>
                      </w:p>
                    </w:tc>
                    <w:tc>
                      <w:tcPr>
                        <w:tcW w:w="1180" w:type="dxa"/>
                        <w:tcBorders>
                          <w:bottom w:val="single" w:sz="4" w:space="0" w:color="231F20"/>
                        </w:tcBorders>
                        <w:shd w:val="clear" w:color="auto" w:fill="CCECFC"/>
                      </w:tcPr>
                      <w:p>
                        <w:pPr>
                          <w:pStyle w:val="TableParagraph"/>
                          <w:spacing w:before="33"/>
                          <w:ind w:right="79"/>
                          <w:jc w:val="right"/>
                          <w:rPr>
                            <w:sz w:val="20"/>
                          </w:rPr>
                        </w:pPr>
                        <w:r>
                          <w:rPr>
                            <w:color w:val="231F20"/>
                            <w:sz w:val="20"/>
                          </w:rPr>
                          <w:t>85</w:t>
                        </w:r>
                      </w:p>
                    </w:tc>
                    <w:tc>
                      <w:tcPr>
                        <w:tcW w:w="100" w:type="dxa"/>
                        <w:shd w:val="clear" w:color="auto" w:fill="CCECFC"/>
                      </w:tcPr>
                      <w:p>
                        <w:pPr/>
                      </w:p>
                    </w:tc>
                    <w:tc>
                      <w:tcPr>
                        <w:tcW w:w="1180" w:type="dxa"/>
                        <w:tcBorders>
                          <w:bottom w:val="single" w:sz="4" w:space="0" w:color="231F20"/>
                        </w:tcBorders>
                        <w:shd w:val="clear" w:color="auto" w:fill="CCECFC"/>
                      </w:tcPr>
                      <w:p>
                        <w:pPr>
                          <w:pStyle w:val="TableParagraph"/>
                          <w:spacing w:before="33"/>
                          <w:ind w:right="79"/>
                          <w:jc w:val="right"/>
                          <w:rPr>
                            <w:sz w:val="20"/>
                          </w:rPr>
                        </w:pPr>
                        <w:r>
                          <w:rPr>
                            <w:color w:val="231F20"/>
                            <w:sz w:val="20"/>
                          </w:rPr>
                          <w:t>78</w:t>
                        </w:r>
                      </w:p>
                    </w:tc>
                    <w:tc>
                      <w:tcPr>
                        <w:tcW w:w="100" w:type="dxa"/>
                        <w:shd w:val="clear" w:color="auto" w:fill="CCECFC"/>
                      </w:tcPr>
                      <w:p>
                        <w:pPr/>
                      </w:p>
                    </w:tc>
                    <w:tc>
                      <w:tcPr>
                        <w:tcW w:w="1180" w:type="dxa"/>
                        <w:tcBorders>
                          <w:bottom w:val="single" w:sz="4" w:space="0" w:color="231F20"/>
                        </w:tcBorders>
                        <w:shd w:val="clear" w:color="auto" w:fill="CCECFC"/>
                      </w:tcPr>
                      <w:p>
                        <w:pPr>
                          <w:pStyle w:val="TableParagraph"/>
                          <w:spacing w:before="33"/>
                          <w:ind w:right="79"/>
                          <w:jc w:val="right"/>
                          <w:rPr>
                            <w:sz w:val="20"/>
                          </w:rPr>
                        </w:pPr>
                        <w:r>
                          <w:rPr>
                            <w:color w:val="231F20"/>
                            <w:sz w:val="20"/>
                          </w:rPr>
                          <w:t>7</w:t>
                        </w:r>
                      </w:p>
                    </w:tc>
                  </w:tr>
                  <w:tr>
                    <w:trPr>
                      <w:trHeight w:val="340" w:hRule="exact"/>
                    </w:trPr>
                    <w:tc>
                      <w:tcPr>
                        <w:tcW w:w="2720" w:type="dxa"/>
                      </w:tcPr>
                      <w:p>
                        <w:pPr>
                          <w:pStyle w:val="TableParagraph"/>
                          <w:ind w:left="60"/>
                          <w:rPr>
                            <w:sz w:val="20"/>
                          </w:rPr>
                        </w:pPr>
                        <w:r>
                          <w:rPr>
                            <w:color w:val="231F20"/>
                            <w:sz w:val="20"/>
                          </w:rPr>
                          <w:t>Totals</w:t>
                        </w:r>
                      </w:p>
                    </w:tc>
                    <w:tc>
                      <w:tcPr>
                        <w:tcW w:w="100" w:type="dxa"/>
                      </w:tcPr>
                      <w:p>
                        <w:pPr/>
                      </w:p>
                    </w:tc>
                    <w:tc>
                      <w:tcPr>
                        <w:tcW w:w="1180" w:type="dxa"/>
                      </w:tcPr>
                      <w:p>
                        <w:pPr/>
                      </w:p>
                    </w:tc>
                    <w:tc>
                      <w:tcPr>
                        <w:tcW w:w="100" w:type="dxa"/>
                      </w:tcPr>
                      <w:p>
                        <w:pPr/>
                      </w:p>
                    </w:tc>
                    <w:tc>
                      <w:tcPr>
                        <w:tcW w:w="1180" w:type="dxa"/>
                      </w:tcPr>
                      <w:p>
                        <w:pPr/>
                      </w:p>
                    </w:tc>
                    <w:tc>
                      <w:tcPr>
                        <w:tcW w:w="100" w:type="dxa"/>
                      </w:tcPr>
                      <w:p>
                        <w:pP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665</w:t>
                        </w:r>
                      </w:p>
                    </w:tc>
                    <w:tc>
                      <w:tcPr>
                        <w:tcW w:w="100" w:type="dxa"/>
                      </w:tcPr>
                      <w:p>
                        <w:pP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553</w:t>
                        </w:r>
                      </w:p>
                    </w:tc>
                    <w:tc>
                      <w:tcPr>
                        <w:tcW w:w="100" w:type="dxa"/>
                      </w:tcPr>
                      <w:p>
                        <w:pP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112</w:t>
                        </w:r>
                      </w:p>
                    </w:tc>
                  </w:tr>
                </w:tbl>
                <w:p>
                  <w:pPr>
                    <w:pStyle w:val="BodyText"/>
                  </w:pPr>
                </w:p>
              </w:txbxContent>
            </v:textbox>
            <w10:wrap type="none"/>
          </v:shape>
        </w:pict>
      </w:r>
      <w:r>
        <w:rPr>
          <w:b/>
          <w:color w:val="231F20"/>
          <w:sz w:val="20"/>
        </w:rPr>
        <w:t>Average</w:t>
      </w:r>
      <w:r>
        <w:rPr>
          <w:b/>
          <w:color w:val="231F20"/>
          <w:w w:val="100"/>
          <w:sz w:val="20"/>
        </w:rPr>
        <w:t> </w:t>
      </w:r>
      <w:r>
        <w:rPr>
          <w:b/>
          <w:color w:val="231F20"/>
          <w:sz w:val="20"/>
        </w:rPr>
        <w:t>Age</w:t>
      </w:r>
    </w:p>
    <w:p>
      <w:pPr>
        <w:pStyle w:val="BodyText"/>
        <w:spacing w:before="7"/>
        <w:rPr>
          <w:b/>
          <w:sz w:val="27"/>
        </w:rPr>
      </w:pPr>
      <w:r>
        <w:rPr/>
        <w:br w:type="column"/>
      </w:r>
      <w:r>
        <w:rPr>
          <w:b/>
          <w:sz w:val="27"/>
        </w:rPr>
      </w:r>
    </w:p>
    <w:p>
      <w:pPr>
        <w:spacing w:before="0"/>
        <w:ind w:left="421" w:right="0" w:firstLine="0"/>
        <w:jc w:val="left"/>
        <w:rPr>
          <w:b/>
          <w:sz w:val="20"/>
        </w:rPr>
      </w:pPr>
      <w:r>
        <w:rPr>
          <w:b/>
          <w:color w:val="231F20"/>
          <w:sz w:val="20"/>
        </w:rPr>
        <w:t>Number of</w:t>
      </w:r>
    </w:p>
    <w:p>
      <w:pPr>
        <w:pStyle w:val="BodyText"/>
        <w:spacing w:before="7"/>
        <w:rPr>
          <w:b/>
          <w:sz w:val="27"/>
        </w:rPr>
      </w:pPr>
      <w:r>
        <w:rPr/>
        <w:br w:type="column"/>
      </w:r>
      <w:r>
        <w:rPr>
          <w:b/>
          <w:sz w:val="27"/>
        </w:rPr>
      </w:r>
    </w:p>
    <w:p>
      <w:pPr>
        <w:spacing w:before="0"/>
        <w:ind w:left="420" w:right="0" w:firstLine="0"/>
        <w:jc w:val="left"/>
        <w:rPr>
          <w:b/>
          <w:sz w:val="20"/>
        </w:rPr>
      </w:pPr>
      <w:r>
        <w:rPr>
          <w:b/>
          <w:color w:val="231F20"/>
          <w:sz w:val="20"/>
        </w:rPr>
        <w:t>Number</w:t>
      </w:r>
    </w:p>
    <w:p>
      <w:pPr>
        <w:pStyle w:val="BodyText"/>
        <w:spacing w:before="7"/>
        <w:rPr>
          <w:b/>
          <w:sz w:val="27"/>
        </w:rPr>
      </w:pPr>
      <w:r>
        <w:rPr/>
        <w:br w:type="column"/>
      </w:r>
      <w:r>
        <w:rPr>
          <w:b/>
          <w:sz w:val="27"/>
        </w:rPr>
      </w:r>
    </w:p>
    <w:p>
      <w:pPr>
        <w:spacing w:before="0"/>
        <w:ind w:left="528" w:right="0" w:firstLine="0"/>
        <w:jc w:val="left"/>
        <w:rPr>
          <w:b/>
          <w:sz w:val="20"/>
        </w:rPr>
      </w:pPr>
      <w:r>
        <w:rPr>
          <w:b/>
          <w:color w:val="231F20"/>
          <w:sz w:val="20"/>
        </w:rPr>
        <w:t>Number</w:t>
      </w:r>
    </w:p>
    <w:p>
      <w:pPr>
        <w:spacing w:after="0"/>
        <w:jc w:val="left"/>
        <w:rPr>
          <w:sz w:val="20"/>
        </w:rPr>
        <w:sectPr>
          <w:type w:val="continuous"/>
          <w:pgSz w:w="11880" w:h="15480"/>
          <w:pgMar w:top="1260" w:bottom="280" w:left="1260" w:right="1260"/>
          <w:cols w:num="4" w:equalWidth="0">
            <w:col w:w="5165" w:space="40"/>
            <w:col w:w="1349" w:space="40"/>
            <w:col w:w="1132" w:space="40"/>
            <w:col w:w="1594"/>
          </w:cols>
        </w:sectPr>
      </w:pPr>
    </w:p>
    <w:p>
      <w:pPr>
        <w:pStyle w:val="BodyText"/>
        <w:spacing w:before="9"/>
        <w:rPr>
          <w:b/>
          <w:sz w:val="18"/>
        </w:rPr>
      </w:pPr>
    </w:p>
    <w:p>
      <w:pPr>
        <w:pStyle w:val="BodyText"/>
        <w:spacing w:line="20" w:lineRule="exact"/>
        <w:ind w:left="110"/>
        <w:rPr>
          <w:sz w:val="2"/>
        </w:rPr>
      </w:pPr>
      <w:r>
        <w:rPr>
          <w:sz w:val="2"/>
        </w:rPr>
        <w:pict>
          <v:group style="width:137pt;height:1pt;mso-position-horizontal-relative:char;mso-position-vertical-relative:line" coordorigin="0,0" coordsize="2740,20">
            <v:line style="position:absolute" from="10,10" to="273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5"/>
        </w:rPr>
      </w:pPr>
      <w:r>
        <w:rPr/>
        <w:pict>
          <v:line style="position:absolute;mso-position-horizontal-relative:page;mso-position-vertical-relative:paragraph;z-index:1288;mso-wrap-distance-left:0;mso-wrap-distance-right:0" from="338pt,16.755859pt" to="397pt,16.755859pt" stroked="true" strokeweight=".5pt" strokecolor="#231f20">
            <v:stroke dashstyle="solid"/>
            <w10:wrap type="topAndBottom"/>
          </v:line>
        </w:pict>
      </w:r>
      <w:r>
        <w:rPr/>
        <w:pict>
          <v:line style="position:absolute;mso-position-horizontal-relative:page;mso-position-vertical-relative:paragraph;z-index:1312;mso-wrap-distance-left:0;mso-wrap-distance-right:0" from="402pt,16.755859pt" to="461pt,16.755859pt" stroked="true" strokeweight=".5pt" strokecolor="#231f20">
            <v:stroke dashstyle="solid"/>
            <w10:wrap type="topAndBottom"/>
          </v:line>
        </w:pict>
      </w:r>
      <w:r>
        <w:rPr/>
        <w:pict>
          <v:line style="position:absolute;mso-position-horizontal-relative:page;mso-position-vertical-relative:paragraph;z-index:1336;mso-wrap-distance-left:0;mso-wrap-distance-right:0" from="466pt,16.755859pt" to="525pt,16.755859pt" stroked="true" strokeweight=".5pt" strokecolor="#231f20">
            <v:stroke dashstyle="solid"/>
            <w10:wrap type="topAndBottom"/>
          </v:line>
        </w:pict>
      </w:r>
    </w:p>
    <w:p>
      <w:pPr>
        <w:pStyle w:val="BodyText"/>
        <w:spacing w:before="4"/>
        <w:rPr>
          <w:b/>
          <w:sz w:val="11"/>
        </w:rPr>
      </w:pPr>
    </w:p>
    <w:p>
      <w:pPr>
        <w:pStyle w:val="ListParagraph"/>
        <w:numPr>
          <w:ilvl w:val="1"/>
          <w:numId w:val="5"/>
        </w:numPr>
        <w:tabs>
          <w:tab w:pos="920" w:val="left" w:leader="none"/>
        </w:tabs>
        <w:spacing w:line="249" w:lineRule="auto" w:before="93" w:after="0"/>
        <w:ind w:left="920" w:right="120" w:hanging="400"/>
        <w:jc w:val="left"/>
        <w:rPr>
          <w:sz w:val="20"/>
        </w:rPr>
      </w:pPr>
      <w:r>
        <w:rPr>
          <w:color w:val="231F20"/>
          <w:sz w:val="20"/>
        </w:rPr>
        <w:t>As discussed further in Note 6 to the Consolidated Financial Statements, 163 of the Company’s aircraft were pledged as collateral as of December 31,</w:t>
      </w:r>
      <w:r>
        <w:rPr>
          <w:color w:val="231F20"/>
          <w:spacing w:val="3"/>
          <w:sz w:val="20"/>
        </w:rPr>
        <w:t> </w:t>
      </w:r>
      <w:r>
        <w:rPr>
          <w:color w:val="231F20"/>
          <w:sz w:val="20"/>
        </w:rPr>
        <w:t>2014.</w:t>
      </w:r>
    </w:p>
    <w:p>
      <w:pPr>
        <w:pStyle w:val="ListParagraph"/>
        <w:numPr>
          <w:ilvl w:val="1"/>
          <w:numId w:val="5"/>
        </w:numPr>
        <w:tabs>
          <w:tab w:pos="920" w:val="left" w:leader="none"/>
        </w:tabs>
        <w:spacing w:line="240" w:lineRule="auto" w:before="0" w:after="0"/>
        <w:ind w:left="920" w:right="0" w:hanging="400"/>
        <w:jc w:val="left"/>
        <w:rPr>
          <w:sz w:val="20"/>
        </w:rPr>
      </w:pPr>
      <w:r>
        <w:rPr>
          <w:color w:val="231F20"/>
          <w:sz w:val="20"/>
        </w:rPr>
        <w:t>The Company removed 36 B717s from service which were awaiting conversion at December 31,</w:t>
      </w:r>
      <w:r>
        <w:rPr>
          <w:color w:val="231F20"/>
          <w:spacing w:val="5"/>
          <w:sz w:val="20"/>
        </w:rPr>
        <w:t> </w:t>
      </w:r>
      <w:r>
        <w:rPr>
          <w:color w:val="231F20"/>
          <w:sz w:val="20"/>
        </w:rPr>
        <w:t>2014.</w:t>
      </w:r>
    </w:p>
    <w:p>
      <w:pPr>
        <w:pStyle w:val="BodyText"/>
        <w:spacing w:line="247" w:lineRule="auto" w:before="171"/>
        <w:ind w:left="120" w:right="117" w:firstLine="720"/>
      </w:pPr>
      <w:r>
        <w:rPr>
          <w:color w:val="231F20"/>
        </w:rPr>
        <w:t>As of December 31, 2014, the Company had firm deliveries and options for Boeing 737-700, 737-800, 737 MAX 7, and 737 MAX 8 aircraft as follows:</w:t>
      </w:r>
    </w:p>
    <w:p>
      <w:pPr>
        <w:spacing w:after="0" w:line="247" w:lineRule="auto"/>
        <w:sectPr>
          <w:type w:val="continuous"/>
          <w:pgSz w:w="11880" w:h="15480"/>
          <w:pgMar w:top="1260" w:bottom="280" w:left="1260" w:right="1260"/>
        </w:sectPr>
      </w:pPr>
    </w:p>
    <w:p>
      <w:pPr>
        <w:pStyle w:val="BodyText"/>
        <w:spacing w:before="6"/>
        <w:rPr>
          <w:sz w:val="19"/>
        </w:rPr>
      </w:pPr>
    </w:p>
    <w:p>
      <w:pPr>
        <w:spacing w:line="200" w:lineRule="exact" w:before="0"/>
        <w:ind w:left="2615" w:right="-20" w:hanging="602"/>
        <w:jc w:val="left"/>
        <w:rPr>
          <w:b/>
          <w:sz w:val="20"/>
        </w:rPr>
      </w:pPr>
      <w:r>
        <w:rPr/>
        <w:pict>
          <v:line style="position:absolute;mso-position-horizontal-relative:page;mso-position-vertical-relative:paragraph;z-index:1360" from="147.449997pt,21.5pt" to="272.599997pt,21.5pt" stroked="true" strokeweight="1pt" strokecolor="#231f20">
            <v:stroke dashstyle="solid"/>
            <w10:wrap type="none"/>
          </v:line>
        </w:pict>
      </w:r>
      <w:r>
        <w:rPr>
          <w:b/>
          <w:color w:val="231F20"/>
          <w:sz w:val="20"/>
        </w:rPr>
        <w:t>The Boeing Company</w:t>
      </w:r>
      <w:r>
        <w:rPr>
          <w:b/>
          <w:color w:val="231F20"/>
          <w:w w:val="99"/>
          <w:sz w:val="20"/>
        </w:rPr>
        <w:t> </w:t>
      </w:r>
      <w:r>
        <w:rPr>
          <w:b/>
          <w:color w:val="231F20"/>
          <w:sz w:val="20"/>
        </w:rPr>
        <w:t>737 NG</w:t>
      </w:r>
    </w:p>
    <w:p>
      <w:pPr>
        <w:pStyle w:val="BodyText"/>
        <w:spacing w:before="6"/>
        <w:rPr>
          <w:b/>
          <w:sz w:val="19"/>
        </w:rPr>
      </w:pPr>
      <w:r>
        <w:rPr/>
        <w:br w:type="column"/>
      </w:r>
      <w:r>
        <w:rPr>
          <w:b/>
          <w:sz w:val="19"/>
        </w:rPr>
      </w:r>
    </w:p>
    <w:p>
      <w:pPr>
        <w:spacing w:line="200" w:lineRule="exact" w:before="0"/>
        <w:ind w:left="2526" w:right="1290" w:hanging="514"/>
        <w:jc w:val="left"/>
        <w:rPr>
          <w:b/>
          <w:sz w:val="20"/>
        </w:rPr>
      </w:pPr>
      <w:r>
        <w:rPr/>
        <w:pict>
          <v:line style="position:absolute;mso-position-horizontal-relative:page;mso-position-vertical-relative:paragraph;z-index:1384" from="354.049988pt,21.5pt" to="484.199988pt,21.5pt" stroked="true" strokeweight="1pt" strokecolor="#231f20">
            <v:stroke dashstyle="solid"/>
            <w10:wrap type="none"/>
          </v:line>
        </w:pict>
      </w:r>
      <w:r>
        <w:rPr>
          <w:b/>
          <w:color w:val="231F20"/>
          <w:sz w:val="20"/>
        </w:rPr>
        <w:t>The Boeing Company 737 MAX</w:t>
      </w:r>
    </w:p>
    <w:p>
      <w:pPr>
        <w:spacing w:after="0" w:line="200" w:lineRule="exact"/>
        <w:jc w:val="left"/>
        <w:rPr>
          <w:sz w:val="20"/>
        </w:rPr>
        <w:sectPr>
          <w:type w:val="continuous"/>
          <w:pgSz w:w="11880" w:h="15480"/>
          <w:pgMar w:top="1260" w:bottom="280" w:left="1260" w:right="1260"/>
          <w:cols w:num="2" w:equalWidth="0">
            <w:col w:w="3869" w:space="313"/>
            <w:col w:w="5178"/>
          </w:cols>
        </w:sectPr>
      </w:pPr>
    </w:p>
    <w:p>
      <w:pPr>
        <w:spacing w:line="215" w:lineRule="exact" w:before="52"/>
        <w:ind w:left="0" w:right="31" w:firstLine="0"/>
        <w:jc w:val="right"/>
        <w:rPr>
          <w:b/>
          <w:sz w:val="20"/>
        </w:rPr>
      </w:pPr>
      <w:r>
        <w:rPr>
          <w:b/>
          <w:color w:val="231F20"/>
          <w:sz w:val="20"/>
        </w:rPr>
        <w:t>-700</w:t>
      </w:r>
    </w:p>
    <w:p>
      <w:pPr>
        <w:spacing w:line="215" w:lineRule="exact" w:before="0"/>
        <w:ind w:left="0" w:right="0" w:firstLine="0"/>
        <w:jc w:val="right"/>
        <w:rPr>
          <w:b/>
          <w:sz w:val="20"/>
        </w:rPr>
      </w:pPr>
      <w:r>
        <w:rPr/>
        <w:pict>
          <v:shape style="position:absolute;margin-left:69pt;margin-top:9.286426pt;width:456pt;height:214.8pt;mso-position-horizontal-relative:page;mso-position-vertical-relative:paragraph;z-index:14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369"/>
                    <w:gridCol w:w="862"/>
                    <w:gridCol w:w="1012"/>
                    <w:gridCol w:w="1062"/>
                    <w:gridCol w:w="1258"/>
                    <w:gridCol w:w="962"/>
                    <w:gridCol w:w="850"/>
                    <w:gridCol w:w="1079"/>
                    <w:gridCol w:w="666"/>
                  </w:tblGrid>
                  <w:tr>
                    <w:trPr>
                      <w:trHeight w:val="266" w:hRule="exact"/>
                    </w:trPr>
                    <w:tc>
                      <w:tcPr>
                        <w:tcW w:w="1369" w:type="dxa"/>
                      </w:tcPr>
                      <w:p>
                        <w:pPr/>
                      </w:p>
                    </w:tc>
                    <w:tc>
                      <w:tcPr>
                        <w:tcW w:w="862" w:type="dxa"/>
                        <w:tcBorders>
                          <w:bottom w:val="single" w:sz="8" w:space="0" w:color="231F20"/>
                        </w:tcBorders>
                      </w:tcPr>
                      <w:p>
                        <w:pPr>
                          <w:pStyle w:val="TableParagraph"/>
                          <w:spacing w:line="229" w:lineRule="exact" w:before="0"/>
                          <w:ind w:right="49"/>
                          <w:jc w:val="right"/>
                          <w:rPr>
                            <w:b/>
                            <w:sz w:val="20"/>
                          </w:rPr>
                        </w:pPr>
                        <w:r>
                          <w:rPr>
                            <w:b/>
                            <w:color w:val="231F20"/>
                            <w:sz w:val="20"/>
                          </w:rPr>
                          <w:t>Orders</w:t>
                        </w:r>
                      </w:p>
                    </w:tc>
                    <w:tc>
                      <w:tcPr>
                        <w:tcW w:w="1012" w:type="dxa"/>
                        <w:tcBorders>
                          <w:bottom w:val="single" w:sz="8" w:space="0" w:color="231F20"/>
                        </w:tcBorders>
                      </w:tcPr>
                      <w:p>
                        <w:pPr>
                          <w:pStyle w:val="TableParagraph"/>
                          <w:spacing w:line="229" w:lineRule="exact" w:before="0"/>
                          <w:ind w:right="149"/>
                          <w:jc w:val="right"/>
                          <w:rPr>
                            <w:b/>
                            <w:sz w:val="20"/>
                          </w:rPr>
                        </w:pPr>
                        <w:r>
                          <w:rPr>
                            <w:b/>
                            <w:color w:val="231F20"/>
                            <w:sz w:val="20"/>
                          </w:rPr>
                          <w:t>Orders</w:t>
                        </w:r>
                      </w:p>
                    </w:tc>
                    <w:tc>
                      <w:tcPr>
                        <w:tcW w:w="1062" w:type="dxa"/>
                        <w:tcBorders>
                          <w:bottom w:val="single" w:sz="8" w:space="0" w:color="231F20"/>
                        </w:tcBorders>
                      </w:tcPr>
                      <w:p>
                        <w:pPr>
                          <w:pStyle w:val="TableParagraph"/>
                          <w:spacing w:line="229" w:lineRule="exact" w:before="0"/>
                          <w:ind w:right="232"/>
                          <w:jc w:val="right"/>
                          <w:rPr>
                            <w:b/>
                            <w:sz w:val="20"/>
                          </w:rPr>
                        </w:pPr>
                        <w:r>
                          <w:rPr>
                            <w:b/>
                            <w:color w:val="231F20"/>
                            <w:w w:val="95"/>
                            <w:sz w:val="20"/>
                          </w:rPr>
                          <w:t>Options</w:t>
                        </w:r>
                      </w:p>
                    </w:tc>
                    <w:tc>
                      <w:tcPr>
                        <w:tcW w:w="1258" w:type="dxa"/>
                        <w:tcBorders>
                          <w:bottom w:val="single" w:sz="8" w:space="0" w:color="231F20"/>
                        </w:tcBorders>
                      </w:tcPr>
                      <w:p>
                        <w:pPr>
                          <w:pStyle w:val="TableParagraph"/>
                          <w:spacing w:line="229" w:lineRule="exact" w:before="0"/>
                          <w:ind w:left="233"/>
                          <w:rPr>
                            <w:b/>
                            <w:sz w:val="20"/>
                          </w:rPr>
                        </w:pPr>
                        <w:r>
                          <w:rPr>
                            <w:b/>
                            <w:color w:val="231F20"/>
                            <w:sz w:val="20"/>
                          </w:rPr>
                          <w:t>700 A/C</w:t>
                        </w:r>
                      </w:p>
                    </w:tc>
                    <w:tc>
                      <w:tcPr>
                        <w:tcW w:w="962" w:type="dxa"/>
                        <w:tcBorders>
                          <w:bottom w:val="single" w:sz="8" w:space="0" w:color="231F20"/>
                        </w:tcBorders>
                      </w:tcPr>
                      <w:p>
                        <w:pPr>
                          <w:pStyle w:val="TableParagraph"/>
                          <w:spacing w:line="229" w:lineRule="exact" w:before="0"/>
                          <w:ind w:right="186"/>
                          <w:jc w:val="right"/>
                          <w:rPr>
                            <w:b/>
                            <w:sz w:val="20"/>
                          </w:rPr>
                        </w:pPr>
                        <w:r>
                          <w:rPr>
                            <w:b/>
                            <w:color w:val="231F20"/>
                            <w:sz w:val="20"/>
                          </w:rPr>
                          <w:t>Orders</w:t>
                        </w:r>
                      </w:p>
                    </w:tc>
                    <w:tc>
                      <w:tcPr>
                        <w:tcW w:w="850" w:type="dxa"/>
                        <w:tcBorders>
                          <w:bottom w:val="single" w:sz="8" w:space="0" w:color="231F20"/>
                        </w:tcBorders>
                      </w:tcPr>
                      <w:p>
                        <w:pPr>
                          <w:pStyle w:val="TableParagraph"/>
                          <w:spacing w:line="229" w:lineRule="exact" w:before="0"/>
                          <w:ind w:right="74"/>
                          <w:jc w:val="right"/>
                          <w:rPr>
                            <w:b/>
                            <w:sz w:val="20"/>
                          </w:rPr>
                        </w:pPr>
                        <w:r>
                          <w:rPr>
                            <w:b/>
                            <w:color w:val="231F20"/>
                            <w:sz w:val="20"/>
                          </w:rPr>
                          <w:t>Orders</w:t>
                        </w:r>
                      </w:p>
                    </w:tc>
                    <w:tc>
                      <w:tcPr>
                        <w:tcW w:w="1079" w:type="dxa"/>
                        <w:tcBorders>
                          <w:bottom w:val="single" w:sz="8" w:space="0" w:color="231F20"/>
                        </w:tcBorders>
                      </w:tcPr>
                      <w:p>
                        <w:pPr>
                          <w:pStyle w:val="TableParagraph"/>
                          <w:spacing w:line="229" w:lineRule="exact" w:before="0"/>
                          <w:ind w:right="149"/>
                          <w:jc w:val="right"/>
                          <w:rPr>
                            <w:b/>
                            <w:sz w:val="20"/>
                          </w:rPr>
                        </w:pPr>
                        <w:r>
                          <w:rPr>
                            <w:b/>
                            <w:color w:val="231F20"/>
                            <w:w w:val="95"/>
                            <w:sz w:val="20"/>
                          </w:rPr>
                          <w:t>Options</w:t>
                        </w:r>
                      </w:p>
                    </w:tc>
                    <w:tc>
                      <w:tcPr>
                        <w:tcW w:w="666" w:type="dxa"/>
                        <w:tcBorders>
                          <w:bottom w:val="single" w:sz="8" w:space="0" w:color="231F20"/>
                        </w:tcBorders>
                      </w:tcPr>
                      <w:p>
                        <w:pPr>
                          <w:pStyle w:val="TableParagraph"/>
                          <w:spacing w:line="229" w:lineRule="exact" w:before="0"/>
                          <w:ind w:right="58"/>
                          <w:jc w:val="right"/>
                          <w:rPr>
                            <w:b/>
                            <w:sz w:val="20"/>
                          </w:rPr>
                        </w:pPr>
                        <w:r>
                          <w:rPr>
                            <w:b/>
                            <w:color w:val="231F20"/>
                            <w:sz w:val="20"/>
                          </w:rPr>
                          <w:t>Total</w:t>
                        </w:r>
                      </w:p>
                    </w:tc>
                  </w:tr>
                  <w:tr>
                    <w:trPr>
                      <w:trHeight w:val="280" w:hRule="exact"/>
                    </w:trPr>
                    <w:tc>
                      <w:tcPr>
                        <w:tcW w:w="1369" w:type="dxa"/>
                        <w:shd w:val="clear" w:color="auto" w:fill="CCECFC"/>
                      </w:tcPr>
                      <w:p>
                        <w:pPr>
                          <w:pStyle w:val="TableParagraph"/>
                          <w:spacing w:before="33"/>
                          <w:ind w:left="60"/>
                          <w:rPr>
                            <w:sz w:val="20"/>
                          </w:rPr>
                        </w:pPr>
                        <w:r>
                          <w:rPr>
                            <w:color w:val="231F20"/>
                            <w:sz w:val="20"/>
                          </w:rPr>
                          <w:t>2015</w:t>
                        </w:r>
                      </w:p>
                    </w:tc>
                    <w:tc>
                      <w:tcPr>
                        <w:tcW w:w="862" w:type="dxa"/>
                        <w:tcBorders>
                          <w:top w:val="single" w:sz="8" w:space="0" w:color="231F20"/>
                        </w:tcBorders>
                        <w:shd w:val="clear" w:color="auto" w:fill="CCECFC"/>
                      </w:tcPr>
                      <w:p>
                        <w:pPr>
                          <w:pStyle w:val="TableParagraph"/>
                          <w:spacing w:before="23"/>
                          <w:ind w:right="48"/>
                          <w:jc w:val="right"/>
                          <w:rPr>
                            <w:sz w:val="20"/>
                          </w:rPr>
                        </w:pPr>
                        <w:r>
                          <w:rPr>
                            <w:color w:val="231F20"/>
                            <w:sz w:val="20"/>
                          </w:rPr>
                          <w:t>—</w:t>
                        </w:r>
                      </w:p>
                    </w:tc>
                    <w:tc>
                      <w:tcPr>
                        <w:tcW w:w="1012" w:type="dxa"/>
                        <w:tcBorders>
                          <w:top w:val="single" w:sz="8" w:space="0" w:color="231F20"/>
                        </w:tcBorders>
                        <w:shd w:val="clear" w:color="auto" w:fill="CCECFC"/>
                      </w:tcPr>
                      <w:p>
                        <w:pPr>
                          <w:pStyle w:val="TableParagraph"/>
                          <w:spacing w:before="23"/>
                          <w:ind w:right="148"/>
                          <w:jc w:val="right"/>
                          <w:rPr>
                            <w:sz w:val="20"/>
                          </w:rPr>
                        </w:pPr>
                        <w:r>
                          <w:rPr>
                            <w:color w:val="231F20"/>
                            <w:sz w:val="20"/>
                          </w:rPr>
                          <w:t>19</w:t>
                        </w:r>
                      </w:p>
                    </w:tc>
                    <w:tc>
                      <w:tcPr>
                        <w:tcW w:w="1062" w:type="dxa"/>
                        <w:tcBorders>
                          <w:top w:val="single" w:sz="8" w:space="0" w:color="231F20"/>
                        </w:tcBorders>
                        <w:shd w:val="clear" w:color="auto" w:fill="CCECFC"/>
                      </w:tcPr>
                      <w:p>
                        <w:pPr>
                          <w:pStyle w:val="TableParagraph"/>
                          <w:spacing w:before="23"/>
                          <w:ind w:right="231"/>
                          <w:jc w:val="right"/>
                          <w:rPr>
                            <w:sz w:val="20"/>
                          </w:rPr>
                        </w:pPr>
                        <w:r>
                          <w:rPr>
                            <w:color w:val="231F20"/>
                            <w:sz w:val="20"/>
                          </w:rPr>
                          <w:t>—</w:t>
                        </w:r>
                      </w:p>
                    </w:tc>
                    <w:tc>
                      <w:tcPr>
                        <w:tcW w:w="1258" w:type="dxa"/>
                        <w:tcBorders>
                          <w:top w:val="single" w:sz="8" w:space="0" w:color="231F20"/>
                        </w:tcBorders>
                        <w:shd w:val="clear" w:color="auto" w:fill="CCECFC"/>
                      </w:tcPr>
                      <w:p>
                        <w:pPr>
                          <w:pStyle w:val="TableParagraph"/>
                          <w:spacing w:before="23"/>
                          <w:ind w:right="160"/>
                          <w:jc w:val="right"/>
                          <w:rPr>
                            <w:sz w:val="20"/>
                          </w:rPr>
                        </w:pPr>
                        <w:r>
                          <w:rPr>
                            <w:color w:val="231F20"/>
                            <w:sz w:val="20"/>
                          </w:rPr>
                          <w:t>16</w:t>
                        </w:r>
                      </w:p>
                    </w:tc>
                    <w:tc>
                      <w:tcPr>
                        <w:tcW w:w="962" w:type="dxa"/>
                        <w:tcBorders>
                          <w:top w:val="single" w:sz="8" w:space="0" w:color="231F20"/>
                        </w:tcBorders>
                        <w:shd w:val="clear" w:color="auto" w:fill="CCECFC"/>
                      </w:tcPr>
                      <w:p>
                        <w:pPr>
                          <w:pStyle w:val="TableParagraph"/>
                          <w:spacing w:before="23"/>
                          <w:ind w:right="160"/>
                          <w:jc w:val="right"/>
                          <w:rPr>
                            <w:sz w:val="20"/>
                          </w:rPr>
                        </w:pPr>
                        <w:r>
                          <w:rPr>
                            <w:color w:val="231F20"/>
                            <w:sz w:val="20"/>
                          </w:rPr>
                          <w:t>—</w:t>
                        </w:r>
                      </w:p>
                    </w:tc>
                    <w:tc>
                      <w:tcPr>
                        <w:tcW w:w="850" w:type="dxa"/>
                        <w:tcBorders>
                          <w:top w:val="single" w:sz="8" w:space="0" w:color="231F20"/>
                        </w:tcBorders>
                        <w:shd w:val="clear" w:color="auto" w:fill="CCECFC"/>
                      </w:tcPr>
                      <w:p>
                        <w:pPr>
                          <w:pStyle w:val="TableParagraph"/>
                          <w:spacing w:before="23"/>
                          <w:ind w:right="48"/>
                          <w:jc w:val="right"/>
                          <w:rPr>
                            <w:sz w:val="20"/>
                          </w:rPr>
                        </w:pPr>
                        <w:r>
                          <w:rPr>
                            <w:color w:val="231F20"/>
                            <w:sz w:val="20"/>
                          </w:rPr>
                          <w:t>—</w:t>
                        </w:r>
                      </w:p>
                    </w:tc>
                    <w:tc>
                      <w:tcPr>
                        <w:tcW w:w="1079" w:type="dxa"/>
                        <w:tcBorders>
                          <w:top w:val="single" w:sz="8" w:space="0" w:color="231F20"/>
                        </w:tcBorders>
                        <w:shd w:val="clear" w:color="auto" w:fill="CCECFC"/>
                      </w:tcPr>
                      <w:p>
                        <w:pPr>
                          <w:pStyle w:val="TableParagraph"/>
                          <w:spacing w:before="23"/>
                          <w:ind w:right="148"/>
                          <w:jc w:val="right"/>
                          <w:rPr>
                            <w:sz w:val="20"/>
                          </w:rPr>
                        </w:pPr>
                        <w:r>
                          <w:rPr>
                            <w:color w:val="231F20"/>
                            <w:sz w:val="20"/>
                          </w:rPr>
                          <w:t>—</w:t>
                        </w:r>
                      </w:p>
                    </w:tc>
                    <w:tc>
                      <w:tcPr>
                        <w:tcW w:w="666" w:type="dxa"/>
                        <w:tcBorders>
                          <w:top w:val="single" w:sz="8" w:space="0" w:color="231F20"/>
                        </w:tcBorders>
                        <w:shd w:val="clear" w:color="auto" w:fill="CCECFC"/>
                      </w:tcPr>
                      <w:p>
                        <w:pPr>
                          <w:pStyle w:val="TableParagraph"/>
                          <w:spacing w:before="23"/>
                          <w:ind w:right="59"/>
                          <w:jc w:val="right"/>
                          <w:rPr>
                            <w:sz w:val="20"/>
                          </w:rPr>
                        </w:pPr>
                        <w:r>
                          <w:rPr>
                            <w:color w:val="231F20"/>
                            <w:sz w:val="20"/>
                          </w:rPr>
                          <w:t>35</w:t>
                        </w:r>
                      </w:p>
                    </w:tc>
                  </w:tr>
                  <w:tr>
                    <w:trPr>
                      <w:trHeight w:val="280" w:hRule="exact"/>
                    </w:trPr>
                    <w:tc>
                      <w:tcPr>
                        <w:tcW w:w="1369" w:type="dxa"/>
                      </w:tcPr>
                      <w:p>
                        <w:pPr>
                          <w:pStyle w:val="TableParagraph"/>
                          <w:spacing w:before="33"/>
                          <w:ind w:left="60"/>
                          <w:rPr>
                            <w:sz w:val="20"/>
                          </w:rPr>
                        </w:pPr>
                        <w:r>
                          <w:rPr>
                            <w:color w:val="231F20"/>
                            <w:sz w:val="20"/>
                          </w:rPr>
                          <w:t>2016</w:t>
                        </w:r>
                      </w:p>
                    </w:tc>
                    <w:tc>
                      <w:tcPr>
                        <w:tcW w:w="862" w:type="dxa"/>
                      </w:tcPr>
                      <w:p>
                        <w:pPr>
                          <w:pStyle w:val="TableParagraph"/>
                          <w:spacing w:before="33"/>
                          <w:ind w:right="48"/>
                          <w:jc w:val="right"/>
                          <w:rPr>
                            <w:sz w:val="20"/>
                          </w:rPr>
                        </w:pPr>
                        <w:r>
                          <w:rPr>
                            <w:color w:val="231F20"/>
                            <w:sz w:val="20"/>
                          </w:rPr>
                          <w:t>31</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11</w:t>
                        </w:r>
                      </w:p>
                    </w:tc>
                    <w:tc>
                      <w:tcPr>
                        <w:tcW w:w="1258" w:type="dxa"/>
                      </w:tcPr>
                      <w:p>
                        <w:pPr>
                          <w:pStyle w:val="TableParagraph"/>
                          <w:spacing w:before="33"/>
                          <w:ind w:right="160"/>
                          <w:jc w:val="right"/>
                          <w:rPr>
                            <w:sz w:val="20"/>
                          </w:rPr>
                        </w:pPr>
                        <w:r>
                          <w:rPr>
                            <w:color w:val="231F20"/>
                            <w:sz w:val="20"/>
                          </w:rPr>
                          <w:t>4</w:t>
                        </w:r>
                      </w:p>
                    </w:tc>
                    <w:tc>
                      <w:tcPr>
                        <w:tcW w:w="962" w:type="dxa"/>
                      </w:tcPr>
                      <w:p>
                        <w:pPr>
                          <w:pStyle w:val="TableParagraph"/>
                          <w:spacing w:before="33"/>
                          <w:ind w:right="160"/>
                          <w:jc w:val="right"/>
                          <w:rPr>
                            <w:sz w:val="20"/>
                          </w:rPr>
                        </w:pPr>
                        <w:r>
                          <w:rPr>
                            <w:color w:val="231F20"/>
                            <w:sz w:val="20"/>
                          </w:rPr>
                          <w:t>—</w:t>
                        </w:r>
                      </w:p>
                    </w:tc>
                    <w:tc>
                      <w:tcPr>
                        <w:tcW w:w="850" w:type="dxa"/>
                      </w:tcPr>
                      <w:p>
                        <w:pPr>
                          <w:pStyle w:val="TableParagraph"/>
                          <w:spacing w:before="33"/>
                          <w:ind w:right="48"/>
                          <w:jc w:val="right"/>
                          <w:rPr>
                            <w:sz w:val="20"/>
                          </w:rPr>
                        </w:pPr>
                        <w:r>
                          <w:rPr>
                            <w:color w:val="231F20"/>
                            <w:sz w:val="20"/>
                          </w:rPr>
                          <w:t>—</w:t>
                        </w:r>
                      </w:p>
                    </w:tc>
                    <w:tc>
                      <w:tcPr>
                        <w:tcW w:w="1079" w:type="dxa"/>
                      </w:tcPr>
                      <w:p>
                        <w:pPr>
                          <w:pStyle w:val="TableParagraph"/>
                          <w:spacing w:before="33"/>
                          <w:ind w:right="148"/>
                          <w:jc w:val="right"/>
                          <w:rPr>
                            <w:sz w:val="20"/>
                          </w:rPr>
                        </w:pPr>
                        <w:r>
                          <w:rPr>
                            <w:color w:val="231F20"/>
                            <w:sz w:val="20"/>
                          </w:rPr>
                          <w:t>—</w:t>
                        </w:r>
                      </w:p>
                    </w:tc>
                    <w:tc>
                      <w:tcPr>
                        <w:tcW w:w="666" w:type="dxa"/>
                      </w:tcPr>
                      <w:p>
                        <w:pPr>
                          <w:pStyle w:val="TableParagraph"/>
                          <w:spacing w:before="33"/>
                          <w:ind w:right="59"/>
                          <w:jc w:val="right"/>
                          <w:rPr>
                            <w:sz w:val="20"/>
                          </w:rPr>
                        </w:pPr>
                        <w:r>
                          <w:rPr>
                            <w:color w:val="231F20"/>
                            <w:sz w:val="20"/>
                          </w:rPr>
                          <w:t>46</w:t>
                        </w:r>
                      </w:p>
                    </w:tc>
                  </w:tr>
                  <w:tr>
                    <w:trPr>
                      <w:trHeight w:val="280" w:hRule="exact"/>
                    </w:trPr>
                    <w:tc>
                      <w:tcPr>
                        <w:tcW w:w="1369" w:type="dxa"/>
                        <w:shd w:val="clear" w:color="auto" w:fill="CCECFC"/>
                      </w:tcPr>
                      <w:p>
                        <w:pPr>
                          <w:pStyle w:val="TableParagraph"/>
                          <w:spacing w:before="33"/>
                          <w:ind w:left="60"/>
                          <w:rPr>
                            <w:sz w:val="20"/>
                          </w:rPr>
                        </w:pPr>
                        <w:r>
                          <w:rPr>
                            <w:color w:val="231F20"/>
                            <w:sz w:val="20"/>
                          </w:rPr>
                          <w:t>2017</w:t>
                        </w:r>
                      </w:p>
                    </w:tc>
                    <w:tc>
                      <w:tcPr>
                        <w:tcW w:w="862" w:type="dxa"/>
                        <w:shd w:val="clear" w:color="auto" w:fill="CCECFC"/>
                      </w:tcPr>
                      <w:p>
                        <w:pPr>
                          <w:pStyle w:val="TableParagraph"/>
                          <w:spacing w:before="33"/>
                          <w:ind w:right="48"/>
                          <w:jc w:val="right"/>
                          <w:rPr>
                            <w:sz w:val="20"/>
                          </w:rPr>
                        </w:pPr>
                        <w:r>
                          <w:rPr>
                            <w:color w:val="231F20"/>
                            <w:sz w:val="20"/>
                          </w:rPr>
                          <w:t>15</w:t>
                        </w:r>
                      </w:p>
                    </w:tc>
                    <w:tc>
                      <w:tcPr>
                        <w:tcW w:w="1012" w:type="dxa"/>
                        <w:shd w:val="clear" w:color="auto" w:fill="CCECFC"/>
                      </w:tcPr>
                      <w:p>
                        <w:pPr>
                          <w:pStyle w:val="TableParagraph"/>
                          <w:spacing w:before="33"/>
                          <w:ind w:right="148"/>
                          <w:jc w:val="right"/>
                          <w:rPr>
                            <w:sz w:val="20"/>
                          </w:rPr>
                        </w:pPr>
                        <w:r>
                          <w:rPr>
                            <w:color w:val="231F20"/>
                            <w:sz w:val="20"/>
                          </w:rPr>
                          <w:t>—</w:t>
                        </w:r>
                      </w:p>
                    </w:tc>
                    <w:tc>
                      <w:tcPr>
                        <w:tcW w:w="1062" w:type="dxa"/>
                        <w:shd w:val="clear" w:color="auto" w:fill="CCECFC"/>
                      </w:tcPr>
                      <w:p>
                        <w:pPr>
                          <w:pStyle w:val="TableParagraph"/>
                          <w:spacing w:before="33"/>
                          <w:ind w:right="231"/>
                          <w:jc w:val="right"/>
                          <w:rPr>
                            <w:sz w:val="20"/>
                          </w:rPr>
                        </w:pPr>
                        <w:r>
                          <w:rPr>
                            <w:color w:val="231F20"/>
                            <w:sz w:val="20"/>
                          </w:rPr>
                          <w:t>12</w:t>
                        </w:r>
                      </w:p>
                    </w:tc>
                    <w:tc>
                      <w:tcPr>
                        <w:tcW w:w="1258" w:type="dxa"/>
                        <w:shd w:val="clear" w:color="auto" w:fill="CCECFC"/>
                      </w:tcPr>
                      <w:p>
                        <w:pPr>
                          <w:pStyle w:val="TableParagraph"/>
                          <w:spacing w:before="33"/>
                          <w:ind w:right="160"/>
                          <w:jc w:val="right"/>
                          <w:rPr>
                            <w:sz w:val="20"/>
                          </w:rPr>
                        </w:pPr>
                        <w:r>
                          <w:rPr>
                            <w:color w:val="231F20"/>
                            <w:sz w:val="20"/>
                          </w:rPr>
                          <w:t>—</w:t>
                        </w:r>
                      </w:p>
                    </w:tc>
                    <w:tc>
                      <w:tcPr>
                        <w:tcW w:w="962" w:type="dxa"/>
                        <w:shd w:val="clear" w:color="auto" w:fill="CCECFC"/>
                      </w:tcPr>
                      <w:p>
                        <w:pPr>
                          <w:pStyle w:val="TableParagraph"/>
                          <w:spacing w:before="33"/>
                          <w:ind w:right="160"/>
                          <w:jc w:val="right"/>
                          <w:rPr>
                            <w:sz w:val="20"/>
                          </w:rPr>
                        </w:pPr>
                        <w:r>
                          <w:rPr>
                            <w:color w:val="231F20"/>
                            <w:sz w:val="20"/>
                          </w:rPr>
                          <w:t>—</w:t>
                        </w:r>
                      </w:p>
                    </w:tc>
                    <w:tc>
                      <w:tcPr>
                        <w:tcW w:w="850" w:type="dxa"/>
                        <w:shd w:val="clear" w:color="auto" w:fill="CCECFC"/>
                      </w:tcPr>
                      <w:p>
                        <w:pPr>
                          <w:pStyle w:val="TableParagraph"/>
                          <w:spacing w:before="33"/>
                          <w:ind w:right="48"/>
                          <w:jc w:val="right"/>
                          <w:rPr>
                            <w:sz w:val="20"/>
                          </w:rPr>
                        </w:pPr>
                        <w:r>
                          <w:rPr>
                            <w:color w:val="231F20"/>
                            <w:sz w:val="20"/>
                          </w:rPr>
                          <w:t>14</w:t>
                        </w:r>
                      </w:p>
                    </w:tc>
                    <w:tc>
                      <w:tcPr>
                        <w:tcW w:w="1079" w:type="dxa"/>
                        <w:shd w:val="clear" w:color="auto" w:fill="CCECFC"/>
                      </w:tcPr>
                      <w:p>
                        <w:pPr>
                          <w:pStyle w:val="TableParagraph"/>
                          <w:spacing w:before="33"/>
                          <w:ind w:right="148"/>
                          <w:jc w:val="right"/>
                          <w:rPr>
                            <w:sz w:val="20"/>
                          </w:rPr>
                        </w:pPr>
                        <w:r>
                          <w:rPr>
                            <w:color w:val="231F20"/>
                            <w:sz w:val="20"/>
                          </w:rPr>
                          <w:t>—</w:t>
                        </w:r>
                      </w:p>
                    </w:tc>
                    <w:tc>
                      <w:tcPr>
                        <w:tcW w:w="666" w:type="dxa"/>
                        <w:shd w:val="clear" w:color="auto" w:fill="CCECFC"/>
                      </w:tcPr>
                      <w:p>
                        <w:pPr>
                          <w:pStyle w:val="TableParagraph"/>
                          <w:spacing w:before="33"/>
                          <w:ind w:right="59"/>
                          <w:jc w:val="right"/>
                          <w:rPr>
                            <w:sz w:val="20"/>
                          </w:rPr>
                        </w:pPr>
                        <w:r>
                          <w:rPr>
                            <w:color w:val="231F20"/>
                            <w:sz w:val="20"/>
                          </w:rPr>
                          <w:t>41</w:t>
                        </w:r>
                      </w:p>
                    </w:tc>
                  </w:tr>
                  <w:tr>
                    <w:trPr>
                      <w:trHeight w:val="280" w:hRule="exact"/>
                    </w:trPr>
                    <w:tc>
                      <w:tcPr>
                        <w:tcW w:w="1369" w:type="dxa"/>
                      </w:tcPr>
                      <w:p>
                        <w:pPr>
                          <w:pStyle w:val="TableParagraph"/>
                          <w:spacing w:before="33"/>
                          <w:ind w:left="60"/>
                          <w:rPr>
                            <w:sz w:val="20"/>
                          </w:rPr>
                        </w:pPr>
                        <w:r>
                          <w:rPr>
                            <w:color w:val="231F20"/>
                            <w:sz w:val="20"/>
                          </w:rPr>
                          <w:t>2018</w:t>
                        </w:r>
                      </w:p>
                    </w:tc>
                    <w:tc>
                      <w:tcPr>
                        <w:tcW w:w="862" w:type="dxa"/>
                      </w:tcPr>
                      <w:p>
                        <w:pPr>
                          <w:pStyle w:val="TableParagraph"/>
                          <w:spacing w:before="33"/>
                          <w:ind w:right="48"/>
                          <w:jc w:val="right"/>
                          <w:rPr>
                            <w:sz w:val="20"/>
                          </w:rPr>
                        </w:pPr>
                        <w:r>
                          <w:rPr>
                            <w:color w:val="231F20"/>
                            <w:sz w:val="20"/>
                          </w:rPr>
                          <w:t>10</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12</w:t>
                        </w:r>
                      </w:p>
                    </w:tc>
                    <w:tc>
                      <w:tcPr>
                        <w:tcW w:w="1258" w:type="dxa"/>
                      </w:tcPr>
                      <w:p>
                        <w:pPr>
                          <w:pStyle w:val="TableParagraph"/>
                          <w:spacing w:before="33"/>
                          <w:ind w:right="160"/>
                          <w:jc w:val="right"/>
                          <w:rPr>
                            <w:sz w:val="20"/>
                          </w:rPr>
                        </w:pPr>
                        <w:r>
                          <w:rPr>
                            <w:color w:val="231F20"/>
                            <w:sz w:val="20"/>
                          </w:rPr>
                          <w:t>—</w:t>
                        </w:r>
                      </w:p>
                    </w:tc>
                    <w:tc>
                      <w:tcPr>
                        <w:tcW w:w="962" w:type="dxa"/>
                      </w:tcPr>
                      <w:p>
                        <w:pPr>
                          <w:pStyle w:val="TableParagraph"/>
                          <w:spacing w:before="33"/>
                          <w:ind w:right="160"/>
                          <w:jc w:val="right"/>
                          <w:rPr>
                            <w:sz w:val="20"/>
                          </w:rPr>
                        </w:pPr>
                        <w:r>
                          <w:rPr>
                            <w:color w:val="231F20"/>
                            <w:sz w:val="20"/>
                          </w:rPr>
                          <w:t>—</w:t>
                        </w:r>
                      </w:p>
                    </w:tc>
                    <w:tc>
                      <w:tcPr>
                        <w:tcW w:w="850" w:type="dxa"/>
                      </w:tcPr>
                      <w:p>
                        <w:pPr>
                          <w:pStyle w:val="TableParagraph"/>
                          <w:spacing w:before="33"/>
                          <w:ind w:right="48"/>
                          <w:jc w:val="right"/>
                          <w:rPr>
                            <w:sz w:val="20"/>
                          </w:rPr>
                        </w:pPr>
                        <w:r>
                          <w:rPr>
                            <w:color w:val="231F20"/>
                            <w:sz w:val="20"/>
                          </w:rPr>
                          <w:t>13</w:t>
                        </w:r>
                      </w:p>
                    </w:tc>
                    <w:tc>
                      <w:tcPr>
                        <w:tcW w:w="1079" w:type="dxa"/>
                      </w:tcPr>
                      <w:p>
                        <w:pPr>
                          <w:pStyle w:val="TableParagraph"/>
                          <w:spacing w:before="33"/>
                          <w:ind w:right="148"/>
                          <w:jc w:val="right"/>
                          <w:rPr>
                            <w:sz w:val="20"/>
                          </w:rPr>
                        </w:pPr>
                        <w:r>
                          <w:rPr>
                            <w:color w:val="231F20"/>
                            <w:sz w:val="20"/>
                          </w:rPr>
                          <w:t>—</w:t>
                        </w:r>
                      </w:p>
                    </w:tc>
                    <w:tc>
                      <w:tcPr>
                        <w:tcW w:w="666" w:type="dxa"/>
                      </w:tcPr>
                      <w:p>
                        <w:pPr>
                          <w:pStyle w:val="TableParagraph"/>
                          <w:spacing w:before="33"/>
                          <w:ind w:right="59"/>
                          <w:jc w:val="right"/>
                          <w:rPr>
                            <w:sz w:val="20"/>
                          </w:rPr>
                        </w:pPr>
                        <w:r>
                          <w:rPr>
                            <w:color w:val="231F20"/>
                            <w:sz w:val="20"/>
                          </w:rPr>
                          <w:t>35</w:t>
                        </w:r>
                      </w:p>
                    </w:tc>
                  </w:tr>
                  <w:tr>
                    <w:trPr>
                      <w:trHeight w:val="280" w:hRule="exact"/>
                    </w:trPr>
                    <w:tc>
                      <w:tcPr>
                        <w:tcW w:w="1369" w:type="dxa"/>
                        <w:shd w:val="clear" w:color="auto" w:fill="CCECFC"/>
                      </w:tcPr>
                      <w:p>
                        <w:pPr>
                          <w:pStyle w:val="TableParagraph"/>
                          <w:spacing w:before="33"/>
                          <w:ind w:left="60"/>
                          <w:rPr>
                            <w:sz w:val="20"/>
                          </w:rPr>
                        </w:pPr>
                        <w:r>
                          <w:rPr>
                            <w:color w:val="231F20"/>
                            <w:sz w:val="20"/>
                          </w:rPr>
                          <w:t>2019</w:t>
                        </w:r>
                      </w:p>
                    </w:tc>
                    <w:tc>
                      <w:tcPr>
                        <w:tcW w:w="862" w:type="dxa"/>
                        <w:shd w:val="clear" w:color="auto" w:fill="CCECFC"/>
                      </w:tcPr>
                      <w:p>
                        <w:pPr>
                          <w:pStyle w:val="TableParagraph"/>
                          <w:spacing w:before="33"/>
                          <w:ind w:right="48"/>
                          <w:jc w:val="right"/>
                          <w:rPr>
                            <w:sz w:val="20"/>
                          </w:rPr>
                        </w:pPr>
                        <w:r>
                          <w:rPr>
                            <w:color w:val="231F20"/>
                            <w:sz w:val="20"/>
                          </w:rPr>
                          <w:t>—</w:t>
                        </w:r>
                      </w:p>
                    </w:tc>
                    <w:tc>
                      <w:tcPr>
                        <w:tcW w:w="1012" w:type="dxa"/>
                        <w:shd w:val="clear" w:color="auto" w:fill="CCECFC"/>
                      </w:tcPr>
                      <w:p>
                        <w:pPr>
                          <w:pStyle w:val="TableParagraph"/>
                          <w:spacing w:before="33"/>
                          <w:ind w:right="148"/>
                          <w:jc w:val="right"/>
                          <w:rPr>
                            <w:sz w:val="20"/>
                          </w:rPr>
                        </w:pPr>
                        <w:r>
                          <w:rPr>
                            <w:color w:val="231F20"/>
                            <w:sz w:val="20"/>
                          </w:rPr>
                          <w:t>—</w:t>
                        </w:r>
                      </w:p>
                    </w:tc>
                    <w:tc>
                      <w:tcPr>
                        <w:tcW w:w="1062" w:type="dxa"/>
                        <w:shd w:val="clear" w:color="auto" w:fill="CCECFC"/>
                      </w:tcPr>
                      <w:p>
                        <w:pPr>
                          <w:pStyle w:val="TableParagraph"/>
                          <w:spacing w:before="33"/>
                          <w:ind w:right="231"/>
                          <w:jc w:val="right"/>
                          <w:rPr>
                            <w:sz w:val="20"/>
                          </w:rPr>
                        </w:pPr>
                        <w:r>
                          <w:rPr>
                            <w:color w:val="231F20"/>
                            <w:sz w:val="20"/>
                          </w:rPr>
                          <w:t>—</w:t>
                        </w:r>
                      </w:p>
                    </w:tc>
                    <w:tc>
                      <w:tcPr>
                        <w:tcW w:w="1258" w:type="dxa"/>
                        <w:shd w:val="clear" w:color="auto" w:fill="CCECFC"/>
                      </w:tcPr>
                      <w:p>
                        <w:pPr>
                          <w:pStyle w:val="TableParagraph"/>
                          <w:spacing w:before="33"/>
                          <w:ind w:right="160"/>
                          <w:jc w:val="right"/>
                          <w:rPr>
                            <w:sz w:val="20"/>
                          </w:rPr>
                        </w:pPr>
                        <w:r>
                          <w:rPr>
                            <w:color w:val="231F20"/>
                            <w:sz w:val="20"/>
                          </w:rPr>
                          <w:t>—</w:t>
                        </w:r>
                      </w:p>
                    </w:tc>
                    <w:tc>
                      <w:tcPr>
                        <w:tcW w:w="962" w:type="dxa"/>
                        <w:shd w:val="clear" w:color="auto" w:fill="CCECFC"/>
                      </w:tcPr>
                      <w:p>
                        <w:pPr>
                          <w:pStyle w:val="TableParagraph"/>
                          <w:spacing w:before="33"/>
                          <w:ind w:right="160"/>
                          <w:jc w:val="right"/>
                          <w:rPr>
                            <w:sz w:val="20"/>
                          </w:rPr>
                        </w:pPr>
                        <w:r>
                          <w:rPr>
                            <w:color w:val="231F20"/>
                            <w:sz w:val="20"/>
                          </w:rPr>
                          <w:t>15</w:t>
                        </w:r>
                      </w:p>
                    </w:tc>
                    <w:tc>
                      <w:tcPr>
                        <w:tcW w:w="850" w:type="dxa"/>
                        <w:shd w:val="clear" w:color="auto" w:fill="CCECFC"/>
                      </w:tcPr>
                      <w:p>
                        <w:pPr>
                          <w:pStyle w:val="TableParagraph"/>
                          <w:spacing w:before="33"/>
                          <w:ind w:right="48"/>
                          <w:jc w:val="right"/>
                          <w:rPr>
                            <w:sz w:val="20"/>
                          </w:rPr>
                        </w:pPr>
                        <w:r>
                          <w:rPr>
                            <w:color w:val="231F20"/>
                            <w:sz w:val="20"/>
                          </w:rPr>
                          <w:t>10</w:t>
                        </w:r>
                      </w:p>
                    </w:tc>
                    <w:tc>
                      <w:tcPr>
                        <w:tcW w:w="1079" w:type="dxa"/>
                        <w:shd w:val="clear" w:color="auto" w:fill="CCECFC"/>
                      </w:tcPr>
                      <w:p>
                        <w:pPr>
                          <w:pStyle w:val="TableParagraph"/>
                          <w:spacing w:before="33"/>
                          <w:ind w:right="148"/>
                          <w:jc w:val="right"/>
                          <w:rPr>
                            <w:sz w:val="20"/>
                          </w:rPr>
                        </w:pPr>
                        <w:r>
                          <w:rPr>
                            <w:color w:val="231F20"/>
                            <w:sz w:val="20"/>
                          </w:rPr>
                          <w:t>—</w:t>
                        </w:r>
                      </w:p>
                    </w:tc>
                    <w:tc>
                      <w:tcPr>
                        <w:tcW w:w="666" w:type="dxa"/>
                        <w:shd w:val="clear" w:color="auto" w:fill="CCECFC"/>
                      </w:tcPr>
                      <w:p>
                        <w:pPr>
                          <w:pStyle w:val="TableParagraph"/>
                          <w:spacing w:before="33"/>
                          <w:ind w:right="59"/>
                          <w:jc w:val="right"/>
                          <w:rPr>
                            <w:sz w:val="20"/>
                          </w:rPr>
                        </w:pPr>
                        <w:r>
                          <w:rPr>
                            <w:color w:val="231F20"/>
                            <w:sz w:val="20"/>
                          </w:rPr>
                          <w:t>25</w:t>
                        </w:r>
                      </w:p>
                    </w:tc>
                  </w:tr>
                  <w:tr>
                    <w:trPr>
                      <w:trHeight w:val="280" w:hRule="exact"/>
                    </w:trPr>
                    <w:tc>
                      <w:tcPr>
                        <w:tcW w:w="1369" w:type="dxa"/>
                      </w:tcPr>
                      <w:p>
                        <w:pPr>
                          <w:pStyle w:val="TableParagraph"/>
                          <w:spacing w:before="33"/>
                          <w:ind w:left="60"/>
                          <w:rPr>
                            <w:sz w:val="20"/>
                          </w:rPr>
                        </w:pPr>
                        <w:r>
                          <w:rPr>
                            <w:color w:val="231F20"/>
                            <w:sz w:val="20"/>
                          </w:rPr>
                          <w:t>2020</w:t>
                        </w:r>
                      </w:p>
                    </w:tc>
                    <w:tc>
                      <w:tcPr>
                        <w:tcW w:w="862" w:type="dxa"/>
                      </w:tcPr>
                      <w:p>
                        <w:pPr>
                          <w:pStyle w:val="TableParagraph"/>
                          <w:spacing w:before="33"/>
                          <w:ind w:right="48"/>
                          <w:jc w:val="right"/>
                          <w:rPr>
                            <w:sz w:val="20"/>
                          </w:rPr>
                        </w:pPr>
                        <w:r>
                          <w:rPr>
                            <w:color w:val="231F20"/>
                            <w:sz w:val="20"/>
                          </w:rPr>
                          <w:t>—</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w:t>
                        </w:r>
                      </w:p>
                    </w:tc>
                    <w:tc>
                      <w:tcPr>
                        <w:tcW w:w="1258" w:type="dxa"/>
                      </w:tcPr>
                      <w:p>
                        <w:pPr>
                          <w:pStyle w:val="TableParagraph"/>
                          <w:spacing w:before="33"/>
                          <w:ind w:right="160"/>
                          <w:jc w:val="right"/>
                          <w:rPr>
                            <w:sz w:val="20"/>
                          </w:rPr>
                        </w:pPr>
                        <w:r>
                          <w:rPr>
                            <w:color w:val="231F20"/>
                            <w:sz w:val="20"/>
                          </w:rPr>
                          <w:t>—</w:t>
                        </w:r>
                      </w:p>
                    </w:tc>
                    <w:tc>
                      <w:tcPr>
                        <w:tcW w:w="962" w:type="dxa"/>
                      </w:tcPr>
                      <w:p>
                        <w:pPr>
                          <w:pStyle w:val="TableParagraph"/>
                          <w:spacing w:before="33"/>
                          <w:ind w:right="160"/>
                          <w:jc w:val="right"/>
                          <w:rPr>
                            <w:sz w:val="20"/>
                          </w:rPr>
                        </w:pPr>
                        <w:r>
                          <w:rPr>
                            <w:color w:val="231F20"/>
                            <w:sz w:val="20"/>
                          </w:rPr>
                          <w:t>14</w:t>
                        </w:r>
                      </w:p>
                    </w:tc>
                    <w:tc>
                      <w:tcPr>
                        <w:tcW w:w="850" w:type="dxa"/>
                      </w:tcPr>
                      <w:p>
                        <w:pPr>
                          <w:pStyle w:val="TableParagraph"/>
                          <w:spacing w:before="33"/>
                          <w:ind w:right="48"/>
                          <w:jc w:val="right"/>
                          <w:rPr>
                            <w:sz w:val="20"/>
                          </w:rPr>
                        </w:pPr>
                        <w:r>
                          <w:rPr>
                            <w:color w:val="231F20"/>
                            <w:sz w:val="20"/>
                          </w:rPr>
                          <w:t>22</w:t>
                        </w:r>
                      </w:p>
                    </w:tc>
                    <w:tc>
                      <w:tcPr>
                        <w:tcW w:w="1079" w:type="dxa"/>
                      </w:tcPr>
                      <w:p>
                        <w:pPr>
                          <w:pStyle w:val="TableParagraph"/>
                          <w:spacing w:before="33"/>
                          <w:ind w:right="148"/>
                          <w:jc w:val="right"/>
                          <w:rPr>
                            <w:sz w:val="20"/>
                          </w:rPr>
                        </w:pPr>
                        <w:r>
                          <w:rPr>
                            <w:color w:val="231F20"/>
                            <w:sz w:val="20"/>
                          </w:rPr>
                          <w:t>—</w:t>
                        </w:r>
                      </w:p>
                    </w:tc>
                    <w:tc>
                      <w:tcPr>
                        <w:tcW w:w="666" w:type="dxa"/>
                      </w:tcPr>
                      <w:p>
                        <w:pPr>
                          <w:pStyle w:val="TableParagraph"/>
                          <w:spacing w:before="33"/>
                          <w:ind w:right="59"/>
                          <w:jc w:val="right"/>
                          <w:rPr>
                            <w:sz w:val="20"/>
                          </w:rPr>
                        </w:pPr>
                        <w:r>
                          <w:rPr>
                            <w:color w:val="231F20"/>
                            <w:sz w:val="20"/>
                          </w:rPr>
                          <w:t>36</w:t>
                        </w:r>
                      </w:p>
                    </w:tc>
                  </w:tr>
                  <w:tr>
                    <w:trPr>
                      <w:trHeight w:val="280" w:hRule="exact"/>
                    </w:trPr>
                    <w:tc>
                      <w:tcPr>
                        <w:tcW w:w="1369" w:type="dxa"/>
                        <w:shd w:val="clear" w:color="auto" w:fill="CCECFC"/>
                      </w:tcPr>
                      <w:p>
                        <w:pPr>
                          <w:pStyle w:val="TableParagraph"/>
                          <w:spacing w:before="33"/>
                          <w:ind w:left="60"/>
                          <w:rPr>
                            <w:sz w:val="20"/>
                          </w:rPr>
                        </w:pPr>
                        <w:r>
                          <w:rPr>
                            <w:color w:val="231F20"/>
                            <w:sz w:val="20"/>
                          </w:rPr>
                          <w:t>2021</w:t>
                        </w:r>
                      </w:p>
                    </w:tc>
                    <w:tc>
                      <w:tcPr>
                        <w:tcW w:w="862" w:type="dxa"/>
                        <w:shd w:val="clear" w:color="auto" w:fill="CCECFC"/>
                      </w:tcPr>
                      <w:p>
                        <w:pPr>
                          <w:pStyle w:val="TableParagraph"/>
                          <w:spacing w:before="33"/>
                          <w:ind w:right="48"/>
                          <w:jc w:val="right"/>
                          <w:rPr>
                            <w:sz w:val="20"/>
                          </w:rPr>
                        </w:pPr>
                        <w:r>
                          <w:rPr>
                            <w:color w:val="231F20"/>
                            <w:sz w:val="20"/>
                          </w:rPr>
                          <w:t>—</w:t>
                        </w:r>
                      </w:p>
                    </w:tc>
                    <w:tc>
                      <w:tcPr>
                        <w:tcW w:w="1012" w:type="dxa"/>
                        <w:shd w:val="clear" w:color="auto" w:fill="CCECFC"/>
                      </w:tcPr>
                      <w:p>
                        <w:pPr>
                          <w:pStyle w:val="TableParagraph"/>
                          <w:spacing w:before="33"/>
                          <w:ind w:right="148"/>
                          <w:jc w:val="right"/>
                          <w:rPr>
                            <w:sz w:val="20"/>
                          </w:rPr>
                        </w:pPr>
                        <w:r>
                          <w:rPr>
                            <w:color w:val="231F20"/>
                            <w:sz w:val="20"/>
                          </w:rPr>
                          <w:t>—</w:t>
                        </w:r>
                      </w:p>
                    </w:tc>
                    <w:tc>
                      <w:tcPr>
                        <w:tcW w:w="1062" w:type="dxa"/>
                        <w:shd w:val="clear" w:color="auto" w:fill="CCECFC"/>
                      </w:tcPr>
                      <w:p>
                        <w:pPr>
                          <w:pStyle w:val="TableParagraph"/>
                          <w:spacing w:before="33"/>
                          <w:ind w:right="231"/>
                          <w:jc w:val="right"/>
                          <w:rPr>
                            <w:sz w:val="20"/>
                          </w:rPr>
                        </w:pPr>
                        <w:r>
                          <w:rPr>
                            <w:color w:val="231F20"/>
                            <w:sz w:val="20"/>
                          </w:rPr>
                          <w:t>—</w:t>
                        </w:r>
                      </w:p>
                    </w:tc>
                    <w:tc>
                      <w:tcPr>
                        <w:tcW w:w="1258" w:type="dxa"/>
                        <w:shd w:val="clear" w:color="auto" w:fill="CCECFC"/>
                      </w:tcPr>
                      <w:p>
                        <w:pPr>
                          <w:pStyle w:val="TableParagraph"/>
                          <w:spacing w:before="33"/>
                          <w:ind w:right="160"/>
                          <w:jc w:val="right"/>
                          <w:rPr>
                            <w:sz w:val="20"/>
                          </w:rPr>
                        </w:pPr>
                        <w:r>
                          <w:rPr>
                            <w:color w:val="231F20"/>
                            <w:sz w:val="20"/>
                          </w:rPr>
                          <w:t>—</w:t>
                        </w:r>
                      </w:p>
                    </w:tc>
                    <w:tc>
                      <w:tcPr>
                        <w:tcW w:w="962" w:type="dxa"/>
                        <w:shd w:val="clear" w:color="auto" w:fill="CCECFC"/>
                      </w:tcPr>
                      <w:p>
                        <w:pPr>
                          <w:pStyle w:val="TableParagraph"/>
                          <w:spacing w:before="33"/>
                          <w:ind w:right="160"/>
                          <w:jc w:val="right"/>
                          <w:rPr>
                            <w:sz w:val="20"/>
                          </w:rPr>
                        </w:pPr>
                        <w:r>
                          <w:rPr>
                            <w:color w:val="231F20"/>
                            <w:sz w:val="20"/>
                          </w:rPr>
                          <w:t>1</w:t>
                        </w:r>
                      </w:p>
                    </w:tc>
                    <w:tc>
                      <w:tcPr>
                        <w:tcW w:w="850" w:type="dxa"/>
                        <w:shd w:val="clear" w:color="auto" w:fill="CCECFC"/>
                      </w:tcPr>
                      <w:p>
                        <w:pPr>
                          <w:pStyle w:val="TableParagraph"/>
                          <w:spacing w:before="33"/>
                          <w:ind w:right="48"/>
                          <w:jc w:val="right"/>
                          <w:rPr>
                            <w:sz w:val="20"/>
                          </w:rPr>
                        </w:pPr>
                        <w:r>
                          <w:rPr>
                            <w:color w:val="231F20"/>
                            <w:sz w:val="20"/>
                          </w:rPr>
                          <w:t>33</w:t>
                        </w:r>
                      </w:p>
                    </w:tc>
                    <w:tc>
                      <w:tcPr>
                        <w:tcW w:w="1079" w:type="dxa"/>
                        <w:shd w:val="clear" w:color="auto" w:fill="CCECFC"/>
                      </w:tcPr>
                      <w:p>
                        <w:pPr>
                          <w:pStyle w:val="TableParagraph"/>
                          <w:spacing w:before="33"/>
                          <w:ind w:right="148"/>
                          <w:jc w:val="right"/>
                          <w:rPr>
                            <w:sz w:val="20"/>
                          </w:rPr>
                        </w:pPr>
                        <w:r>
                          <w:rPr>
                            <w:color w:val="231F20"/>
                            <w:sz w:val="20"/>
                          </w:rPr>
                          <w:t>18</w:t>
                        </w:r>
                      </w:p>
                    </w:tc>
                    <w:tc>
                      <w:tcPr>
                        <w:tcW w:w="666" w:type="dxa"/>
                        <w:shd w:val="clear" w:color="auto" w:fill="CCECFC"/>
                      </w:tcPr>
                      <w:p>
                        <w:pPr>
                          <w:pStyle w:val="TableParagraph"/>
                          <w:spacing w:before="33"/>
                          <w:ind w:right="59"/>
                          <w:jc w:val="right"/>
                          <w:rPr>
                            <w:sz w:val="20"/>
                          </w:rPr>
                        </w:pPr>
                        <w:r>
                          <w:rPr>
                            <w:color w:val="231F20"/>
                            <w:sz w:val="20"/>
                          </w:rPr>
                          <w:t>52</w:t>
                        </w:r>
                      </w:p>
                    </w:tc>
                  </w:tr>
                  <w:tr>
                    <w:trPr>
                      <w:trHeight w:val="280" w:hRule="exact"/>
                    </w:trPr>
                    <w:tc>
                      <w:tcPr>
                        <w:tcW w:w="1369" w:type="dxa"/>
                      </w:tcPr>
                      <w:p>
                        <w:pPr>
                          <w:pStyle w:val="TableParagraph"/>
                          <w:spacing w:before="33"/>
                          <w:ind w:left="60"/>
                          <w:rPr>
                            <w:sz w:val="20"/>
                          </w:rPr>
                        </w:pPr>
                        <w:r>
                          <w:rPr>
                            <w:color w:val="231F20"/>
                            <w:sz w:val="20"/>
                          </w:rPr>
                          <w:t>2022</w:t>
                        </w:r>
                      </w:p>
                    </w:tc>
                    <w:tc>
                      <w:tcPr>
                        <w:tcW w:w="862" w:type="dxa"/>
                      </w:tcPr>
                      <w:p>
                        <w:pPr>
                          <w:pStyle w:val="TableParagraph"/>
                          <w:spacing w:before="33"/>
                          <w:ind w:right="48"/>
                          <w:jc w:val="right"/>
                          <w:rPr>
                            <w:sz w:val="20"/>
                          </w:rPr>
                        </w:pPr>
                        <w:r>
                          <w:rPr>
                            <w:color w:val="231F20"/>
                            <w:sz w:val="20"/>
                          </w:rPr>
                          <w:t>—</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w:t>
                        </w:r>
                      </w:p>
                    </w:tc>
                    <w:tc>
                      <w:tcPr>
                        <w:tcW w:w="1258" w:type="dxa"/>
                      </w:tcPr>
                      <w:p>
                        <w:pPr>
                          <w:pStyle w:val="TableParagraph"/>
                          <w:spacing w:before="33"/>
                          <w:ind w:right="160"/>
                          <w:jc w:val="right"/>
                          <w:rPr>
                            <w:sz w:val="20"/>
                          </w:rPr>
                        </w:pPr>
                        <w:r>
                          <w:rPr>
                            <w:color w:val="231F20"/>
                            <w:sz w:val="20"/>
                          </w:rPr>
                          <w:t>—</w:t>
                        </w:r>
                      </w:p>
                    </w:tc>
                    <w:tc>
                      <w:tcPr>
                        <w:tcW w:w="962" w:type="dxa"/>
                      </w:tcPr>
                      <w:p>
                        <w:pPr>
                          <w:pStyle w:val="TableParagraph"/>
                          <w:spacing w:before="33"/>
                          <w:ind w:right="160"/>
                          <w:jc w:val="right"/>
                          <w:rPr>
                            <w:sz w:val="20"/>
                          </w:rPr>
                        </w:pPr>
                        <w:r>
                          <w:rPr>
                            <w:color w:val="231F20"/>
                            <w:sz w:val="20"/>
                          </w:rPr>
                          <w:t>—</w:t>
                        </w:r>
                      </w:p>
                    </w:tc>
                    <w:tc>
                      <w:tcPr>
                        <w:tcW w:w="850" w:type="dxa"/>
                      </w:tcPr>
                      <w:p>
                        <w:pPr>
                          <w:pStyle w:val="TableParagraph"/>
                          <w:spacing w:before="33"/>
                          <w:ind w:right="48"/>
                          <w:jc w:val="right"/>
                          <w:rPr>
                            <w:sz w:val="20"/>
                          </w:rPr>
                        </w:pPr>
                        <w:r>
                          <w:rPr>
                            <w:color w:val="231F20"/>
                            <w:sz w:val="20"/>
                          </w:rPr>
                          <w:t>30</w:t>
                        </w:r>
                      </w:p>
                    </w:tc>
                    <w:tc>
                      <w:tcPr>
                        <w:tcW w:w="1079" w:type="dxa"/>
                      </w:tcPr>
                      <w:p>
                        <w:pPr>
                          <w:pStyle w:val="TableParagraph"/>
                          <w:spacing w:before="33"/>
                          <w:ind w:right="148"/>
                          <w:jc w:val="right"/>
                          <w:rPr>
                            <w:sz w:val="20"/>
                          </w:rPr>
                        </w:pPr>
                        <w:r>
                          <w:rPr>
                            <w:color w:val="231F20"/>
                            <w:sz w:val="20"/>
                          </w:rPr>
                          <w:t>19</w:t>
                        </w:r>
                      </w:p>
                    </w:tc>
                    <w:tc>
                      <w:tcPr>
                        <w:tcW w:w="666" w:type="dxa"/>
                      </w:tcPr>
                      <w:p>
                        <w:pPr>
                          <w:pStyle w:val="TableParagraph"/>
                          <w:spacing w:before="33"/>
                          <w:ind w:right="59"/>
                          <w:jc w:val="right"/>
                          <w:rPr>
                            <w:sz w:val="20"/>
                          </w:rPr>
                        </w:pPr>
                        <w:r>
                          <w:rPr>
                            <w:color w:val="231F20"/>
                            <w:sz w:val="20"/>
                          </w:rPr>
                          <w:t>49</w:t>
                        </w:r>
                      </w:p>
                    </w:tc>
                  </w:tr>
                  <w:tr>
                    <w:trPr>
                      <w:trHeight w:val="280" w:hRule="exact"/>
                    </w:trPr>
                    <w:tc>
                      <w:tcPr>
                        <w:tcW w:w="1369" w:type="dxa"/>
                        <w:shd w:val="clear" w:color="auto" w:fill="CCECFC"/>
                      </w:tcPr>
                      <w:p>
                        <w:pPr>
                          <w:pStyle w:val="TableParagraph"/>
                          <w:spacing w:before="33"/>
                          <w:ind w:left="60"/>
                          <w:rPr>
                            <w:sz w:val="20"/>
                          </w:rPr>
                        </w:pPr>
                        <w:r>
                          <w:rPr>
                            <w:color w:val="231F20"/>
                            <w:sz w:val="20"/>
                          </w:rPr>
                          <w:t>2023</w:t>
                        </w:r>
                      </w:p>
                    </w:tc>
                    <w:tc>
                      <w:tcPr>
                        <w:tcW w:w="862" w:type="dxa"/>
                        <w:shd w:val="clear" w:color="auto" w:fill="CCECFC"/>
                      </w:tcPr>
                      <w:p>
                        <w:pPr>
                          <w:pStyle w:val="TableParagraph"/>
                          <w:spacing w:before="33"/>
                          <w:ind w:right="48"/>
                          <w:jc w:val="right"/>
                          <w:rPr>
                            <w:sz w:val="20"/>
                          </w:rPr>
                        </w:pPr>
                        <w:r>
                          <w:rPr>
                            <w:color w:val="231F20"/>
                            <w:sz w:val="20"/>
                          </w:rPr>
                          <w:t>—</w:t>
                        </w:r>
                      </w:p>
                    </w:tc>
                    <w:tc>
                      <w:tcPr>
                        <w:tcW w:w="1012" w:type="dxa"/>
                        <w:shd w:val="clear" w:color="auto" w:fill="CCECFC"/>
                      </w:tcPr>
                      <w:p>
                        <w:pPr>
                          <w:pStyle w:val="TableParagraph"/>
                          <w:spacing w:before="33"/>
                          <w:ind w:right="148"/>
                          <w:jc w:val="right"/>
                          <w:rPr>
                            <w:sz w:val="20"/>
                          </w:rPr>
                        </w:pPr>
                        <w:r>
                          <w:rPr>
                            <w:color w:val="231F20"/>
                            <w:sz w:val="20"/>
                          </w:rPr>
                          <w:t>—</w:t>
                        </w:r>
                      </w:p>
                    </w:tc>
                    <w:tc>
                      <w:tcPr>
                        <w:tcW w:w="1062" w:type="dxa"/>
                        <w:shd w:val="clear" w:color="auto" w:fill="CCECFC"/>
                      </w:tcPr>
                      <w:p>
                        <w:pPr>
                          <w:pStyle w:val="TableParagraph"/>
                          <w:spacing w:before="33"/>
                          <w:ind w:right="231"/>
                          <w:jc w:val="right"/>
                          <w:rPr>
                            <w:sz w:val="20"/>
                          </w:rPr>
                        </w:pPr>
                        <w:r>
                          <w:rPr>
                            <w:color w:val="231F20"/>
                            <w:sz w:val="20"/>
                          </w:rPr>
                          <w:t>—</w:t>
                        </w:r>
                      </w:p>
                    </w:tc>
                    <w:tc>
                      <w:tcPr>
                        <w:tcW w:w="1258" w:type="dxa"/>
                        <w:shd w:val="clear" w:color="auto" w:fill="CCECFC"/>
                      </w:tcPr>
                      <w:p>
                        <w:pPr>
                          <w:pStyle w:val="TableParagraph"/>
                          <w:spacing w:before="33"/>
                          <w:ind w:right="160"/>
                          <w:jc w:val="right"/>
                          <w:rPr>
                            <w:sz w:val="20"/>
                          </w:rPr>
                        </w:pPr>
                        <w:r>
                          <w:rPr>
                            <w:color w:val="231F20"/>
                            <w:sz w:val="20"/>
                          </w:rPr>
                          <w:t>—</w:t>
                        </w:r>
                      </w:p>
                    </w:tc>
                    <w:tc>
                      <w:tcPr>
                        <w:tcW w:w="962" w:type="dxa"/>
                        <w:shd w:val="clear" w:color="auto" w:fill="CCECFC"/>
                      </w:tcPr>
                      <w:p>
                        <w:pPr>
                          <w:pStyle w:val="TableParagraph"/>
                          <w:spacing w:before="33"/>
                          <w:ind w:right="160"/>
                          <w:jc w:val="right"/>
                          <w:rPr>
                            <w:sz w:val="20"/>
                          </w:rPr>
                        </w:pPr>
                        <w:r>
                          <w:rPr>
                            <w:color w:val="231F20"/>
                            <w:sz w:val="20"/>
                          </w:rPr>
                          <w:t>—</w:t>
                        </w:r>
                      </w:p>
                    </w:tc>
                    <w:tc>
                      <w:tcPr>
                        <w:tcW w:w="850" w:type="dxa"/>
                        <w:shd w:val="clear" w:color="auto" w:fill="CCECFC"/>
                      </w:tcPr>
                      <w:p>
                        <w:pPr>
                          <w:pStyle w:val="TableParagraph"/>
                          <w:spacing w:before="33"/>
                          <w:ind w:right="48"/>
                          <w:jc w:val="right"/>
                          <w:rPr>
                            <w:sz w:val="20"/>
                          </w:rPr>
                        </w:pPr>
                        <w:r>
                          <w:rPr>
                            <w:color w:val="231F20"/>
                            <w:sz w:val="20"/>
                          </w:rPr>
                          <w:t>24</w:t>
                        </w:r>
                      </w:p>
                    </w:tc>
                    <w:tc>
                      <w:tcPr>
                        <w:tcW w:w="1079" w:type="dxa"/>
                        <w:shd w:val="clear" w:color="auto" w:fill="CCECFC"/>
                      </w:tcPr>
                      <w:p>
                        <w:pPr>
                          <w:pStyle w:val="TableParagraph"/>
                          <w:spacing w:before="33"/>
                          <w:ind w:right="148"/>
                          <w:jc w:val="right"/>
                          <w:rPr>
                            <w:sz w:val="20"/>
                          </w:rPr>
                        </w:pPr>
                        <w:r>
                          <w:rPr>
                            <w:color w:val="231F20"/>
                            <w:sz w:val="20"/>
                          </w:rPr>
                          <w:t>23</w:t>
                        </w:r>
                      </w:p>
                    </w:tc>
                    <w:tc>
                      <w:tcPr>
                        <w:tcW w:w="666" w:type="dxa"/>
                        <w:shd w:val="clear" w:color="auto" w:fill="CCECFC"/>
                      </w:tcPr>
                      <w:p>
                        <w:pPr>
                          <w:pStyle w:val="TableParagraph"/>
                          <w:spacing w:before="33"/>
                          <w:ind w:right="59"/>
                          <w:jc w:val="right"/>
                          <w:rPr>
                            <w:sz w:val="20"/>
                          </w:rPr>
                        </w:pPr>
                        <w:r>
                          <w:rPr>
                            <w:color w:val="231F20"/>
                            <w:sz w:val="20"/>
                          </w:rPr>
                          <w:t>47</w:t>
                        </w:r>
                      </w:p>
                    </w:tc>
                  </w:tr>
                  <w:tr>
                    <w:trPr>
                      <w:trHeight w:val="280" w:hRule="exact"/>
                    </w:trPr>
                    <w:tc>
                      <w:tcPr>
                        <w:tcW w:w="1369" w:type="dxa"/>
                      </w:tcPr>
                      <w:p>
                        <w:pPr>
                          <w:pStyle w:val="TableParagraph"/>
                          <w:spacing w:before="33"/>
                          <w:ind w:left="60"/>
                          <w:rPr>
                            <w:sz w:val="20"/>
                          </w:rPr>
                        </w:pPr>
                        <w:r>
                          <w:rPr>
                            <w:color w:val="231F20"/>
                            <w:sz w:val="20"/>
                          </w:rPr>
                          <w:t>2024</w:t>
                        </w:r>
                      </w:p>
                    </w:tc>
                    <w:tc>
                      <w:tcPr>
                        <w:tcW w:w="862" w:type="dxa"/>
                      </w:tcPr>
                      <w:p>
                        <w:pPr>
                          <w:pStyle w:val="TableParagraph"/>
                          <w:spacing w:before="33"/>
                          <w:ind w:right="48"/>
                          <w:jc w:val="right"/>
                          <w:rPr>
                            <w:sz w:val="20"/>
                          </w:rPr>
                        </w:pPr>
                        <w:r>
                          <w:rPr>
                            <w:color w:val="231F20"/>
                            <w:sz w:val="20"/>
                          </w:rPr>
                          <w:t>—</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w:t>
                        </w:r>
                      </w:p>
                    </w:tc>
                    <w:tc>
                      <w:tcPr>
                        <w:tcW w:w="1258" w:type="dxa"/>
                      </w:tcPr>
                      <w:p>
                        <w:pPr>
                          <w:pStyle w:val="TableParagraph"/>
                          <w:spacing w:before="33"/>
                          <w:ind w:right="160"/>
                          <w:jc w:val="right"/>
                          <w:rPr>
                            <w:sz w:val="20"/>
                          </w:rPr>
                        </w:pPr>
                        <w:r>
                          <w:rPr>
                            <w:color w:val="231F20"/>
                            <w:sz w:val="20"/>
                          </w:rPr>
                          <w:t>—</w:t>
                        </w:r>
                      </w:p>
                    </w:tc>
                    <w:tc>
                      <w:tcPr>
                        <w:tcW w:w="962" w:type="dxa"/>
                      </w:tcPr>
                      <w:p>
                        <w:pPr>
                          <w:pStyle w:val="TableParagraph"/>
                          <w:spacing w:before="33"/>
                          <w:ind w:right="160"/>
                          <w:jc w:val="right"/>
                          <w:rPr>
                            <w:sz w:val="20"/>
                          </w:rPr>
                        </w:pPr>
                        <w:r>
                          <w:rPr>
                            <w:color w:val="231F20"/>
                            <w:sz w:val="20"/>
                          </w:rPr>
                          <w:t>—</w:t>
                        </w:r>
                      </w:p>
                    </w:tc>
                    <w:tc>
                      <w:tcPr>
                        <w:tcW w:w="850" w:type="dxa"/>
                      </w:tcPr>
                      <w:p>
                        <w:pPr>
                          <w:pStyle w:val="TableParagraph"/>
                          <w:spacing w:before="33"/>
                          <w:ind w:right="48"/>
                          <w:jc w:val="right"/>
                          <w:rPr>
                            <w:sz w:val="20"/>
                          </w:rPr>
                        </w:pPr>
                        <w:r>
                          <w:rPr>
                            <w:color w:val="231F20"/>
                            <w:sz w:val="20"/>
                          </w:rPr>
                          <w:t>24</w:t>
                        </w:r>
                      </w:p>
                    </w:tc>
                    <w:tc>
                      <w:tcPr>
                        <w:tcW w:w="1079" w:type="dxa"/>
                      </w:tcPr>
                      <w:p>
                        <w:pPr>
                          <w:pStyle w:val="TableParagraph"/>
                          <w:spacing w:before="33"/>
                          <w:ind w:right="148"/>
                          <w:jc w:val="right"/>
                          <w:rPr>
                            <w:sz w:val="20"/>
                          </w:rPr>
                        </w:pPr>
                        <w:r>
                          <w:rPr>
                            <w:color w:val="231F20"/>
                            <w:sz w:val="20"/>
                          </w:rPr>
                          <w:t>23</w:t>
                        </w:r>
                      </w:p>
                    </w:tc>
                    <w:tc>
                      <w:tcPr>
                        <w:tcW w:w="666" w:type="dxa"/>
                      </w:tcPr>
                      <w:p>
                        <w:pPr>
                          <w:pStyle w:val="TableParagraph"/>
                          <w:spacing w:before="33"/>
                          <w:ind w:right="59"/>
                          <w:jc w:val="right"/>
                          <w:rPr>
                            <w:sz w:val="20"/>
                          </w:rPr>
                        </w:pPr>
                        <w:r>
                          <w:rPr>
                            <w:color w:val="231F20"/>
                            <w:sz w:val="20"/>
                          </w:rPr>
                          <w:t>47</w:t>
                        </w:r>
                      </w:p>
                    </w:tc>
                  </w:tr>
                  <w:tr>
                    <w:trPr>
                      <w:trHeight w:val="280" w:hRule="exact"/>
                    </w:trPr>
                    <w:tc>
                      <w:tcPr>
                        <w:tcW w:w="1369" w:type="dxa"/>
                        <w:shd w:val="clear" w:color="auto" w:fill="CCECFC"/>
                      </w:tcPr>
                      <w:p>
                        <w:pPr>
                          <w:pStyle w:val="TableParagraph"/>
                          <w:spacing w:before="33"/>
                          <w:ind w:left="60"/>
                          <w:rPr>
                            <w:sz w:val="20"/>
                          </w:rPr>
                        </w:pPr>
                        <w:r>
                          <w:rPr>
                            <w:color w:val="231F20"/>
                            <w:sz w:val="20"/>
                          </w:rPr>
                          <w:t>2025</w:t>
                        </w:r>
                      </w:p>
                    </w:tc>
                    <w:tc>
                      <w:tcPr>
                        <w:tcW w:w="862" w:type="dxa"/>
                        <w:shd w:val="clear" w:color="auto" w:fill="CCECFC"/>
                      </w:tcPr>
                      <w:p>
                        <w:pPr>
                          <w:pStyle w:val="TableParagraph"/>
                          <w:spacing w:before="33"/>
                          <w:ind w:right="48"/>
                          <w:jc w:val="right"/>
                          <w:rPr>
                            <w:sz w:val="20"/>
                          </w:rPr>
                        </w:pPr>
                        <w:r>
                          <w:rPr>
                            <w:color w:val="231F20"/>
                            <w:sz w:val="20"/>
                          </w:rPr>
                          <w:t>—</w:t>
                        </w:r>
                      </w:p>
                    </w:tc>
                    <w:tc>
                      <w:tcPr>
                        <w:tcW w:w="1012" w:type="dxa"/>
                        <w:shd w:val="clear" w:color="auto" w:fill="CCECFC"/>
                      </w:tcPr>
                      <w:p>
                        <w:pPr>
                          <w:pStyle w:val="TableParagraph"/>
                          <w:spacing w:before="33"/>
                          <w:ind w:right="148"/>
                          <w:jc w:val="right"/>
                          <w:rPr>
                            <w:sz w:val="20"/>
                          </w:rPr>
                        </w:pPr>
                        <w:r>
                          <w:rPr>
                            <w:color w:val="231F20"/>
                            <w:sz w:val="20"/>
                          </w:rPr>
                          <w:t>—</w:t>
                        </w:r>
                      </w:p>
                    </w:tc>
                    <w:tc>
                      <w:tcPr>
                        <w:tcW w:w="1062" w:type="dxa"/>
                        <w:shd w:val="clear" w:color="auto" w:fill="CCECFC"/>
                      </w:tcPr>
                      <w:p>
                        <w:pPr>
                          <w:pStyle w:val="TableParagraph"/>
                          <w:spacing w:before="33"/>
                          <w:ind w:right="231"/>
                          <w:jc w:val="right"/>
                          <w:rPr>
                            <w:sz w:val="20"/>
                          </w:rPr>
                        </w:pPr>
                        <w:r>
                          <w:rPr>
                            <w:color w:val="231F20"/>
                            <w:sz w:val="20"/>
                          </w:rPr>
                          <w:t>—</w:t>
                        </w:r>
                      </w:p>
                    </w:tc>
                    <w:tc>
                      <w:tcPr>
                        <w:tcW w:w="1258" w:type="dxa"/>
                        <w:shd w:val="clear" w:color="auto" w:fill="CCECFC"/>
                      </w:tcPr>
                      <w:p>
                        <w:pPr>
                          <w:pStyle w:val="TableParagraph"/>
                          <w:spacing w:before="33"/>
                          <w:ind w:right="160"/>
                          <w:jc w:val="right"/>
                          <w:rPr>
                            <w:sz w:val="20"/>
                          </w:rPr>
                        </w:pPr>
                        <w:r>
                          <w:rPr>
                            <w:color w:val="231F20"/>
                            <w:sz w:val="20"/>
                          </w:rPr>
                          <w:t>—</w:t>
                        </w:r>
                      </w:p>
                    </w:tc>
                    <w:tc>
                      <w:tcPr>
                        <w:tcW w:w="962" w:type="dxa"/>
                        <w:shd w:val="clear" w:color="auto" w:fill="CCECFC"/>
                      </w:tcPr>
                      <w:p>
                        <w:pPr>
                          <w:pStyle w:val="TableParagraph"/>
                          <w:spacing w:before="33"/>
                          <w:ind w:right="160"/>
                          <w:jc w:val="right"/>
                          <w:rPr>
                            <w:sz w:val="20"/>
                          </w:rPr>
                        </w:pPr>
                        <w:r>
                          <w:rPr>
                            <w:color w:val="231F20"/>
                            <w:sz w:val="20"/>
                          </w:rPr>
                          <w:t>—</w:t>
                        </w:r>
                      </w:p>
                    </w:tc>
                    <w:tc>
                      <w:tcPr>
                        <w:tcW w:w="850" w:type="dxa"/>
                        <w:shd w:val="clear" w:color="auto" w:fill="CCECFC"/>
                      </w:tcPr>
                      <w:p>
                        <w:pPr>
                          <w:pStyle w:val="TableParagraph"/>
                          <w:spacing w:before="33"/>
                          <w:ind w:right="48"/>
                          <w:jc w:val="right"/>
                          <w:rPr>
                            <w:sz w:val="20"/>
                          </w:rPr>
                        </w:pPr>
                        <w:r>
                          <w:rPr>
                            <w:color w:val="231F20"/>
                            <w:sz w:val="20"/>
                          </w:rPr>
                          <w:t>—</w:t>
                        </w:r>
                      </w:p>
                    </w:tc>
                    <w:tc>
                      <w:tcPr>
                        <w:tcW w:w="1079" w:type="dxa"/>
                        <w:shd w:val="clear" w:color="auto" w:fill="CCECFC"/>
                      </w:tcPr>
                      <w:p>
                        <w:pPr>
                          <w:pStyle w:val="TableParagraph"/>
                          <w:spacing w:before="33"/>
                          <w:ind w:right="148"/>
                          <w:jc w:val="right"/>
                          <w:rPr>
                            <w:sz w:val="20"/>
                          </w:rPr>
                        </w:pPr>
                        <w:r>
                          <w:rPr>
                            <w:color w:val="231F20"/>
                            <w:sz w:val="20"/>
                          </w:rPr>
                          <w:t>36</w:t>
                        </w:r>
                      </w:p>
                    </w:tc>
                    <w:tc>
                      <w:tcPr>
                        <w:tcW w:w="666" w:type="dxa"/>
                        <w:shd w:val="clear" w:color="auto" w:fill="CCECFC"/>
                      </w:tcPr>
                      <w:p>
                        <w:pPr>
                          <w:pStyle w:val="TableParagraph"/>
                          <w:spacing w:before="33"/>
                          <w:ind w:right="59"/>
                          <w:jc w:val="right"/>
                          <w:rPr>
                            <w:sz w:val="20"/>
                          </w:rPr>
                        </w:pPr>
                        <w:r>
                          <w:rPr>
                            <w:color w:val="231F20"/>
                            <w:sz w:val="20"/>
                          </w:rPr>
                          <w:t>36</w:t>
                        </w:r>
                      </w:p>
                    </w:tc>
                  </w:tr>
                  <w:tr>
                    <w:trPr>
                      <w:trHeight w:val="280" w:hRule="exact"/>
                    </w:trPr>
                    <w:tc>
                      <w:tcPr>
                        <w:tcW w:w="1369" w:type="dxa"/>
                      </w:tcPr>
                      <w:p>
                        <w:pPr>
                          <w:pStyle w:val="TableParagraph"/>
                          <w:spacing w:before="33"/>
                          <w:ind w:left="60"/>
                          <w:rPr>
                            <w:sz w:val="20"/>
                          </w:rPr>
                        </w:pPr>
                        <w:r>
                          <w:rPr>
                            <w:color w:val="231F20"/>
                            <w:sz w:val="20"/>
                          </w:rPr>
                          <w:t>2026</w:t>
                        </w:r>
                      </w:p>
                    </w:tc>
                    <w:tc>
                      <w:tcPr>
                        <w:tcW w:w="862" w:type="dxa"/>
                      </w:tcPr>
                      <w:p>
                        <w:pPr>
                          <w:pStyle w:val="TableParagraph"/>
                          <w:spacing w:before="33"/>
                          <w:ind w:right="48"/>
                          <w:jc w:val="right"/>
                          <w:rPr>
                            <w:sz w:val="20"/>
                          </w:rPr>
                        </w:pPr>
                        <w:r>
                          <w:rPr>
                            <w:color w:val="231F20"/>
                            <w:sz w:val="20"/>
                          </w:rPr>
                          <w:t>—</w:t>
                        </w:r>
                      </w:p>
                    </w:tc>
                    <w:tc>
                      <w:tcPr>
                        <w:tcW w:w="1012" w:type="dxa"/>
                      </w:tcPr>
                      <w:p>
                        <w:pPr>
                          <w:pStyle w:val="TableParagraph"/>
                          <w:spacing w:before="33"/>
                          <w:ind w:right="148"/>
                          <w:jc w:val="right"/>
                          <w:rPr>
                            <w:sz w:val="20"/>
                          </w:rPr>
                        </w:pPr>
                        <w:r>
                          <w:rPr>
                            <w:color w:val="231F20"/>
                            <w:sz w:val="20"/>
                          </w:rPr>
                          <w:t>—</w:t>
                        </w:r>
                      </w:p>
                    </w:tc>
                    <w:tc>
                      <w:tcPr>
                        <w:tcW w:w="1062" w:type="dxa"/>
                      </w:tcPr>
                      <w:p>
                        <w:pPr>
                          <w:pStyle w:val="TableParagraph"/>
                          <w:spacing w:before="33"/>
                          <w:ind w:right="231"/>
                          <w:jc w:val="right"/>
                          <w:rPr>
                            <w:sz w:val="20"/>
                          </w:rPr>
                        </w:pPr>
                        <w:r>
                          <w:rPr>
                            <w:color w:val="231F20"/>
                            <w:sz w:val="20"/>
                          </w:rPr>
                          <w:t>—</w:t>
                        </w:r>
                      </w:p>
                    </w:tc>
                    <w:tc>
                      <w:tcPr>
                        <w:tcW w:w="1258" w:type="dxa"/>
                      </w:tcPr>
                      <w:p>
                        <w:pPr>
                          <w:pStyle w:val="TableParagraph"/>
                          <w:spacing w:before="33"/>
                          <w:ind w:right="160"/>
                          <w:jc w:val="right"/>
                          <w:rPr>
                            <w:sz w:val="20"/>
                          </w:rPr>
                        </w:pPr>
                        <w:r>
                          <w:rPr>
                            <w:color w:val="231F20"/>
                            <w:sz w:val="20"/>
                          </w:rPr>
                          <w:t>—</w:t>
                        </w:r>
                      </w:p>
                    </w:tc>
                    <w:tc>
                      <w:tcPr>
                        <w:tcW w:w="962" w:type="dxa"/>
                      </w:tcPr>
                      <w:p>
                        <w:pPr>
                          <w:pStyle w:val="TableParagraph"/>
                          <w:spacing w:before="33"/>
                          <w:ind w:right="160"/>
                          <w:jc w:val="right"/>
                          <w:rPr>
                            <w:sz w:val="20"/>
                          </w:rPr>
                        </w:pPr>
                        <w:r>
                          <w:rPr>
                            <w:color w:val="231F20"/>
                            <w:sz w:val="20"/>
                          </w:rPr>
                          <w:t>—</w:t>
                        </w:r>
                      </w:p>
                    </w:tc>
                    <w:tc>
                      <w:tcPr>
                        <w:tcW w:w="850" w:type="dxa"/>
                      </w:tcPr>
                      <w:p>
                        <w:pPr>
                          <w:pStyle w:val="TableParagraph"/>
                          <w:spacing w:before="33"/>
                          <w:ind w:right="48"/>
                          <w:jc w:val="right"/>
                          <w:rPr>
                            <w:sz w:val="20"/>
                          </w:rPr>
                        </w:pPr>
                        <w:r>
                          <w:rPr>
                            <w:color w:val="231F20"/>
                            <w:sz w:val="20"/>
                          </w:rPr>
                          <w:t>—</w:t>
                        </w:r>
                      </w:p>
                    </w:tc>
                    <w:tc>
                      <w:tcPr>
                        <w:tcW w:w="1079" w:type="dxa"/>
                      </w:tcPr>
                      <w:p>
                        <w:pPr>
                          <w:pStyle w:val="TableParagraph"/>
                          <w:spacing w:before="33"/>
                          <w:ind w:right="148"/>
                          <w:jc w:val="right"/>
                          <w:rPr>
                            <w:sz w:val="20"/>
                          </w:rPr>
                        </w:pPr>
                        <w:r>
                          <w:rPr>
                            <w:color w:val="231F20"/>
                            <w:sz w:val="20"/>
                          </w:rPr>
                          <w:t>36</w:t>
                        </w:r>
                      </w:p>
                    </w:tc>
                    <w:tc>
                      <w:tcPr>
                        <w:tcW w:w="666" w:type="dxa"/>
                      </w:tcPr>
                      <w:p>
                        <w:pPr>
                          <w:pStyle w:val="TableParagraph"/>
                          <w:spacing w:before="33"/>
                          <w:ind w:right="59"/>
                          <w:jc w:val="right"/>
                          <w:rPr>
                            <w:sz w:val="20"/>
                          </w:rPr>
                        </w:pPr>
                        <w:r>
                          <w:rPr>
                            <w:color w:val="231F20"/>
                            <w:sz w:val="20"/>
                          </w:rPr>
                          <w:t>36</w:t>
                        </w:r>
                      </w:p>
                    </w:tc>
                  </w:tr>
                  <w:tr>
                    <w:trPr>
                      <w:trHeight w:val="293" w:hRule="exact"/>
                    </w:trPr>
                    <w:tc>
                      <w:tcPr>
                        <w:tcW w:w="1369" w:type="dxa"/>
                        <w:shd w:val="clear" w:color="auto" w:fill="CCECFC"/>
                      </w:tcPr>
                      <w:p>
                        <w:pPr>
                          <w:pStyle w:val="TableParagraph"/>
                          <w:spacing w:before="33"/>
                          <w:ind w:left="60"/>
                          <w:rPr>
                            <w:sz w:val="20"/>
                          </w:rPr>
                        </w:pPr>
                        <w:r>
                          <w:rPr>
                            <w:color w:val="231F20"/>
                            <w:sz w:val="20"/>
                          </w:rPr>
                          <w:t>2027</w:t>
                        </w:r>
                      </w:p>
                    </w:tc>
                    <w:tc>
                      <w:tcPr>
                        <w:tcW w:w="862" w:type="dxa"/>
                        <w:tcBorders>
                          <w:bottom w:val="single" w:sz="4" w:space="0" w:color="231F20"/>
                        </w:tcBorders>
                        <w:shd w:val="clear" w:color="auto" w:fill="CCECFC"/>
                      </w:tcPr>
                      <w:p>
                        <w:pPr>
                          <w:pStyle w:val="TableParagraph"/>
                          <w:spacing w:before="33"/>
                          <w:ind w:right="48"/>
                          <w:jc w:val="right"/>
                          <w:rPr>
                            <w:sz w:val="20"/>
                          </w:rPr>
                        </w:pPr>
                        <w:r>
                          <w:rPr>
                            <w:color w:val="231F20"/>
                            <w:sz w:val="20"/>
                          </w:rPr>
                          <w:t>—</w:t>
                        </w:r>
                      </w:p>
                    </w:tc>
                    <w:tc>
                      <w:tcPr>
                        <w:tcW w:w="1012" w:type="dxa"/>
                        <w:tcBorders>
                          <w:bottom w:val="single" w:sz="4" w:space="0" w:color="231F20"/>
                        </w:tcBorders>
                        <w:shd w:val="clear" w:color="auto" w:fill="CCECFC"/>
                      </w:tcPr>
                      <w:p>
                        <w:pPr>
                          <w:pStyle w:val="TableParagraph"/>
                          <w:spacing w:before="33"/>
                          <w:ind w:right="148"/>
                          <w:jc w:val="right"/>
                          <w:rPr>
                            <w:sz w:val="20"/>
                          </w:rPr>
                        </w:pPr>
                        <w:r>
                          <w:rPr>
                            <w:color w:val="231F20"/>
                            <w:sz w:val="20"/>
                          </w:rPr>
                          <w:t>—</w:t>
                        </w:r>
                      </w:p>
                    </w:tc>
                    <w:tc>
                      <w:tcPr>
                        <w:tcW w:w="1062" w:type="dxa"/>
                        <w:tcBorders>
                          <w:bottom w:val="single" w:sz="4" w:space="0" w:color="231F20"/>
                        </w:tcBorders>
                        <w:shd w:val="clear" w:color="auto" w:fill="CCECFC"/>
                      </w:tcPr>
                      <w:p>
                        <w:pPr>
                          <w:pStyle w:val="TableParagraph"/>
                          <w:spacing w:before="33"/>
                          <w:ind w:right="231"/>
                          <w:jc w:val="right"/>
                          <w:rPr>
                            <w:sz w:val="20"/>
                          </w:rPr>
                        </w:pPr>
                        <w:r>
                          <w:rPr>
                            <w:color w:val="231F20"/>
                            <w:sz w:val="20"/>
                          </w:rPr>
                          <w:t>—</w:t>
                        </w:r>
                      </w:p>
                    </w:tc>
                    <w:tc>
                      <w:tcPr>
                        <w:tcW w:w="1258" w:type="dxa"/>
                        <w:tcBorders>
                          <w:bottom w:val="single" w:sz="4" w:space="0" w:color="231F20"/>
                        </w:tcBorders>
                        <w:shd w:val="clear" w:color="auto" w:fill="CCECFC"/>
                      </w:tcPr>
                      <w:p>
                        <w:pPr>
                          <w:pStyle w:val="TableParagraph"/>
                          <w:spacing w:before="33"/>
                          <w:ind w:right="160"/>
                          <w:jc w:val="right"/>
                          <w:rPr>
                            <w:sz w:val="20"/>
                          </w:rPr>
                        </w:pPr>
                        <w:r>
                          <w:rPr>
                            <w:color w:val="231F20"/>
                            <w:sz w:val="20"/>
                          </w:rPr>
                          <w:t>—</w:t>
                        </w:r>
                      </w:p>
                    </w:tc>
                    <w:tc>
                      <w:tcPr>
                        <w:tcW w:w="962" w:type="dxa"/>
                        <w:tcBorders>
                          <w:bottom w:val="single" w:sz="4" w:space="0" w:color="231F20"/>
                        </w:tcBorders>
                        <w:shd w:val="clear" w:color="auto" w:fill="CCECFC"/>
                      </w:tcPr>
                      <w:p>
                        <w:pPr>
                          <w:pStyle w:val="TableParagraph"/>
                          <w:spacing w:before="33"/>
                          <w:ind w:right="160"/>
                          <w:jc w:val="right"/>
                          <w:rPr>
                            <w:sz w:val="20"/>
                          </w:rPr>
                        </w:pPr>
                        <w:r>
                          <w:rPr>
                            <w:color w:val="231F20"/>
                            <w:sz w:val="20"/>
                          </w:rPr>
                          <w:t>—</w:t>
                        </w:r>
                      </w:p>
                    </w:tc>
                    <w:tc>
                      <w:tcPr>
                        <w:tcW w:w="850" w:type="dxa"/>
                        <w:tcBorders>
                          <w:bottom w:val="single" w:sz="4" w:space="0" w:color="231F20"/>
                        </w:tcBorders>
                        <w:shd w:val="clear" w:color="auto" w:fill="CCECFC"/>
                      </w:tcPr>
                      <w:p>
                        <w:pPr>
                          <w:pStyle w:val="TableParagraph"/>
                          <w:spacing w:before="33"/>
                          <w:ind w:right="48"/>
                          <w:jc w:val="right"/>
                          <w:rPr>
                            <w:sz w:val="20"/>
                          </w:rPr>
                        </w:pPr>
                        <w:r>
                          <w:rPr>
                            <w:color w:val="231F20"/>
                            <w:sz w:val="20"/>
                          </w:rPr>
                          <w:t>—</w:t>
                        </w:r>
                      </w:p>
                    </w:tc>
                    <w:tc>
                      <w:tcPr>
                        <w:tcW w:w="1079" w:type="dxa"/>
                        <w:tcBorders>
                          <w:bottom w:val="single" w:sz="4" w:space="0" w:color="231F20"/>
                        </w:tcBorders>
                        <w:shd w:val="clear" w:color="auto" w:fill="CCECFC"/>
                      </w:tcPr>
                      <w:p>
                        <w:pPr>
                          <w:pStyle w:val="TableParagraph"/>
                          <w:spacing w:before="33"/>
                          <w:ind w:right="148"/>
                          <w:jc w:val="right"/>
                          <w:rPr>
                            <w:sz w:val="20"/>
                          </w:rPr>
                        </w:pPr>
                        <w:r>
                          <w:rPr>
                            <w:color w:val="231F20"/>
                            <w:sz w:val="20"/>
                          </w:rPr>
                          <w:t>36</w:t>
                        </w:r>
                      </w:p>
                    </w:tc>
                    <w:tc>
                      <w:tcPr>
                        <w:tcW w:w="666" w:type="dxa"/>
                        <w:tcBorders>
                          <w:bottom w:val="single" w:sz="4" w:space="0" w:color="231F20"/>
                        </w:tcBorders>
                        <w:shd w:val="clear" w:color="auto" w:fill="CCECFC"/>
                      </w:tcPr>
                      <w:p>
                        <w:pPr>
                          <w:pStyle w:val="TableParagraph"/>
                          <w:spacing w:before="33"/>
                          <w:ind w:right="59"/>
                          <w:jc w:val="right"/>
                          <w:rPr>
                            <w:sz w:val="20"/>
                          </w:rPr>
                        </w:pPr>
                        <w:r>
                          <w:rPr>
                            <w:color w:val="231F20"/>
                            <w:sz w:val="20"/>
                          </w:rPr>
                          <w:t>36</w:t>
                        </w:r>
                      </w:p>
                    </w:tc>
                  </w:tr>
                  <w:tr>
                    <w:trPr>
                      <w:trHeight w:val="328" w:hRule="exact"/>
                    </w:trPr>
                    <w:tc>
                      <w:tcPr>
                        <w:tcW w:w="1369" w:type="dxa"/>
                      </w:tcPr>
                      <w:p>
                        <w:pPr>
                          <w:pStyle w:val="TableParagraph"/>
                          <w:spacing w:before="40"/>
                          <w:ind w:left="60"/>
                          <w:rPr>
                            <w:sz w:val="20"/>
                          </w:rPr>
                        </w:pPr>
                        <w:r>
                          <w:rPr>
                            <w:color w:val="231F20"/>
                            <w:sz w:val="20"/>
                          </w:rPr>
                          <w:t>Total</w:t>
                        </w:r>
                      </w:p>
                    </w:tc>
                    <w:tc>
                      <w:tcPr>
                        <w:tcW w:w="862" w:type="dxa"/>
                        <w:tcBorders>
                          <w:top w:val="single" w:sz="4" w:space="0" w:color="231F20"/>
                          <w:bottom w:val="double" w:sz="7" w:space="0" w:color="231F20"/>
                        </w:tcBorders>
                      </w:tcPr>
                      <w:p>
                        <w:pPr>
                          <w:pStyle w:val="TableParagraph"/>
                          <w:spacing w:before="35"/>
                          <w:ind w:right="48"/>
                          <w:jc w:val="right"/>
                          <w:rPr>
                            <w:sz w:val="20"/>
                          </w:rPr>
                        </w:pPr>
                        <w:r>
                          <w:rPr>
                            <w:color w:val="231F20"/>
                            <w:sz w:val="20"/>
                          </w:rPr>
                          <w:t>56</w:t>
                        </w:r>
                      </w:p>
                    </w:tc>
                    <w:tc>
                      <w:tcPr>
                        <w:tcW w:w="1012" w:type="dxa"/>
                        <w:tcBorders>
                          <w:top w:val="single" w:sz="4" w:space="0" w:color="231F20"/>
                          <w:bottom w:val="double" w:sz="7" w:space="0" w:color="231F20"/>
                        </w:tcBorders>
                      </w:tcPr>
                      <w:p>
                        <w:pPr>
                          <w:pStyle w:val="TableParagraph"/>
                          <w:tabs>
                            <w:tab w:pos="611" w:val="left" w:leader="none"/>
                          </w:tabs>
                          <w:spacing w:before="35"/>
                          <w:ind w:right="149"/>
                          <w:jc w:val="right"/>
                          <w:rPr>
                            <w:sz w:val="20"/>
                          </w:rPr>
                        </w:pPr>
                        <w:r>
                          <w:rPr>
                            <w:color w:val="231F20"/>
                            <w:sz w:val="20"/>
                          </w:rPr>
                          <w:t>(1)</w:t>
                          <w:tab/>
                        </w:r>
                        <w:r>
                          <w:rPr>
                            <w:color w:val="231F20"/>
                            <w:spacing w:val="-1"/>
                            <w:sz w:val="20"/>
                          </w:rPr>
                          <w:t>19</w:t>
                        </w:r>
                      </w:p>
                    </w:tc>
                    <w:tc>
                      <w:tcPr>
                        <w:tcW w:w="1062" w:type="dxa"/>
                        <w:tcBorders>
                          <w:top w:val="single" w:sz="4" w:space="0" w:color="231F20"/>
                          <w:bottom w:val="double" w:sz="7" w:space="0" w:color="231F20"/>
                        </w:tcBorders>
                      </w:tcPr>
                      <w:p>
                        <w:pPr>
                          <w:pStyle w:val="TableParagraph"/>
                          <w:spacing w:before="35"/>
                          <w:ind w:right="231"/>
                          <w:jc w:val="right"/>
                          <w:rPr>
                            <w:sz w:val="20"/>
                          </w:rPr>
                        </w:pPr>
                        <w:r>
                          <w:rPr>
                            <w:color w:val="231F20"/>
                            <w:sz w:val="20"/>
                          </w:rPr>
                          <w:t>35</w:t>
                        </w:r>
                      </w:p>
                    </w:tc>
                    <w:tc>
                      <w:tcPr>
                        <w:tcW w:w="1258" w:type="dxa"/>
                        <w:tcBorders>
                          <w:top w:val="single" w:sz="4" w:space="0" w:color="231F20"/>
                          <w:bottom w:val="double" w:sz="7" w:space="0" w:color="231F20"/>
                        </w:tcBorders>
                      </w:tcPr>
                      <w:p>
                        <w:pPr>
                          <w:pStyle w:val="TableParagraph"/>
                          <w:spacing w:before="35"/>
                          <w:ind w:right="160"/>
                          <w:jc w:val="right"/>
                          <w:rPr>
                            <w:sz w:val="20"/>
                          </w:rPr>
                        </w:pPr>
                        <w:r>
                          <w:rPr>
                            <w:color w:val="231F20"/>
                            <w:sz w:val="20"/>
                          </w:rPr>
                          <w:t>20</w:t>
                        </w:r>
                      </w:p>
                    </w:tc>
                    <w:tc>
                      <w:tcPr>
                        <w:tcW w:w="962" w:type="dxa"/>
                        <w:tcBorders>
                          <w:top w:val="single" w:sz="4" w:space="0" w:color="231F20"/>
                          <w:bottom w:val="double" w:sz="7" w:space="0" w:color="231F20"/>
                        </w:tcBorders>
                      </w:tcPr>
                      <w:p>
                        <w:pPr>
                          <w:pStyle w:val="TableParagraph"/>
                          <w:spacing w:before="35"/>
                          <w:ind w:right="160"/>
                          <w:jc w:val="right"/>
                          <w:rPr>
                            <w:sz w:val="20"/>
                          </w:rPr>
                        </w:pPr>
                        <w:r>
                          <w:rPr>
                            <w:color w:val="231F20"/>
                            <w:sz w:val="20"/>
                          </w:rPr>
                          <w:t>30</w:t>
                        </w:r>
                      </w:p>
                    </w:tc>
                    <w:tc>
                      <w:tcPr>
                        <w:tcW w:w="850" w:type="dxa"/>
                        <w:tcBorders>
                          <w:top w:val="single" w:sz="4" w:space="0" w:color="231F20"/>
                          <w:bottom w:val="double" w:sz="7" w:space="0" w:color="231F20"/>
                        </w:tcBorders>
                      </w:tcPr>
                      <w:p>
                        <w:pPr>
                          <w:pStyle w:val="TableParagraph"/>
                          <w:spacing w:before="35"/>
                          <w:ind w:right="48"/>
                          <w:jc w:val="right"/>
                          <w:rPr>
                            <w:sz w:val="20"/>
                          </w:rPr>
                        </w:pPr>
                        <w:r>
                          <w:rPr>
                            <w:color w:val="231F20"/>
                            <w:sz w:val="20"/>
                          </w:rPr>
                          <w:t>170</w:t>
                        </w:r>
                      </w:p>
                    </w:tc>
                    <w:tc>
                      <w:tcPr>
                        <w:tcW w:w="1079" w:type="dxa"/>
                        <w:tcBorders>
                          <w:top w:val="single" w:sz="4" w:space="0" w:color="231F20"/>
                          <w:bottom w:val="double" w:sz="7" w:space="0" w:color="231F20"/>
                        </w:tcBorders>
                      </w:tcPr>
                      <w:p>
                        <w:pPr>
                          <w:pStyle w:val="TableParagraph"/>
                          <w:tabs>
                            <w:tab w:pos="578" w:val="left" w:leader="none"/>
                          </w:tabs>
                          <w:spacing w:before="35"/>
                          <w:ind w:right="148"/>
                          <w:jc w:val="right"/>
                          <w:rPr>
                            <w:sz w:val="20"/>
                          </w:rPr>
                        </w:pPr>
                        <w:r>
                          <w:rPr>
                            <w:color w:val="231F20"/>
                            <w:sz w:val="20"/>
                          </w:rPr>
                          <w:t>(2)</w:t>
                          <w:tab/>
                          <w:t>191</w:t>
                        </w:r>
                      </w:p>
                    </w:tc>
                    <w:tc>
                      <w:tcPr>
                        <w:tcW w:w="666" w:type="dxa"/>
                        <w:tcBorders>
                          <w:top w:val="single" w:sz="4" w:space="0" w:color="231F20"/>
                          <w:bottom w:val="double" w:sz="7" w:space="0" w:color="231F20"/>
                        </w:tcBorders>
                      </w:tcPr>
                      <w:p>
                        <w:pPr>
                          <w:pStyle w:val="TableParagraph"/>
                          <w:spacing w:before="35"/>
                          <w:ind w:right="59"/>
                          <w:jc w:val="right"/>
                          <w:rPr>
                            <w:sz w:val="20"/>
                          </w:rPr>
                        </w:pPr>
                        <w:r>
                          <w:rPr>
                            <w:color w:val="231F20"/>
                            <w:sz w:val="20"/>
                          </w:rPr>
                          <w:t>521</w:t>
                        </w:r>
                      </w:p>
                    </w:tc>
                  </w:tr>
                </w:tbl>
                <w:p>
                  <w:pPr>
                    <w:pStyle w:val="BodyText"/>
                  </w:pPr>
                </w:p>
              </w:txbxContent>
            </v:textbox>
            <w10:wrap type="none"/>
          </v:shape>
        </w:pict>
      </w:r>
      <w:r>
        <w:rPr>
          <w:b/>
          <w:color w:val="231F20"/>
          <w:sz w:val="20"/>
        </w:rPr>
        <w:t>Firm</w:t>
      </w:r>
    </w:p>
    <w:p>
      <w:pPr>
        <w:spacing w:line="215" w:lineRule="exact" w:before="52"/>
        <w:ind w:left="471" w:right="0" w:firstLine="0"/>
        <w:jc w:val="left"/>
        <w:rPr>
          <w:b/>
          <w:sz w:val="20"/>
        </w:rPr>
      </w:pPr>
      <w:r>
        <w:rPr/>
        <w:br w:type="column"/>
      </w:r>
      <w:r>
        <w:rPr>
          <w:b/>
          <w:color w:val="231F20"/>
          <w:sz w:val="20"/>
        </w:rPr>
        <w:t>-800</w:t>
      </w:r>
    </w:p>
    <w:p>
      <w:pPr>
        <w:spacing w:line="215" w:lineRule="exact" w:before="0"/>
        <w:ind w:left="438" w:right="0" w:firstLine="0"/>
        <w:jc w:val="left"/>
        <w:rPr>
          <w:b/>
          <w:sz w:val="20"/>
        </w:rPr>
      </w:pPr>
      <w:r>
        <w:rPr>
          <w:b/>
          <w:color w:val="231F20"/>
          <w:sz w:val="20"/>
        </w:rPr>
        <w:t>Firm</w:t>
      </w:r>
    </w:p>
    <w:p>
      <w:pPr>
        <w:pStyle w:val="BodyText"/>
        <w:spacing w:before="11"/>
        <w:rPr>
          <w:b/>
          <w:sz w:val="21"/>
        </w:rPr>
      </w:pPr>
      <w:r>
        <w:rPr/>
        <w:br w:type="column"/>
      </w:r>
      <w:r>
        <w:rPr>
          <w:b/>
          <w:sz w:val="21"/>
        </w:rPr>
      </w:r>
    </w:p>
    <w:p>
      <w:pPr>
        <w:spacing w:before="0"/>
        <w:ind w:left="1361" w:right="0" w:firstLine="0"/>
        <w:jc w:val="left"/>
        <w:rPr>
          <w:b/>
          <w:sz w:val="20"/>
        </w:rPr>
      </w:pPr>
      <w:r>
        <w:rPr>
          <w:b/>
          <w:color w:val="231F20"/>
          <w:sz w:val="20"/>
        </w:rPr>
        <w:t>Additional -</w:t>
      </w:r>
    </w:p>
    <w:p>
      <w:pPr>
        <w:spacing w:line="215" w:lineRule="exact" w:before="52"/>
        <w:ind w:left="365" w:right="0" w:firstLine="0"/>
        <w:jc w:val="center"/>
        <w:rPr>
          <w:b/>
          <w:sz w:val="20"/>
        </w:rPr>
      </w:pPr>
      <w:r>
        <w:rPr/>
        <w:br w:type="column"/>
      </w:r>
      <w:r>
        <w:rPr>
          <w:b/>
          <w:color w:val="231F20"/>
          <w:sz w:val="20"/>
        </w:rPr>
        <w:t>-7</w:t>
      </w:r>
    </w:p>
    <w:p>
      <w:pPr>
        <w:spacing w:line="215" w:lineRule="exact" w:before="0"/>
        <w:ind w:left="316" w:right="0" w:firstLine="0"/>
        <w:jc w:val="center"/>
        <w:rPr>
          <w:b/>
          <w:sz w:val="20"/>
        </w:rPr>
      </w:pPr>
      <w:r>
        <w:rPr>
          <w:b/>
          <w:color w:val="231F20"/>
          <w:sz w:val="20"/>
        </w:rPr>
        <w:t>Firm</w:t>
      </w:r>
    </w:p>
    <w:p>
      <w:pPr>
        <w:spacing w:line="215" w:lineRule="exact" w:before="52"/>
        <w:ind w:left="467" w:right="1981" w:firstLine="0"/>
        <w:jc w:val="center"/>
        <w:rPr>
          <w:b/>
          <w:sz w:val="20"/>
        </w:rPr>
      </w:pPr>
      <w:r>
        <w:rPr/>
        <w:br w:type="column"/>
      </w:r>
      <w:r>
        <w:rPr>
          <w:b/>
          <w:color w:val="231F20"/>
          <w:sz w:val="20"/>
        </w:rPr>
        <w:t>-8</w:t>
      </w:r>
    </w:p>
    <w:p>
      <w:pPr>
        <w:spacing w:line="215" w:lineRule="exact" w:before="0"/>
        <w:ind w:left="467" w:right="2032" w:firstLine="0"/>
        <w:jc w:val="center"/>
        <w:rPr>
          <w:b/>
          <w:sz w:val="20"/>
        </w:rPr>
      </w:pPr>
      <w:r>
        <w:rPr>
          <w:b/>
          <w:color w:val="231F20"/>
          <w:sz w:val="20"/>
        </w:rPr>
        <w:t>Firm</w:t>
      </w:r>
    </w:p>
    <w:p>
      <w:pPr>
        <w:spacing w:after="0" w:line="215" w:lineRule="exact"/>
        <w:jc w:val="center"/>
        <w:rPr>
          <w:sz w:val="20"/>
        </w:rPr>
        <w:sectPr>
          <w:type w:val="continuous"/>
          <w:pgSz w:w="11880" w:h="15480"/>
          <w:pgMar w:top="1260" w:bottom="280" w:left="1260" w:right="1260"/>
          <w:cols w:num="5" w:equalWidth="0">
            <w:col w:w="2212" w:space="40"/>
            <w:col w:w="873" w:space="40"/>
            <w:col w:w="2391" w:space="40"/>
            <w:col w:w="750" w:space="40"/>
            <w:col w:w="2974"/>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0"/>
          <w:numId w:val="6"/>
        </w:numPr>
        <w:tabs>
          <w:tab w:pos="520" w:val="left" w:leader="none"/>
        </w:tabs>
        <w:spacing w:line="240" w:lineRule="auto" w:before="93" w:after="0"/>
        <w:ind w:left="520" w:right="0" w:hanging="400"/>
        <w:jc w:val="left"/>
        <w:rPr>
          <w:sz w:val="20"/>
        </w:rPr>
      </w:pPr>
      <w:r>
        <w:rPr>
          <w:color w:val="231F20"/>
          <w:sz w:val="20"/>
        </w:rPr>
        <w:t>The Company has flexibility to substitute 737-800s in lieu of 737-700 firm</w:t>
      </w:r>
      <w:r>
        <w:rPr>
          <w:color w:val="231F20"/>
          <w:spacing w:val="7"/>
          <w:sz w:val="20"/>
        </w:rPr>
        <w:t> </w:t>
      </w:r>
      <w:r>
        <w:rPr>
          <w:color w:val="231F20"/>
          <w:sz w:val="20"/>
        </w:rPr>
        <w:t>orders.</w:t>
      </w:r>
    </w:p>
    <w:p>
      <w:pPr>
        <w:pStyle w:val="ListParagraph"/>
        <w:numPr>
          <w:ilvl w:val="0"/>
          <w:numId w:val="6"/>
        </w:numPr>
        <w:tabs>
          <w:tab w:pos="520" w:val="left" w:leader="none"/>
        </w:tabs>
        <w:spacing w:line="240" w:lineRule="auto" w:before="9" w:after="0"/>
        <w:ind w:left="520" w:right="0" w:hanging="400"/>
        <w:jc w:val="left"/>
        <w:rPr>
          <w:sz w:val="20"/>
        </w:rPr>
      </w:pPr>
      <w:r>
        <w:rPr>
          <w:color w:val="231F20"/>
          <w:sz w:val="20"/>
        </w:rPr>
        <w:t>The Company has flexibility to substitute MAX 7 in lieu of MAX 8 firm orders beginning in</w:t>
      </w:r>
      <w:r>
        <w:rPr>
          <w:color w:val="231F20"/>
          <w:spacing w:val="7"/>
          <w:sz w:val="20"/>
        </w:rPr>
        <w:t> </w:t>
      </w:r>
      <w:r>
        <w:rPr>
          <w:color w:val="231F20"/>
          <w:sz w:val="20"/>
        </w:rPr>
        <w:t>2019.</w:t>
      </w:r>
    </w:p>
    <w:p>
      <w:pPr>
        <w:spacing w:after="0" w:line="240" w:lineRule="auto"/>
        <w:jc w:val="left"/>
        <w:rPr>
          <w:sz w:val="20"/>
        </w:rPr>
        <w:sectPr>
          <w:type w:val="continuous"/>
          <w:pgSz w:w="11880" w:h="15480"/>
          <w:pgMar w:top="1260" w:bottom="280" w:left="1260" w:right="1260"/>
        </w:sectPr>
      </w:pPr>
    </w:p>
    <w:p>
      <w:pPr>
        <w:pStyle w:val="Heading1"/>
      </w:pPr>
      <w:r>
        <w:rPr>
          <w:color w:val="231F20"/>
        </w:rPr>
        <w:t>Ground Facilities and Services</w:t>
      </w:r>
    </w:p>
    <w:p>
      <w:pPr>
        <w:pStyle w:val="BodyText"/>
        <w:spacing w:line="247" w:lineRule="auto" w:before="162"/>
        <w:ind w:left="100" w:right="117" w:firstLine="720"/>
        <w:jc w:val="both"/>
      </w:pPr>
      <w:r>
        <w:rPr>
          <w:color w:val="231F20"/>
        </w:rPr>
        <w:t>Southwest either leases or pays a usage fee for terminal passenger service facilities at each of the airports it serves, to which various leasehold improvements have been made. The Company leases the land and structures on a long-term basis for its aircraft maintenance centers (located at Dallas Love Field, Houston Hobby, Phoenix Sky Harbor, Chicago Midway, Hartsfield-Jackson Atlanta International Airport and Orlando International Airport), its flight training center at Dallas Love Field (which houses ten 737 simulators), and its main corporate headquarters building, also located at Dallas Love Field. The Company also leases a warehouse and engine repair facility in Atlanta. During 2013 the Company completed construction of a new, owned, energy-efficient, modern building designed to house certain operational and training functions, including its 24-hour operations. This additional headquarters building is located across the street from the Company’s current headquarters building on land owned by the Company.</w:t>
      </w:r>
    </w:p>
    <w:p>
      <w:pPr>
        <w:pStyle w:val="BodyText"/>
        <w:spacing w:line="247" w:lineRule="auto" w:before="155"/>
        <w:ind w:left="100" w:right="117" w:firstLine="720"/>
        <w:jc w:val="both"/>
      </w:pPr>
      <w:r>
        <w:rPr>
          <w:color w:val="231F20"/>
        </w:rPr>
        <w:t>As part of the Company’s expansion of international service, the Company has agreed with the City of Houston (“City”) to expand the existing Houston Hobby airport facility. Pursuant to the agreement, the Company and the City have entered into an Airport Use and Lease Agreement to control the execution of this expansion and the financial terms thereof. This project provides for a new five-gate international terminal with international passenger processing facilities, expansion of the existing security checkpoint, and upgrades to the Southwest ticketing area. Construction began during third quarter 2013 and is estimated to be completed during the second half of 2015. Additional information regarding this project is provided below under “Management’s Discussion and Analysis of Financial Condition and Results of Operations” and in Note 4 to the Consolidated Financial Statements.</w:t>
      </w:r>
    </w:p>
    <w:p>
      <w:pPr>
        <w:pStyle w:val="BodyText"/>
        <w:spacing w:line="247" w:lineRule="auto" w:before="155"/>
        <w:ind w:left="100" w:right="117" w:firstLine="720"/>
        <w:jc w:val="both"/>
      </w:pPr>
      <w:r>
        <w:rPr>
          <w:color w:val="231F20"/>
        </w:rPr>
        <w:t>The Company has also agreed with Broward County, Florida, which owns and operates Fort Lauderdale-Hollywood International Airport, to oversee and manage the design and construction of the airport’s Terminal 1 Modernization Project. In addition to significant improvements to the existing Terminal 1, the project includes the design and construction of a new five-gate Concourse A with an international processing facility. Construction is expected to begin in mid to late 2015. Additional information regarding this project is provided below under “Management’s Discussion and Analysis of Financial Condition and Results of Operations” and in Note 4 to the Consolidated Financial Statements.</w:t>
      </w:r>
    </w:p>
    <w:p>
      <w:pPr>
        <w:pStyle w:val="BodyText"/>
        <w:spacing w:line="247" w:lineRule="auto" w:before="155"/>
        <w:ind w:left="100" w:right="117" w:firstLine="720"/>
        <w:jc w:val="both"/>
      </w:pPr>
      <w:r>
        <w:rPr>
          <w:color w:val="231F20"/>
        </w:rPr>
        <w:t>In March 2013, the Company executed a lease agreement with Los Angeles World Airports, which owns and operates Los Angeles International Airport. Under the lease agreement, which was amended in June 2014, the Company will oversee and manage the design, development, financing, construction and commissioning of the airport’s Terminal 1 Modernization Project. Construction on  the project began during fourth quarter 2014. Additional information regarding this project is provided below under “Management’s Discussion and Analysis of Financial Condition and Results of Operations” and in Note 4 to the Consolidated Financial</w:t>
      </w:r>
      <w:r>
        <w:rPr>
          <w:color w:val="231F20"/>
          <w:spacing w:val="-2"/>
        </w:rPr>
        <w:t> </w:t>
      </w:r>
      <w:r>
        <w:rPr>
          <w:color w:val="231F20"/>
        </w:rPr>
        <w:t>Statements.</w:t>
      </w:r>
    </w:p>
    <w:p>
      <w:pPr>
        <w:pStyle w:val="BodyText"/>
        <w:spacing w:line="247" w:lineRule="auto" w:before="155"/>
        <w:ind w:left="100" w:right="117" w:firstLine="720"/>
        <w:jc w:val="both"/>
      </w:pPr>
      <w:r>
        <w:rPr>
          <w:color w:val="231F20"/>
        </w:rPr>
        <w:t>During 2008, the City of Dallas approved the Love Field Modernization Program (“LFMP”), a project to reconstruct Dallas Love Field with modern, convenient air travel facilities. Pursuant to a Program Development Agreement with the City of Dallas and the Love Field Airport Modernization Corporation (a Texas non-profit “local government corporation” established by the City of Dallas to  act on the City of Dallas’ behalf to facilitate the development of the LFMP), the Company is managing this project. Major construction commenced during 2010. New ticketing and checkin areas opened during fourth quarter 2012, 12 new gates and new concessions opened in 2013, and the remaining  gates opened during October 2014. The majority of the project had been completed as of December</w:t>
      </w:r>
      <w:r>
        <w:rPr>
          <w:color w:val="231F20"/>
          <w:spacing w:val="22"/>
        </w:rPr>
        <w:t> </w:t>
      </w:r>
      <w:r>
        <w:rPr>
          <w:color w:val="231F20"/>
        </w:rPr>
        <w:t>31,</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2014, and consists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The LFMP is discussed in more detail below under “Management’s Discussion and Analysis of Financial Condition and Results of Operations” and in Note 4 to the Consolidated Financial Statements.</w:t>
      </w:r>
    </w:p>
    <w:p>
      <w:pPr>
        <w:pStyle w:val="BodyText"/>
        <w:spacing w:line="247" w:lineRule="auto" w:before="129"/>
        <w:ind w:left="100" w:right="117" w:firstLine="720"/>
        <w:jc w:val="both"/>
      </w:pPr>
      <w:r>
        <w:rPr>
          <w:color w:val="231F20"/>
        </w:rPr>
        <w:t>As of December 31, 2014, the Company operated seven Customer Support and Services call centers. The centers located in Atlanta, San Antonio, Chicago, Albuquerque, and Oklahoma City occupy leased space. The Company owns its Houston and Phoenix centers.</w:t>
      </w:r>
    </w:p>
    <w:p>
      <w:pPr>
        <w:pStyle w:val="BodyText"/>
        <w:spacing w:line="247" w:lineRule="auto" w:before="129"/>
        <w:ind w:left="100" w:right="117" w:firstLine="720"/>
        <w:jc w:val="both"/>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9"/>
        <w:rPr>
          <w:sz w:val="33"/>
        </w:rPr>
      </w:pPr>
    </w:p>
    <w:p>
      <w:pPr>
        <w:tabs>
          <w:tab w:pos="1639" w:val="left" w:leader="none"/>
        </w:tabs>
        <w:spacing w:before="0"/>
        <w:ind w:left="100" w:right="0" w:firstLine="0"/>
        <w:jc w:val="both"/>
        <w:rPr>
          <w:b/>
          <w:i/>
          <w:sz w:val="22"/>
        </w:rPr>
      </w:pPr>
      <w:bookmarkStart w:name="Item 3. Legal Proceedings" w:id="7"/>
      <w:bookmarkEnd w:id="7"/>
      <w:r>
        <w:rPr/>
      </w:r>
      <w:r>
        <w:rPr>
          <w:b/>
          <w:color w:val="231F20"/>
          <w:sz w:val="22"/>
        </w:rPr>
        <w:t>Item 3.</w:t>
        <w:tab/>
      </w:r>
      <w:r>
        <w:rPr>
          <w:b/>
          <w:i/>
          <w:color w:val="231F20"/>
          <w:sz w:val="22"/>
        </w:rPr>
        <w:t>Legal</w:t>
      </w:r>
      <w:r>
        <w:rPr>
          <w:b/>
          <w:i/>
          <w:color w:val="231F20"/>
          <w:spacing w:val="-1"/>
          <w:sz w:val="22"/>
        </w:rPr>
        <w:t> </w:t>
      </w:r>
      <w:r>
        <w:rPr>
          <w:b/>
          <w:i/>
          <w:color w:val="231F20"/>
          <w:sz w:val="22"/>
        </w:rPr>
        <w:t>Proceedings</w:t>
      </w:r>
    </w:p>
    <w:p>
      <w:pPr>
        <w:pStyle w:val="BodyText"/>
        <w:spacing w:line="247" w:lineRule="auto" w:before="136"/>
        <w:ind w:left="100" w:right="117" w:firstLine="720"/>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AirTran filed a motion to exclude the class certification reports of plaintiffs’ expert. The Court has not yet ruled on the class certification motion or the related motion to exclude plaintiffs’ expert. The parties engaged in extensive discovery, which was extended due to discovery disputes between plaintiffs and Delta, but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have delayed further briefing on summary judgment. On December 2, 2013, plaintiffs moved for discovery sanctions against Delta, and the Court has suspended further briefing on (i) the motion for summary judgment, (ii) the motion for class certification, and (iii) the motion to strike plaintiffs’ expert on</w:t>
      </w:r>
      <w:r>
        <w:rPr>
          <w:color w:val="231F20"/>
          <w:spacing w:val="15"/>
        </w:rPr>
        <w:t> </w:t>
      </w:r>
      <w:r>
        <w:rPr>
          <w:color w:val="231F20"/>
        </w:rPr>
        <w:t>class</w:t>
      </w:r>
      <w:r>
        <w:rPr>
          <w:color w:val="231F20"/>
          <w:spacing w:val="16"/>
        </w:rPr>
        <w:t> </w:t>
      </w:r>
      <w:r>
        <w:rPr>
          <w:color w:val="231F20"/>
        </w:rPr>
        <w:t>certification,</w:t>
      </w:r>
      <w:r>
        <w:rPr>
          <w:color w:val="231F20"/>
          <w:spacing w:val="14"/>
        </w:rPr>
        <w:t> </w:t>
      </w:r>
      <w:r>
        <w:rPr>
          <w:color w:val="231F20"/>
        </w:rPr>
        <w:t>until</w:t>
      </w:r>
      <w:r>
        <w:rPr>
          <w:color w:val="231F20"/>
          <w:spacing w:val="14"/>
        </w:rPr>
        <w:t> </w:t>
      </w:r>
      <w:r>
        <w:rPr>
          <w:color w:val="231F20"/>
        </w:rPr>
        <w:t>the</w:t>
      </w:r>
      <w:r>
        <w:rPr>
          <w:color w:val="231F20"/>
          <w:spacing w:val="15"/>
        </w:rPr>
        <w:t> </w:t>
      </w:r>
      <w:r>
        <w:rPr>
          <w:color w:val="231F20"/>
        </w:rPr>
        <w:t>sanctions</w:t>
      </w:r>
      <w:r>
        <w:rPr>
          <w:color w:val="231F20"/>
          <w:spacing w:val="16"/>
        </w:rPr>
        <w:t> </w:t>
      </w:r>
      <w:r>
        <w:rPr>
          <w:color w:val="231F20"/>
        </w:rPr>
        <w:t>motion</w:t>
      </w:r>
      <w:r>
        <w:rPr>
          <w:color w:val="231F20"/>
          <w:spacing w:val="14"/>
        </w:rPr>
        <w:t> </w:t>
      </w:r>
      <w:r>
        <w:rPr>
          <w:color w:val="231F20"/>
        </w:rPr>
        <w:t>is</w:t>
      </w:r>
      <w:r>
        <w:rPr>
          <w:color w:val="231F20"/>
          <w:spacing w:val="15"/>
        </w:rPr>
        <w:t> </w:t>
      </w:r>
      <w:r>
        <w:rPr>
          <w:color w:val="231F20"/>
        </w:rPr>
        <w:t>resolved.</w:t>
      </w:r>
      <w:r>
        <w:rPr>
          <w:color w:val="231F20"/>
          <w:spacing w:val="14"/>
        </w:rPr>
        <w:t> </w:t>
      </w:r>
      <w:r>
        <w:rPr>
          <w:color w:val="231F20"/>
        </w:rPr>
        <w:t>On</w:t>
      </w:r>
      <w:r>
        <w:rPr>
          <w:color w:val="231F20"/>
          <w:spacing w:val="14"/>
        </w:rPr>
        <w:t> </w:t>
      </w:r>
      <w:r>
        <w:rPr>
          <w:color w:val="231F20"/>
        </w:rPr>
        <w:t>May</w:t>
      </w:r>
      <w:r>
        <w:rPr>
          <w:color w:val="231F20"/>
          <w:spacing w:val="14"/>
        </w:rPr>
        <w:t> </w:t>
      </w:r>
      <w:r>
        <w:rPr>
          <w:color w:val="231F20"/>
        </w:rPr>
        <w:t>14,</w:t>
      </w:r>
      <w:r>
        <w:rPr>
          <w:color w:val="231F20"/>
          <w:spacing w:val="14"/>
        </w:rPr>
        <w:t> </w:t>
      </w:r>
      <w:r>
        <w:rPr>
          <w:color w:val="231F20"/>
        </w:rPr>
        <w:t>2014,</w:t>
      </w:r>
      <w:r>
        <w:rPr>
          <w:color w:val="231F20"/>
          <w:spacing w:val="14"/>
        </w:rPr>
        <w:t> </w:t>
      </w:r>
      <w:r>
        <w:rPr>
          <w:color w:val="231F20"/>
        </w:rPr>
        <w:t>the</w:t>
      </w:r>
      <w:r>
        <w:rPr>
          <w:color w:val="231F20"/>
          <w:spacing w:val="14"/>
        </w:rPr>
        <w:t> </w:t>
      </w:r>
      <w:r>
        <w:rPr>
          <w:color w:val="231F20"/>
        </w:rPr>
        <w:t>Court</w:t>
      </w:r>
      <w:r>
        <w:rPr>
          <w:color w:val="231F20"/>
          <w:spacing w:val="13"/>
        </w:rPr>
        <w:t> </w:t>
      </w:r>
      <w:r>
        <w:rPr>
          <w:color w:val="231F20"/>
        </w:rPr>
        <w:t>referred</w:t>
      </w:r>
      <w:r>
        <w:rPr>
          <w:color w:val="231F20"/>
          <w:spacing w:val="13"/>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sanctions dispute to a special master, the special master has issued a series of reports and recommendations, and plaintiffs and Delta have submitted objections to the special master’s report and recommendations. AirTran denies all allegations of wrongdoing, including those in the Consolidated Amended Complaint, and intends to defend vigorously any and all such allegations.</w:t>
      </w:r>
    </w:p>
    <w:p>
      <w:pPr>
        <w:pStyle w:val="BodyText"/>
        <w:spacing w:line="247" w:lineRule="auto" w:before="159"/>
        <w:ind w:left="100" w:right="117" w:firstLine="720"/>
        <w:jc w:val="both"/>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line="247" w:lineRule="auto" w:before="159"/>
        <w:ind w:left="100" w:right="117" w:firstLine="720"/>
        <w:jc w:val="both"/>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pStyle w:val="BodyText"/>
        <w:rPr>
          <w:sz w:val="24"/>
        </w:rPr>
      </w:pPr>
    </w:p>
    <w:p>
      <w:pPr>
        <w:tabs>
          <w:tab w:pos="1529" w:val="left" w:leader="none"/>
        </w:tabs>
        <w:spacing w:before="203"/>
        <w:ind w:left="100" w:right="0" w:firstLine="0"/>
        <w:jc w:val="left"/>
        <w:rPr>
          <w:b/>
          <w:i/>
          <w:sz w:val="22"/>
        </w:rPr>
      </w:pPr>
      <w:bookmarkStart w:name="Item 4. Mine Safety Disclosures" w:id="8"/>
      <w:bookmarkEnd w:id="8"/>
      <w:r>
        <w:rPr/>
      </w:r>
      <w:r>
        <w:rPr>
          <w:b/>
          <w:color w:val="231F20"/>
          <w:sz w:val="22"/>
        </w:rPr>
        <w:t>Item 4.</w:t>
        <w:tab/>
      </w:r>
      <w:r>
        <w:rPr>
          <w:b/>
          <w:i/>
          <w:color w:val="231F20"/>
          <w:sz w:val="22"/>
        </w:rPr>
        <w:t>Mine Safety</w:t>
      </w:r>
      <w:r>
        <w:rPr>
          <w:b/>
          <w:i/>
          <w:color w:val="231F20"/>
          <w:spacing w:val="-1"/>
          <w:sz w:val="22"/>
        </w:rPr>
        <w:t> </w:t>
      </w:r>
      <w:r>
        <w:rPr>
          <w:b/>
          <w:i/>
          <w:color w:val="231F20"/>
          <w:sz w:val="22"/>
        </w:rPr>
        <w:t>Disclosures</w:t>
      </w:r>
    </w:p>
    <w:p>
      <w:pPr>
        <w:pStyle w:val="BodyText"/>
        <w:spacing w:before="5"/>
        <w:rPr>
          <w:b/>
          <w:i/>
          <w:sz w:val="21"/>
        </w:rPr>
      </w:pPr>
    </w:p>
    <w:p>
      <w:pPr>
        <w:pStyle w:val="BodyText"/>
        <w:ind w:left="819"/>
      </w:pPr>
      <w:r>
        <w:rPr>
          <w:color w:val="231F20"/>
        </w:rPr>
        <w:t>Not applicable.</w:t>
      </w:r>
    </w:p>
    <w:p>
      <w:pPr>
        <w:spacing w:after="0"/>
        <w:sectPr>
          <w:pgSz w:w="11880" w:h="15480"/>
          <w:pgMar w:header="0" w:footer="1240" w:top="1240" w:bottom="1420" w:left="1280" w:right="1260"/>
        </w:sectPr>
      </w:pPr>
    </w:p>
    <w:p>
      <w:pPr>
        <w:pStyle w:val="Heading1"/>
        <w:ind w:left="2246"/>
      </w:pPr>
      <w:r>
        <w:rPr>
          <w:color w:val="231F20"/>
        </w:rPr>
        <w:t>EXECUTIVE OFFICERS OF THE REGISTRANT</w:t>
      </w:r>
    </w:p>
    <w:p>
      <w:pPr>
        <w:pStyle w:val="BodyText"/>
        <w:spacing w:before="120" w:after="14"/>
        <w:ind w:left="840"/>
      </w:pPr>
      <w:r>
        <w:rPr>
          <w:color w:val="231F20"/>
        </w:rPr>
        <w:t>The following information regarding the Company’s executive officers is as of February 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66"/>
        <w:gridCol w:w="5977"/>
        <w:gridCol w:w="977"/>
      </w:tblGrid>
      <w:tr>
        <w:trPr>
          <w:trHeight w:val="582" w:hRule="exact"/>
        </w:trPr>
        <w:tc>
          <w:tcPr>
            <w:tcW w:w="2166" w:type="dxa"/>
            <w:tcBorders>
              <w:bottom w:val="single" w:sz="8" w:space="0" w:color="231F20"/>
            </w:tcBorders>
          </w:tcPr>
          <w:p>
            <w:pPr>
              <w:pStyle w:val="TableParagraph"/>
              <w:spacing w:line="245" w:lineRule="exact" w:before="0"/>
              <w:rPr>
                <w:sz w:val="22"/>
              </w:rPr>
            </w:pPr>
            <w:r>
              <w:rPr>
                <w:color w:val="231F20"/>
                <w:sz w:val="22"/>
              </w:rPr>
              <w:t>2015.</w:t>
            </w:r>
          </w:p>
          <w:p>
            <w:pPr>
              <w:pStyle w:val="TableParagraph"/>
              <w:spacing w:before="79"/>
              <w:ind w:left="60"/>
              <w:rPr>
                <w:b/>
                <w:sz w:val="20"/>
              </w:rPr>
            </w:pPr>
            <w:r>
              <w:rPr>
                <w:b/>
                <w:color w:val="231F20"/>
                <w:sz w:val="20"/>
              </w:rPr>
              <w:t>Name</w:t>
            </w:r>
          </w:p>
        </w:tc>
        <w:tc>
          <w:tcPr>
            <w:tcW w:w="5977" w:type="dxa"/>
            <w:tcBorders>
              <w:bottom w:val="single" w:sz="8" w:space="0" w:color="231F20"/>
            </w:tcBorders>
          </w:tcPr>
          <w:p>
            <w:pPr>
              <w:pStyle w:val="TableParagraph"/>
              <w:spacing w:before="3"/>
              <w:rPr>
                <w:sz w:val="28"/>
              </w:rPr>
            </w:pPr>
          </w:p>
          <w:p>
            <w:pPr>
              <w:pStyle w:val="TableParagraph"/>
              <w:spacing w:before="0"/>
              <w:ind w:left="199"/>
              <w:rPr>
                <w:b/>
                <w:sz w:val="20"/>
              </w:rPr>
            </w:pPr>
            <w:r>
              <w:rPr>
                <w:b/>
                <w:color w:val="231F20"/>
                <w:sz w:val="20"/>
              </w:rPr>
              <w:t>Position</w:t>
            </w:r>
          </w:p>
        </w:tc>
        <w:tc>
          <w:tcPr>
            <w:tcW w:w="977" w:type="dxa"/>
            <w:tcBorders>
              <w:bottom w:val="single" w:sz="8" w:space="0" w:color="231F20"/>
            </w:tcBorders>
          </w:tcPr>
          <w:p>
            <w:pPr>
              <w:pStyle w:val="TableParagraph"/>
              <w:spacing w:before="3"/>
              <w:rPr>
                <w:sz w:val="28"/>
              </w:rPr>
            </w:pPr>
          </w:p>
          <w:p>
            <w:pPr>
              <w:pStyle w:val="TableParagraph"/>
              <w:spacing w:before="0"/>
              <w:ind w:right="271"/>
              <w:jc w:val="right"/>
              <w:rPr>
                <w:b/>
                <w:sz w:val="20"/>
              </w:rPr>
            </w:pPr>
            <w:r>
              <w:rPr>
                <w:b/>
                <w:color w:val="231F20"/>
                <w:sz w:val="20"/>
              </w:rPr>
              <w:t>Age</w:t>
            </w:r>
          </w:p>
        </w:tc>
      </w:tr>
      <w:tr>
        <w:trPr>
          <w:trHeight w:val="330" w:hRule="exact"/>
        </w:trPr>
        <w:tc>
          <w:tcPr>
            <w:tcW w:w="2166" w:type="dxa"/>
            <w:tcBorders>
              <w:top w:val="single" w:sz="8" w:space="0" w:color="231F20"/>
            </w:tcBorders>
            <w:shd w:val="clear" w:color="auto" w:fill="CCECFC"/>
          </w:tcPr>
          <w:p>
            <w:pPr>
              <w:pStyle w:val="TableParagraph"/>
              <w:ind w:left="60"/>
              <w:rPr>
                <w:sz w:val="20"/>
              </w:rPr>
            </w:pPr>
            <w:r>
              <w:rPr>
                <w:color w:val="231F20"/>
                <w:sz w:val="20"/>
              </w:rPr>
              <w:t>Gary C. Kelly</w:t>
            </w:r>
          </w:p>
        </w:tc>
        <w:tc>
          <w:tcPr>
            <w:tcW w:w="5977" w:type="dxa"/>
            <w:tcBorders>
              <w:top w:val="single" w:sz="8" w:space="0" w:color="231F20"/>
            </w:tcBorders>
            <w:shd w:val="clear" w:color="auto" w:fill="CCECFC"/>
          </w:tcPr>
          <w:p>
            <w:pPr>
              <w:pStyle w:val="TableParagraph"/>
              <w:ind w:left="199"/>
              <w:rPr>
                <w:sz w:val="20"/>
              </w:rPr>
            </w:pPr>
            <w:r>
              <w:rPr>
                <w:color w:val="231F20"/>
                <w:sz w:val="20"/>
              </w:rPr>
              <w:t>Chairman of the Board, President, &amp; Chief Executive Officer</w:t>
            </w:r>
          </w:p>
        </w:tc>
        <w:tc>
          <w:tcPr>
            <w:tcW w:w="977" w:type="dxa"/>
            <w:tcBorders>
              <w:top w:val="single" w:sz="8" w:space="0" w:color="231F20"/>
            </w:tcBorders>
            <w:shd w:val="clear" w:color="auto" w:fill="CCECFC"/>
          </w:tcPr>
          <w:p>
            <w:pPr>
              <w:pStyle w:val="TableParagraph"/>
              <w:ind w:right="337"/>
              <w:jc w:val="right"/>
              <w:rPr>
                <w:sz w:val="20"/>
              </w:rPr>
            </w:pPr>
            <w:r>
              <w:rPr>
                <w:color w:val="231F20"/>
                <w:sz w:val="20"/>
              </w:rPr>
              <w:t>59</w:t>
            </w:r>
          </w:p>
        </w:tc>
      </w:tr>
      <w:tr>
        <w:trPr>
          <w:trHeight w:val="320" w:hRule="exact"/>
        </w:trPr>
        <w:tc>
          <w:tcPr>
            <w:tcW w:w="2166" w:type="dxa"/>
          </w:tcPr>
          <w:p>
            <w:pPr>
              <w:pStyle w:val="TableParagraph"/>
              <w:ind w:left="60"/>
              <w:rPr>
                <w:sz w:val="20"/>
              </w:rPr>
            </w:pPr>
            <w:r>
              <w:rPr>
                <w:color w:val="231F20"/>
                <w:sz w:val="20"/>
              </w:rPr>
              <w:t>Robert E. Jordan</w:t>
            </w:r>
          </w:p>
        </w:tc>
        <w:tc>
          <w:tcPr>
            <w:tcW w:w="5977" w:type="dxa"/>
          </w:tcPr>
          <w:p>
            <w:pPr>
              <w:pStyle w:val="TableParagraph"/>
              <w:ind w:left="199"/>
              <w:rPr>
                <w:sz w:val="20"/>
              </w:rPr>
            </w:pPr>
            <w:r>
              <w:rPr>
                <w:color w:val="231F20"/>
                <w:sz w:val="20"/>
              </w:rPr>
              <w:t>Executive Vice President &amp; Chief Commercial Officer</w:t>
            </w:r>
          </w:p>
        </w:tc>
        <w:tc>
          <w:tcPr>
            <w:tcW w:w="977" w:type="dxa"/>
          </w:tcPr>
          <w:p>
            <w:pPr>
              <w:pStyle w:val="TableParagraph"/>
              <w:ind w:right="337"/>
              <w:jc w:val="right"/>
              <w:rPr>
                <w:sz w:val="20"/>
              </w:rPr>
            </w:pPr>
            <w:r>
              <w:rPr>
                <w:color w:val="231F20"/>
                <w:sz w:val="20"/>
              </w:rPr>
              <w:t>54</w:t>
            </w:r>
          </w:p>
        </w:tc>
      </w:tr>
      <w:tr>
        <w:trPr>
          <w:trHeight w:val="320" w:hRule="exact"/>
        </w:trPr>
        <w:tc>
          <w:tcPr>
            <w:tcW w:w="2166" w:type="dxa"/>
            <w:shd w:val="clear" w:color="auto" w:fill="CCECFC"/>
          </w:tcPr>
          <w:p>
            <w:pPr>
              <w:pStyle w:val="TableParagraph"/>
              <w:ind w:left="60"/>
              <w:rPr>
                <w:sz w:val="20"/>
              </w:rPr>
            </w:pPr>
            <w:r>
              <w:rPr>
                <w:color w:val="231F20"/>
                <w:sz w:val="20"/>
              </w:rPr>
              <w:t>Jeff Lamb</w:t>
            </w:r>
          </w:p>
        </w:tc>
        <w:tc>
          <w:tcPr>
            <w:tcW w:w="5977" w:type="dxa"/>
            <w:shd w:val="clear" w:color="auto" w:fill="CCECFC"/>
          </w:tcPr>
          <w:p>
            <w:pPr>
              <w:pStyle w:val="TableParagraph"/>
              <w:ind w:left="199"/>
              <w:rPr>
                <w:sz w:val="20"/>
              </w:rPr>
            </w:pPr>
            <w:r>
              <w:rPr>
                <w:color w:val="231F20"/>
                <w:sz w:val="20"/>
              </w:rPr>
              <w:t>Executive Vice President &amp; Chief People &amp; Administrative Officer</w:t>
            </w:r>
          </w:p>
        </w:tc>
        <w:tc>
          <w:tcPr>
            <w:tcW w:w="977" w:type="dxa"/>
            <w:shd w:val="clear" w:color="auto" w:fill="CCECFC"/>
          </w:tcPr>
          <w:p>
            <w:pPr>
              <w:pStyle w:val="TableParagraph"/>
              <w:ind w:right="337"/>
              <w:jc w:val="right"/>
              <w:rPr>
                <w:sz w:val="20"/>
              </w:rPr>
            </w:pPr>
            <w:r>
              <w:rPr>
                <w:color w:val="231F20"/>
                <w:sz w:val="20"/>
              </w:rPr>
              <w:t>52</w:t>
            </w:r>
          </w:p>
        </w:tc>
      </w:tr>
      <w:tr>
        <w:trPr>
          <w:trHeight w:val="320" w:hRule="exact"/>
        </w:trPr>
        <w:tc>
          <w:tcPr>
            <w:tcW w:w="2166" w:type="dxa"/>
          </w:tcPr>
          <w:p>
            <w:pPr>
              <w:pStyle w:val="TableParagraph"/>
              <w:ind w:left="60"/>
              <w:rPr>
                <w:sz w:val="20"/>
              </w:rPr>
            </w:pPr>
            <w:r>
              <w:rPr>
                <w:color w:val="231F20"/>
                <w:sz w:val="20"/>
              </w:rPr>
              <w:t>Ron Ricks</w:t>
            </w:r>
          </w:p>
        </w:tc>
        <w:tc>
          <w:tcPr>
            <w:tcW w:w="5977" w:type="dxa"/>
          </w:tcPr>
          <w:p>
            <w:pPr>
              <w:pStyle w:val="TableParagraph"/>
              <w:ind w:left="199"/>
              <w:rPr>
                <w:sz w:val="20"/>
              </w:rPr>
            </w:pPr>
            <w:r>
              <w:rPr>
                <w:color w:val="231F20"/>
                <w:sz w:val="20"/>
              </w:rPr>
              <w:t>Executive Vice President &amp; Chief Legal &amp; Regulatory Officer</w:t>
            </w:r>
          </w:p>
        </w:tc>
        <w:tc>
          <w:tcPr>
            <w:tcW w:w="977" w:type="dxa"/>
          </w:tcPr>
          <w:p>
            <w:pPr>
              <w:pStyle w:val="TableParagraph"/>
              <w:ind w:right="337"/>
              <w:jc w:val="right"/>
              <w:rPr>
                <w:sz w:val="20"/>
              </w:rPr>
            </w:pPr>
            <w:r>
              <w:rPr>
                <w:color w:val="231F20"/>
                <w:sz w:val="20"/>
              </w:rPr>
              <w:t>65</w:t>
            </w:r>
          </w:p>
        </w:tc>
      </w:tr>
      <w:tr>
        <w:trPr>
          <w:trHeight w:val="320" w:hRule="exact"/>
        </w:trPr>
        <w:tc>
          <w:tcPr>
            <w:tcW w:w="2166" w:type="dxa"/>
            <w:shd w:val="clear" w:color="auto" w:fill="CCECFC"/>
          </w:tcPr>
          <w:p>
            <w:pPr>
              <w:pStyle w:val="TableParagraph"/>
              <w:ind w:left="60"/>
              <w:rPr>
                <w:sz w:val="20"/>
              </w:rPr>
            </w:pPr>
            <w:r>
              <w:rPr>
                <w:color w:val="231F20"/>
                <w:sz w:val="20"/>
              </w:rPr>
              <w:t>Michael G. Van de Ven</w:t>
            </w:r>
          </w:p>
        </w:tc>
        <w:tc>
          <w:tcPr>
            <w:tcW w:w="5977" w:type="dxa"/>
            <w:shd w:val="clear" w:color="auto" w:fill="CCECFC"/>
          </w:tcPr>
          <w:p>
            <w:pPr>
              <w:pStyle w:val="TableParagraph"/>
              <w:ind w:left="199"/>
              <w:rPr>
                <w:sz w:val="20"/>
              </w:rPr>
            </w:pPr>
            <w:r>
              <w:rPr>
                <w:color w:val="231F20"/>
                <w:sz w:val="20"/>
              </w:rPr>
              <w:t>Executive Vice President &amp; Chief Operating Officer</w:t>
            </w:r>
          </w:p>
        </w:tc>
        <w:tc>
          <w:tcPr>
            <w:tcW w:w="977" w:type="dxa"/>
            <w:shd w:val="clear" w:color="auto" w:fill="CCECFC"/>
          </w:tcPr>
          <w:p>
            <w:pPr>
              <w:pStyle w:val="TableParagraph"/>
              <w:ind w:right="337"/>
              <w:jc w:val="right"/>
              <w:rPr>
                <w:sz w:val="20"/>
              </w:rPr>
            </w:pPr>
            <w:r>
              <w:rPr>
                <w:color w:val="231F20"/>
                <w:sz w:val="20"/>
              </w:rPr>
              <w:t>53</w:t>
            </w:r>
          </w:p>
        </w:tc>
      </w:tr>
      <w:tr>
        <w:trPr>
          <w:trHeight w:val="284" w:hRule="exact"/>
        </w:trPr>
        <w:tc>
          <w:tcPr>
            <w:tcW w:w="2166" w:type="dxa"/>
          </w:tcPr>
          <w:p>
            <w:pPr>
              <w:pStyle w:val="TableParagraph"/>
              <w:ind w:left="60"/>
              <w:rPr>
                <w:sz w:val="20"/>
              </w:rPr>
            </w:pPr>
            <w:r>
              <w:rPr>
                <w:color w:val="231F20"/>
                <w:sz w:val="20"/>
              </w:rPr>
              <w:t>Tammy Romo</w:t>
            </w:r>
          </w:p>
        </w:tc>
        <w:tc>
          <w:tcPr>
            <w:tcW w:w="5977" w:type="dxa"/>
          </w:tcPr>
          <w:p>
            <w:pPr>
              <w:pStyle w:val="TableParagraph"/>
              <w:ind w:left="199"/>
              <w:rPr>
                <w:sz w:val="20"/>
              </w:rPr>
            </w:pPr>
            <w:r>
              <w:rPr>
                <w:color w:val="231F20"/>
                <w:sz w:val="20"/>
              </w:rPr>
              <w:t>Senior Vice President Finance &amp; Chief Financial Officer</w:t>
            </w:r>
          </w:p>
        </w:tc>
        <w:tc>
          <w:tcPr>
            <w:tcW w:w="977" w:type="dxa"/>
          </w:tcPr>
          <w:p>
            <w:pPr>
              <w:pStyle w:val="TableParagraph"/>
              <w:ind w:right="337"/>
              <w:jc w:val="right"/>
              <w:rPr>
                <w:sz w:val="20"/>
              </w:rPr>
            </w:pPr>
            <w:r>
              <w:rPr>
                <w:color w:val="231F20"/>
                <w:sz w:val="20"/>
              </w:rPr>
              <w:t>52</w:t>
            </w:r>
          </w:p>
        </w:tc>
      </w:tr>
    </w:tbl>
    <w:p>
      <w:pPr>
        <w:pStyle w:val="BodyText"/>
        <w:spacing w:line="247" w:lineRule="auto" w:before="205"/>
        <w:ind w:left="120" w:right="119" w:firstLine="720"/>
        <w:jc w:val="both"/>
      </w:pPr>
      <w:r>
        <w:rPr>
          <w:color w:val="231F20"/>
        </w:rPr>
        <w:t>Set forth below is a description of the background of each of the Company’s  executive officers.</w:t>
      </w:r>
    </w:p>
    <w:p>
      <w:pPr>
        <w:pStyle w:val="BodyText"/>
        <w:spacing w:line="247" w:lineRule="auto" w:before="113"/>
        <w:ind w:left="120" w:right="117" w:firstLine="720"/>
        <w:jc w:val="both"/>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 Controller.</w:t>
      </w:r>
    </w:p>
    <w:p>
      <w:pPr>
        <w:pStyle w:val="BodyText"/>
        <w:spacing w:line="247" w:lineRule="auto" w:before="113"/>
        <w:ind w:left="120" w:right="117" w:firstLine="720"/>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 served as Executive Vice President Strategy &amp; Planning from May 2008 to September 2011, Executive Vice 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w:t>
      </w:r>
      <w:r>
        <w:rPr>
          <w:color w:val="231F20"/>
          <w:spacing w:val="-3"/>
        </w:rPr>
        <w:t> </w:t>
      </w:r>
      <w:r>
        <w:rPr>
          <w:color w:val="231F20"/>
        </w:rPr>
        <w:t>programmer.</w:t>
      </w:r>
    </w:p>
    <w:p>
      <w:pPr>
        <w:pStyle w:val="BodyText"/>
        <w:spacing w:line="247" w:lineRule="auto" w:before="113"/>
        <w:ind w:left="119" w:right="117" w:firstLine="720"/>
        <w:jc w:val="both"/>
      </w:pPr>
      <w:r>
        <w:rPr>
          <w:i/>
          <w:color w:val="231F20"/>
        </w:rPr>
        <w:t>Jeff Lamb </w:t>
      </w:r>
      <w:r>
        <w:rPr>
          <w:color w:val="231F20"/>
        </w:rPr>
        <w:t>has served as the Company’s Executive Vice President &amp; Chief People &amp; Administrative Officer since September 2011. Mr. Lamb also served as Senior Vice President Administration &amp; Chief People Officer from October 2007 to September  2011,  Vice  President  People &amp; Leadership Development from February 2006 to October 2007, and as Senior Director  People Development from December 2004 until February</w:t>
      </w:r>
      <w:r>
        <w:rPr>
          <w:color w:val="231F20"/>
          <w:spacing w:val="-2"/>
        </w:rPr>
        <w:t> </w:t>
      </w:r>
      <w:r>
        <w:rPr>
          <w:color w:val="231F20"/>
        </w:rPr>
        <w:t>2006.</w:t>
      </w:r>
    </w:p>
    <w:p>
      <w:pPr>
        <w:pStyle w:val="BodyText"/>
        <w:spacing w:line="247" w:lineRule="auto" w:before="113"/>
        <w:ind w:left="119" w:right="117" w:firstLine="720"/>
        <w:jc w:val="both"/>
      </w:pPr>
      <w:r>
        <w:rPr>
          <w:i/>
          <w:color w:val="231F20"/>
        </w:rPr>
        <w:t>Ron Ricks </w:t>
      </w:r>
      <w:r>
        <w:rPr>
          <w:color w:val="231F20"/>
        </w:rPr>
        <w:t>has served as the Company’s Executive Vice President &amp; Chief Legal &amp; Regulatory Officer since September 2011. Mr. Ricks also served as Corporate Secretary from May 2008 to  January 2013, Executive Vice President Corporate Services from May 2008 to September 2011, Executive Vice President Law, Airports, &amp; Public Affairs from September 2006 to May 2008, and Senior Vice President Law, Airports, &amp; Public Affairs from August 2004 until September 2006.       Mr. Ricks joined the Company in 1986 as its Vice President Governmental</w:t>
      </w:r>
      <w:r>
        <w:rPr>
          <w:color w:val="231F20"/>
          <w:spacing w:val="-1"/>
        </w:rPr>
        <w:t> </w:t>
      </w:r>
      <w:r>
        <w:rPr>
          <w:color w:val="231F20"/>
        </w:rPr>
        <w:t>Affairs.</w:t>
      </w:r>
    </w:p>
    <w:p>
      <w:pPr>
        <w:pStyle w:val="BodyText"/>
        <w:spacing w:line="247" w:lineRule="auto" w:before="113"/>
        <w:ind w:left="119" w:right="117" w:firstLine="720"/>
        <w:jc w:val="both"/>
      </w:pPr>
      <w:r>
        <w:rPr>
          <w:i/>
          <w:color w:val="231F20"/>
        </w:rPr>
        <w:t>Michael G. Van de Ven </w:t>
      </w:r>
      <w:r>
        <w:rPr>
          <w:color w:val="231F20"/>
        </w:rPr>
        <w:t>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w:t>
      </w:r>
      <w:r>
        <w:rPr>
          <w:color w:val="231F20"/>
          <w:spacing w:val="-3"/>
        </w:rPr>
        <w:t> </w:t>
      </w:r>
      <w:r>
        <w:rPr>
          <w:color w:val="231F20"/>
        </w:rPr>
        <w:t>Audit.</w:t>
      </w:r>
    </w:p>
    <w:p>
      <w:pPr>
        <w:spacing w:after="0" w:line="247" w:lineRule="auto"/>
        <w:jc w:val="both"/>
        <w:sectPr>
          <w:pgSz w:w="11880" w:h="15480"/>
          <w:pgMar w:header="0" w:footer="1240" w:top="1240" w:bottom="1420" w:left="1260" w:right="1260"/>
        </w:sectPr>
      </w:pPr>
    </w:p>
    <w:p>
      <w:pPr>
        <w:pStyle w:val="BodyText"/>
        <w:spacing w:line="247" w:lineRule="auto" w:before="74"/>
        <w:ind w:left="119" w:right="117" w:firstLine="720"/>
        <w:jc w:val="both"/>
      </w:pPr>
      <w:r>
        <w:rPr>
          <w:i/>
          <w:color w:val="231F20"/>
        </w:rPr>
        <w:t>Tammy Romo </w:t>
      </w:r>
      <w:r>
        <w:rPr>
          <w:color w:val="231F20"/>
        </w:rPr>
        <w:t>has served as the Company’s Senior Vice President Finance &amp; Chief Financial Officer since September 2012. Ms. Romo also served as Senior Vice President of Planning from February 2010 to September 2012, Vice President of Financial Planning from September 2008 to February 2010, Vice President Controller from February 2006 to August 2008, Vice President Treasurer from September 2004 to February 2006, Senior 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spacing w:after="0" w:line="247" w:lineRule="auto"/>
        <w:jc w:val="both"/>
        <w:sectPr>
          <w:pgSz w:w="11880" w:h="15480"/>
          <w:pgMar w:header="0" w:footer="1240" w:top="1240" w:bottom="1420" w:left="1260" w:right="1260"/>
        </w:sectPr>
      </w:pPr>
    </w:p>
    <w:p>
      <w:pPr>
        <w:pStyle w:val="Heading1"/>
        <w:ind w:left="4227" w:right="4227"/>
        <w:jc w:val="center"/>
      </w:pPr>
      <w:bookmarkStart w:name="PART II" w:id="9"/>
      <w:bookmarkEnd w:id="9"/>
      <w:r>
        <w:rPr>
          <w:b w:val="0"/>
        </w:rPr>
      </w:r>
      <w:r>
        <w:rPr>
          <w:color w:val="231F20"/>
        </w:rPr>
        <w:t>PART II</w:t>
      </w:r>
    </w:p>
    <w:p>
      <w:pPr>
        <w:pStyle w:val="BodyText"/>
        <w:spacing w:before="9"/>
        <w:rPr>
          <w:b/>
          <w:sz w:val="31"/>
        </w:rPr>
      </w:pPr>
    </w:p>
    <w:p>
      <w:pPr>
        <w:pStyle w:val="Heading2"/>
        <w:tabs>
          <w:tab w:pos="1474" w:val="left" w:leader="none"/>
        </w:tabs>
        <w:spacing w:line="247" w:lineRule="auto" w:before="1"/>
        <w:ind w:left="100" w:right="401"/>
      </w:pPr>
      <w:bookmarkStart w:name="Item 5. Market for Registrant's Common E" w:id="10"/>
      <w:bookmarkEnd w:id="10"/>
      <w:r>
        <w:rPr>
          <w:b w:val="0"/>
          <w:i w:val="0"/>
        </w:rPr>
      </w:r>
      <w:r>
        <w:rPr>
          <w:i w:val="0"/>
          <w:color w:val="231F20"/>
        </w:rPr>
        <w:t>Item 5.</w:t>
        <w:tab/>
      </w:r>
      <w:r>
        <w:rPr>
          <w:i/>
          <w:color w:val="231F20"/>
        </w:rPr>
        <w:t>Market for Registrant’s Common Equity, Related Stockholder Matters, and</w:t>
      </w:r>
      <w:r>
        <w:rPr>
          <w:i/>
          <w:color w:val="231F20"/>
          <w:spacing w:val="-1"/>
        </w:rPr>
        <w:t> </w:t>
      </w:r>
      <w:r>
        <w:rPr>
          <w:i/>
          <w:color w:val="231F20"/>
        </w:rPr>
        <w:t>Issuer</w:t>
      </w:r>
      <w:r>
        <w:rPr>
          <w:color w:val="231F20"/>
          <w:w w:val="99"/>
        </w:rPr>
        <w:t> </w:t>
      </w:r>
      <w:r>
        <w:rPr>
          <w:color w:val="231F20"/>
        </w:rPr>
        <w:t>Purchases of Equity</w:t>
      </w:r>
      <w:r>
        <w:rPr>
          <w:color w:val="231F20"/>
          <w:spacing w:val="-2"/>
        </w:rPr>
        <w:t> </w:t>
      </w:r>
      <w:r>
        <w:rPr>
          <w:color w:val="231F20"/>
        </w:rPr>
        <w:t>Securities</w:t>
      </w:r>
    </w:p>
    <w:p>
      <w:pPr>
        <w:pStyle w:val="BodyText"/>
        <w:spacing w:before="9"/>
        <w:rPr>
          <w:b/>
          <w:i/>
          <w:sz w:val="20"/>
        </w:rPr>
      </w:pPr>
    </w:p>
    <w:p>
      <w:pPr>
        <w:pStyle w:val="BodyText"/>
        <w:spacing w:line="247" w:lineRule="auto"/>
        <w:ind w:left="100" w:right="98" w:firstLine="720"/>
        <w:jc w:val="both"/>
      </w:pPr>
      <w:r>
        <w:rPr>
          <w:color w:val="231F20"/>
        </w:rPr>
        <w:t>The Company’s common stock is listed on the New York Stock Exchange (“NYSE”) and is traded under the symbol “LUV.” The following table shows the high and low prices per share of the Company’s common stock, as reported on the NYSE Composite Tape, and the cash dividends per  share declared on the Company’s common stock.</w:t>
      </w:r>
    </w:p>
    <w:p>
      <w:pPr>
        <w:pStyle w:val="BodyText"/>
        <w:spacing w:before="3"/>
        <w:rPr>
          <w:sz w:val="1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00"/>
        <w:gridCol w:w="1430"/>
        <w:gridCol w:w="1480"/>
        <w:gridCol w:w="1430"/>
      </w:tblGrid>
      <w:tr>
        <w:trPr>
          <w:trHeight w:val="256" w:hRule="exact"/>
        </w:trPr>
        <w:tc>
          <w:tcPr>
            <w:tcW w:w="4680" w:type="dxa"/>
            <w:tcBorders>
              <w:bottom w:val="single" w:sz="8" w:space="0" w:color="231F20"/>
            </w:tcBorders>
          </w:tcPr>
          <w:p>
            <w:pPr>
              <w:pStyle w:val="TableParagraph"/>
              <w:spacing w:line="229" w:lineRule="exact" w:before="0"/>
              <w:ind w:left="160"/>
              <w:rPr>
                <w:b/>
                <w:sz w:val="20"/>
              </w:rPr>
            </w:pPr>
            <w:r>
              <w:rPr>
                <w:b/>
                <w:color w:val="231F20"/>
                <w:sz w:val="20"/>
              </w:rPr>
              <w:t>Period</w:t>
            </w:r>
          </w:p>
        </w:tc>
        <w:tc>
          <w:tcPr>
            <w:tcW w:w="100" w:type="dxa"/>
          </w:tcPr>
          <w:p>
            <w:pPr/>
          </w:p>
        </w:tc>
        <w:tc>
          <w:tcPr>
            <w:tcW w:w="1430" w:type="dxa"/>
            <w:tcBorders>
              <w:bottom w:val="single" w:sz="8" w:space="0" w:color="231F20"/>
            </w:tcBorders>
          </w:tcPr>
          <w:p>
            <w:pPr>
              <w:pStyle w:val="TableParagraph"/>
              <w:spacing w:line="229" w:lineRule="exact" w:before="0"/>
              <w:ind w:left="301"/>
              <w:rPr>
                <w:b/>
                <w:sz w:val="20"/>
              </w:rPr>
            </w:pPr>
            <w:r>
              <w:rPr>
                <w:b/>
                <w:color w:val="231F20"/>
                <w:sz w:val="20"/>
              </w:rPr>
              <w:t>Dividend</w:t>
            </w:r>
          </w:p>
        </w:tc>
        <w:tc>
          <w:tcPr>
            <w:tcW w:w="1480" w:type="dxa"/>
            <w:tcBorders>
              <w:bottom w:val="single" w:sz="8" w:space="0" w:color="231F20"/>
            </w:tcBorders>
          </w:tcPr>
          <w:p>
            <w:pPr>
              <w:pStyle w:val="TableParagraph"/>
              <w:spacing w:line="229" w:lineRule="exact" w:before="0"/>
              <w:ind w:left="98" w:right="99"/>
              <w:jc w:val="center"/>
              <w:rPr>
                <w:b/>
                <w:sz w:val="20"/>
              </w:rPr>
            </w:pPr>
            <w:r>
              <w:rPr>
                <w:b/>
                <w:color w:val="231F20"/>
                <w:sz w:val="20"/>
              </w:rPr>
              <w:t>High</w:t>
            </w:r>
          </w:p>
        </w:tc>
        <w:tc>
          <w:tcPr>
            <w:tcW w:w="1430" w:type="dxa"/>
            <w:tcBorders>
              <w:bottom w:val="single" w:sz="8" w:space="0" w:color="231F20"/>
            </w:tcBorders>
          </w:tcPr>
          <w:p>
            <w:pPr>
              <w:pStyle w:val="TableParagraph"/>
              <w:spacing w:line="229" w:lineRule="exact" w:before="0"/>
              <w:ind w:left="492" w:right="520"/>
              <w:jc w:val="center"/>
              <w:rPr>
                <w:b/>
                <w:sz w:val="20"/>
              </w:rPr>
            </w:pPr>
            <w:r>
              <w:rPr>
                <w:b/>
                <w:color w:val="231F20"/>
                <w:sz w:val="20"/>
              </w:rPr>
              <w:t>Low</w:t>
            </w:r>
          </w:p>
        </w:tc>
      </w:tr>
      <w:tr>
        <w:trPr>
          <w:trHeight w:val="330" w:hRule="exact"/>
        </w:trPr>
        <w:tc>
          <w:tcPr>
            <w:tcW w:w="4680" w:type="dxa"/>
            <w:tcBorders>
              <w:top w:val="single" w:sz="8" w:space="0" w:color="231F20"/>
            </w:tcBorders>
            <w:shd w:val="clear" w:color="auto" w:fill="CCECFC"/>
          </w:tcPr>
          <w:p>
            <w:pPr>
              <w:pStyle w:val="TableParagraph"/>
              <w:ind w:left="160"/>
              <w:rPr>
                <w:b/>
                <w:sz w:val="20"/>
              </w:rPr>
            </w:pPr>
            <w:r>
              <w:rPr>
                <w:b/>
                <w:color w:val="231F20"/>
                <w:sz w:val="20"/>
              </w:rPr>
              <w:t>2014</w:t>
            </w:r>
          </w:p>
        </w:tc>
        <w:tc>
          <w:tcPr>
            <w:tcW w:w="100" w:type="dxa"/>
            <w:shd w:val="clear" w:color="auto" w:fill="CCECFC"/>
          </w:tcPr>
          <w:p>
            <w:pPr/>
          </w:p>
        </w:tc>
        <w:tc>
          <w:tcPr>
            <w:tcW w:w="1430" w:type="dxa"/>
            <w:tcBorders>
              <w:top w:val="single" w:sz="8" w:space="0" w:color="231F20"/>
            </w:tcBorders>
            <w:shd w:val="clear" w:color="auto" w:fill="CCECFC"/>
          </w:tcPr>
          <w:p>
            <w:pPr/>
          </w:p>
        </w:tc>
        <w:tc>
          <w:tcPr>
            <w:tcW w:w="1480" w:type="dxa"/>
            <w:tcBorders>
              <w:top w:val="single" w:sz="8" w:space="0" w:color="231F20"/>
            </w:tcBorders>
            <w:shd w:val="clear" w:color="auto" w:fill="CCECFC"/>
          </w:tcPr>
          <w:p>
            <w:pPr/>
          </w:p>
        </w:tc>
        <w:tc>
          <w:tcPr>
            <w:tcW w:w="1430" w:type="dxa"/>
            <w:tcBorders>
              <w:top w:val="single" w:sz="8" w:space="0" w:color="231F20"/>
            </w:tcBorders>
            <w:shd w:val="clear" w:color="auto" w:fill="CCECFC"/>
          </w:tcPr>
          <w:p>
            <w:pPr/>
          </w:p>
        </w:tc>
      </w:tr>
      <w:tr>
        <w:trPr>
          <w:trHeight w:val="320" w:hRule="exact"/>
        </w:trPr>
        <w:tc>
          <w:tcPr>
            <w:tcW w:w="4680" w:type="dxa"/>
          </w:tcPr>
          <w:p>
            <w:pPr>
              <w:pStyle w:val="TableParagraph"/>
              <w:ind w:left="460"/>
              <w:rPr>
                <w:sz w:val="20"/>
              </w:rPr>
            </w:pPr>
            <w:r>
              <w:rPr>
                <w:color w:val="231F20"/>
                <w:sz w:val="20"/>
              </w:rPr>
              <w:t>1st Quarter</w:t>
            </w:r>
          </w:p>
        </w:tc>
        <w:tc>
          <w:tcPr>
            <w:tcW w:w="100" w:type="dxa"/>
          </w:tcPr>
          <w:p>
            <w:pPr/>
          </w:p>
        </w:tc>
        <w:tc>
          <w:tcPr>
            <w:tcW w:w="1430" w:type="dxa"/>
          </w:tcPr>
          <w:p>
            <w:pPr>
              <w:pStyle w:val="TableParagraph"/>
              <w:tabs>
                <w:tab w:pos="729" w:val="left" w:leader="none"/>
              </w:tabs>
              <w:ind w:right="48"/>
              <w:jc w:val="right"/>
              <w:rPr>
                <w:sz w:val="20"/>
              </w:rPr>
            </w:pPr>
            <w:r>
              <w:rPr>
                <w:color w:val="231F20"/>
                <w:sz w:val="20"/>
              </w:rPr>
              <w:t>$</w:t>
              <w:tab/>
              <w:t>0.04000</w:t>
            </w:r>
          </w:p>
        </w:tc>
        <w:tc>
          <w:tcPr>
            <w:tcW w:w="1480" w:type="dxa"/>
          </w:tcPr>
          <w:p>
            <w:pPr>
              <w:pStyle w:val="TableParagraph"/>
              <w:tabs>
                <w:tab w:pos="929" w:val="left" w:leader="none"/>
              </w:tabs>
              <w:ind w:right="48"/>
              <w:jc w:val="right"/>
              <w:rPr>
                <w:sz w:val="20"/>
              </w:rPr>
            </w:pPr>
            <w:r>
              <w:rPr>
                <w:color w:val="231F20"/>
                <w:sz w:val="20"/>
              </w:rPr>
              <w:t>$</w:t>
              <w:tab/>
              <w:t>24.17</w:t>
            </w:r>
          </w:p>
        </w:tc>
        <w:tc>
          <w:tcPr>
            <w:tcW w:w="1430" w:type="dxa"/>
          </w:tcPr>
          <w:p>
            <w:pPr>
              <w:pStyle w:val="TableParagraph"/>
              <w:tabs>
                <w:tab w:pos="849" w:val="left" w:leader="none"/>
              </w:tabs>
              <w:ind w:right="79"/>
              <w:jc w:val="right"/>
              <w:rPr>
                <w:sz w:val="20"/>
              </w:rPr>
            </w:pPr>
            <w:r>
              <w:rPr>
                <w:color w:val="231F20"/>
                <w:sz w:val="20"/>
              </w:rPr>
              <w:t>$</w:t>
              <w:tab/>
              <w:t>18.78</w:t>
            </w:r>
          </w:p>
        </w:tc>
      </w:tr>
      <w:tr>
        <w:trPr>
          <w:trHeight w:val="320" w:hRule="exact"/>
        </w:trPr>
        <w:tc>
          <w:tcPr>
            <w:tcW w:w="4680" w:type="dxa"/>
            <w:shd w:val="clear" w:color="auto" w:fill="CCECFC"/>
          </w:tcPr>
          <w:p>
            <w:pPr>
              <w:pStyle w:val="TableParagraph"/>
              <w:ind w:right="3257"/>
              <w:jc w:val="right"/>
              <w:rPr>
                <w:sz w:val="20"/>
              </w:rPr>
            </w:pPr>
            <w:r>
              <w:rPr>
                <w:color w:val="231F20"/>
                <w:sz w:val="20"/>
              </w:rPr>
              <w:t>2nd Quarter</w:t>
            </w:r>
          </w:p>
        </w:tc>
        <w:tc>
          <w:tcPr>
            <w:tcW w:w="100" w:type="dxa"/>
            <w:shd w:val="clear" w:color="auto" w:fill="CCECFC"/>
          </w:tcPr>
          <w:p>
            <w:pPr/>
          </w:p>
        </w:tc>
        <w:tc>
          <w:tcPr>
            <w:tcW w:w="1430" w:type="dxa"/>
            <w:shd w:val="clear" w:color="auto" w:fill="CCECFC"/>
          </w:tcPr>
          <w:p>
            <w:pPr>
              <w:pStyle w:val="TableParagraph"/>
              <w:ind w:right="48"/>
              <w:jc w:val="right"/>
              <w:rPr>
                <w:sz w:val="20"/>
              </w:rPr>
            </w:pPr>
            <w:r>
              <w:rPr>
                <w:color w:val="231F20"/>
                <w:sz w:val="20"/>
              </w:rPr>
              <w:t>0.06000</w:t>
            </w:r>
          </w:p>
        </w:tc>
        <w:tc>
          <w:tcPr>
            <w:tcW w:w="1480" w:type="dxa"/>
            <w:shd w:val="clear" w:color="auto" w:fill="CCECFC"/>
          </w:tcPr>
          <w:p>
            <w:pPr>
              <w:pStyle w:val="TableParagraph"/>
              <w:ind w:right="48"/>
              <w:jc w:val="right"/>
              <w:rPr>
                <w:sz w:val="20"/>
              </w:rPr>
            </w:pPr>
            <w:r>
              <w:rPr>
                <w:color w:val="231F20"/>
                <w:sz w:val="20"/>
              </w:rPr>
              <w:t>27.70</w:t>
            </w:r>
          </w:p>
        </w:tc>
        <w:tc>
          <w:tcPr>
            <w:tcW w:w="1430" w:type="dxa"/>
            <w:shd w:val="clear" w:color="auto" w:fill="CCECFC"/>
          </w:tcPr>
          <w:p>
            <w:pPr>
              <w:pStyle w:val="TableParagraph"/>
              <w:ind w:right="79"/>
              <w:jc w:val="right"/>
              <w:rPr>
                <w:sz w:val="20"/>
              </w:rPr>
            </w:pPr>
            <w:r>
              <w:rPr>
                <w:color w:val="231F20"/>
                <w:sz w:val="20"/>
              </w:rPr>
              <w:t>22.35</w:t>
            </w:r>
          </w:p>
        </w:tc>
      </w:tr>
      <w:tr>
        <w:trPr>
          <w:trHeight w:val="320" w:hRule="exact"/>
        </w:trPr>
        <w:tc>
          <w:tcPr>
            <w:tcW w:w="4680" w:type="dxa"/>
          </w:tcPr>
          <w:p>
            <w:pPr>
              <w:pStyle w:val="TableParagraph"/>
              <w:ind w:left="460"/>
              <w:rPr>
                <w:sz w:val="20"/>
              </w:rPr>
            </w:pPr>
            <w:r>
              <w:rPr>
                <w:color w:val="231F20"/>
                <w:sz w:val="20"/>
              </w:rPr>
              <w:t>3rd Quarter</w:t>
            </w:r>
          </w:p>
        </w:tc>
        <w:tc>
          <w:tcPr>
            <w:tcW w:w="100" w:type="dxa"/>
          </w:tcPr>
          <w:p>
            <w:pPr/>
          </w:p>
        </w:tc>
        <w:tc>
          <w:tcPr>
            <w:tcW w:w="1430" w:type="dxa"/>
          </w:tcPr>
          <w:p>
            <w:pPr>
              <w:pStyle w:val="TableParagraph"/>
              <w:ind w:right="48"/>
              <w:jc w:val="right"/>
              <w:rPr>
                <w:sz w:val="20"/>
              </w:rPr>
            </w:pPr>
            <w:r>
              <w:rPr>
                <w:color w:val="231F20"/>
                <w:sz w:val="20"/>
              </w:rPr>
              <w:t>0.06000</w:t>
            </w:r>
          </w:p>
        </w:tc>
        <w:tc>
          <w:tcPr>
            <w:tcW w:w="1480" w:type="dxa"/>
          </w:tcPr>
          <w:p>
            <w:pPr>
              <w:pStyle w:val="TableParagraph"/>
              <w:ind w:right="48"/>
              <w:jc w:val="right"/>
              <w:rPr>
                <w:sz w:val="20"/>
              </w:rPr>
            </w:pPr>
            <w:r>
              <w:rPr>
                <w:color w:val="231F20"/>
                <w:sz w:val="20"/>
              </w:rPr>
              <w:t>35.49</w:t>
            </w:r>
          </w:p>
        </w:tc>
        <w:tc>
          <w:tcPr>
            <w:tcW w:w="1430" w:type="dxa"/>
          </w:tcPr>
          <w:p>
            <w:pPr>
              <w:pStyle w:val="TableParagraph"/>
              <w:ind w:right="79"/>
              <w:jc w:val="right"/>
              <w:rPr>
                <w:sz w:val="20"/>
              </w:rPr>
            </w:pPr>
            <w:r>
              <w:rPr>
                <w:color w:val="231F20"/>
                <w:sz w:val="20"/>
              </w:rPr>
              <w:t>25.86</w:t>
            </w:r>
          </w:p>
        </w:tc>
      </w:tr>
      <w:tr>
        <w:trPr>
          <w:trHeight w:val="320" w:hRule="exact"/>
        </w:trPr>
        <w:tc>
          <w:tcPr>
            <w:tcW w:w="4680" w:type="dxa"/>
            <w:shd w:val="clear" w:color="auto" w:fill="CCECFC"/>
          </w:tcPr>
          <w:p>
            <w:pPr>
              <w:pStyle w:val="TableParagraph"/>
              <w:ind w:left="460"/>
              <w:rPr>
                <w:sz w:val="20"/>
              </w:rPr>
            </w:pPr>
            <w:r>
              <w:rPr>
                <w:color w:val="231F20"/>
                <w:sz w:val="20"/>
              </w:rPr>
              <w:t>4th Quarter</w:t>
            </w:r>
          </w:p>
        </w:tc>
        <w:tc>
          <w:tcPr>
            <w:tcW w:w="100" w:type="dxa"/>
            <w:shd w:val="clear" w:color="auto" w:fill="CCECFC"/>
          </w:tcPr>
          <w:p>
            <w:pPr/>
          </w:p>
        </w:tc>
        <w:tc>
          <w:tcPr>
            <w:tcW w:w="1430" w:type="dxa"/>
            <w:shd w:val="clear" w:color="auto" w:fill="CCECFC"/>
          </w:tcPr>
          <w:p>
            <w:pPr>
              <w:pStyle w:val="TableParagraph"/>
              <w:ind w:right="48"/>
              <w:jc w:val="right"/>
              <w:rPr>
                <w:sz w:val="20"/>
              </w:rPr>
            </w:pPr>
            <w:r>
              <w:rPr>
                <w:color w:val="231F20"/>
                <w:sz w:val="20"/>
              </w:rPr>
              <w:t>0.06000</w:t>
            </w:r>
          </w:p>
        </w:tc>
        <w:tc>
          <w:tcPr>
            <w:tcW w:w="1480" w:type="dxa"/>
            <w:shd w:val="clear" w:color="auto" w:fill="CCECFC"/>
          </w:tcPr>
          <w:p>
            <w:pPr>
              <w:pStyle w:val="TableParagraph"/>
              <w:ind w:right="48"/>
              <w:jc w:val="right"/>
              <w:rPr>
                <w:sz w:val="20"/>
              </w:rPr>
            </w:pPr>
            <w:r>
              <w:rPr>
                <w:color w:val="231F20"/>
                <w:sz w:val="20"/>
              </w:rPr>
              <w:t>43.19</w:t>
            </w:r>
          </w:p>
        </w:tc>
        <w:tc>
          <w:tcPr>
            <w:tcW w:w="1430" w:type="dxa"/>
            <w:shd w:val="clear" w:color="auto" w:fill="CCECFC"/>
          </w:tcPr>
          <w:p>
            <w:pPr>
              <w:pStyle w:val="TableParagraph"/>
              <w:ind w:right="79"/>
              <w:jc w:val="right"/>
              <w:rPr>
                <w:sz w:val="20"/>
              </w:rPr>
            </w:pPr>
            <w:r>
              <w:rPr>
                <w:color w:val="231F20"/>
                <w:sz w:val="20"/>
              </w:rPr>
              <w:t>28.40</w:t>
            </w:r>
          </w:p>
        </w:tc>
      </w:tr>
      <w:tr>
        <w:trPr>
          <w:trHeight w:val="320" w:hRule="exact"/>
        </w:trPr>
        <w:tc>
          <w:tcPr>
            <w:tcW w:w="4680" w:type="dxa"/>
          </w:tcPr>
          <w:p>
            <w:pPr>
              <w:pStyle w:val="TableParagraph"/>
              <w:ind w:left="160"/>
              <w:rPr>
                <w:b/>
                <w:sz w:val="20"/>
              </w:rPr>
            </w:pPr>
            <w:r>
              <w:rPr>
                <w:b/>
                <w:color w:val="231F20"/>
                <w:sz w:val="20"/>
              </w:rPr>
              <w:t>2013</w:t>
            </w:r>
          </w:p>
        </w:tc>
        <w:tc>
          <w:tcPr>
            <w:tcW w:w="100" w:type="dxa"/>
          </w:tcPr>
          <w:p>
            <w:pPr/>
          </w:p>
        </w:tc>
        <w:tc>
          <w:tcPr>
            <w:tcW w:w="1430" w:type="dxa"/>
          </w:tcPr>
          <w:p>
            <w:pPr/>
          </w:p>
        </w:tc>
        <w:tc>
          <w:tcPr>
            <w:tcW w:w="1480" w:type="dxa"/>
          </w:tcPr>
          <w:p>
            <w:pPr/>
          </w:p>
        </w:tc>
        <w:tc>
          <w:tcPr>
            <w:tcW w:w="1430" w:type="dxa"/>
          </w:tcPr>
          <w:p>
            <w:pPr/>
          </w:p>
        </w:tc>
      </w:tr>
      <w:tr>
        <w:trPr>
          <w:trHeight w:val="320" w:hRule="exact"/>
        </w:trPr>
        <w:tc>
          <w:tcPr>
            <w:tcW w:w="4680" w:type="dxa"/>
            <w:shd w:val="clear" w:color="auto" w:fill="CCECFC"/>
          </w:tcPr>
          <w:p>
            <w:pPr>
              <w:pStyle w:val="TableParagraph"/>
              <w:ind w:left="460"/>
              <w:rPr>
                <w:sz w:val="20"/>
              </w:rPr>
            </w:pPr>
            <w:r>
              <w:rPr>
                <w:color w:val="231F20"/>
                <w:sz w:val="20"/>
              </w:rPr>
              <w:t>1st Quarter</w:t>
            </w:r>
          </w:p>
        </w:tc>
        <w:tc>
          <w:tcPr>
            <w:tcW w:w="1530" w:type="dxa"/>
            <w:gridSpan w:val="2"/>
            <w:shd w:val="clear" w:color="auto" w:fill="CCECFC"/>
          </w:tcPr>
          <w:p>
            <w:pPr>
              <w:pStyle w:val="TableParagraph"/>
              <w:tabs>
                <w:tab w:pos="829" w:val="left" w:leader="none"/>
              </w:tabs>
              <w:ind w:left="100"/>
              <w:rPr>
                <w:sz w:val="20"/>
              </w:rPr>
            </w:pPr>
            <w:r>
              <w:rPr>
                <w:color w:val="231F20"/>
                <w:sz w:val="20"/>
              </w:rPr>
              <w:t>$</w:t>
              <w:tab/>
              <w:t>0.01000</w:t>
            </w:r>
          </w:p>
        </w:tc>
        <w:tc>
          <w:tcPr>
            <w:tcW w:w="1480" w:type="dxa"/>
            <w:shd w:val="clear" w:color="auto" w:fill="CCECFC"/>
          </w:tcPr>
          <w:p>
            <w:pPr>
              <w:pStyle w:val="TableParagraph"/>
              <w:tabs>
                <w:tab w:pos="929" w:val="left" w:leader="none"/>
              </w:tabs>
              <w:ind w:right="48"/>
              <w:jc w:val="right"/>
              <w:rPr>
                <w:sz w:val="20"/>
              </w:rPr>
            </w:pPr>
            <w:r>
              <w:rPr>
                <w:color w:val="231F20"/>
                <w:sz w:val="20"/>
              </w:rPr>
              <w:t>$</w:t>
              <w:tab/>
              <w:t>13.58</w:t>
            </w:r>
          </w:p>
        </w:tc>
        <w:tc>
          <w:tcPr>
            <w:tcW w:w="1430" w:type="dxa"/>
            <w:shd w:val="clear" w:color="auto" w:fill="CCECFC"/>
          </w:tcPr>
          <w:p>
            <w:pPr>
              <w:pStyle w:val="TableParagraph"/>
              <w:tabs>
                <w:tab w:pos="849" w:val="left" w:leader="none"/>
              </w:tabs>
              <w:ind w:right="79"/>
              <w:jc w:val="right"/>
              <w:rPr>
                <w:sz w:val="20"/>
              </w:rPr>
            </w:pPr>
            <w:r>
              <w:rPr>
                <w:color w:val="231F20"/>
                <w:sz w:val="20"/>
              </w:rPr>
              <w:t>$</w:t>
              <w:tab/>
              <w:t>10.36</w:t>
            </w:r>
          </w:p>
        </w:tc>
      </w:tr>
      <w:tr>
        <w:trPr>
          <w:trHeight w:val="320" w:hRule="exact"/>
        </w:trPr>
        <w:tc>
          <w:tcPr>
            <w:tcW w:w="4680" w:type="dxa"/>
          </w:tcPr>
          <w:p>
            <w:pPr>
              <w:pStyle w:val="TableParagraph"/>
              <w:ind w:right="3257"/>
              <w:jc w:val="right"/>
              <w:rPr>
                <w:sz w:val="20"/>
              </w:rPr>
            </w:pPr>
            <w:r>
              <w:rPr>
                <w:color w:val="231F20"/>
                <w:sz w:val="20"/>
              </w:rPr>
              <w:t>2nd Quarter</w:t>
            </w:r>
          </w:p>
        </w:tc>
        <w:tc>
          <w:tcPr>
            <w:tcW w:w="1530" w:type="dxa"/>
            <w:gridSpan w:val="2"/>
          </w:tcPr>
          <w:p>
            <w:pPr>
              <w:pStyle w:val="TableParagraph"/>
              <w:ind w:left="830"/>
              <w:rPr>
                <w:sz w:val="20"/>
              </w:rPr>
            </w:pPr>
            <w:r>
              <w:rPr>
                <w:color w:val="231F20"/>
                <w:sz w:val="20"/>
              </w:rPr>
              <w:t>0.04000</w:t>
            </w:r>
          </w:p>
        </w:tc>
        <w:tc>
          <w:tcPr>
            <w:tcW w:w="1480" w:type="dxa"/>
          </w:tcPr>
          <w:p>
            <w:pPr>
              <w:pStyle w:val="TableParagraph"/>
              <w:ind w:right="48"/>
              <w:jc w:val="right"/>
              <w:rPr>
                <w:sz w:val="20"/>
              </w:rPr>
            </w:pPr>
            <w:r>
              <w:rPr>
                <w:color w:val="231F20"/>
                <w:sz w:val="20"/>
              </w:rPr>
              <w:t>14.56</w:t>
            </w:r>
          </w:p>
        </w:tc>
        <w:tc>
          <w:tcPr>
            <w:tcW w:w="1430" w:type="dxa"/>
          </w:tcPr>
          <w:p>
            <w:pPr>
              <w:pStyle w:val="TableParagraph"/>
              <w:ind w:right="79"/>
              <w:jc w:val="right"/>
              <w:rPr>
                <w:sz w:val="20"/>
              </w:rPr>
            </w:pPr>
            <w:r>
              <w:rPr>
                <w:color w:val="231F20"/>
                <w:sz w:val="20"/>
              </w:rPr>
              <w:t>12.45</w:t>
            </w:r>
          </w:p>
        </w:tc>
      </w:tr>
      <w:tr>
        <w:trPr>
          <w:trHeight w:val="320" w:hRule="exact"/>
        </w:trPr>
        <w:tc>
          <w:tcPr>
            <w:tcW w:w="4680" w:type="dxa"/>
            <w:shd w:val="clear" w:color="auto" w:fill="CCECFC"/>
          </w:tcPr>
          <w:p>
            <w:pPr>
              <w:pStyle w:val="TableParagraph"/>
              <w:ind w:left="460"/>
              <w:rPr>
                <w:sz w:val="20"/>
              </w:rPr>
            </w:pPr>
            <w:r>
              <w:rPr>
                <w:color w:val="231F20"/>
                <w:sz w:val="20"/>
              </w:rPr>
              <w:t>3rd Quarter</w:t>
            </w:r>
          </w:p>
        </w:tc>
        <w:tc>
          <w:tcPr>
            <w:tcW w:w="1530" w:type="dxa"/>
            <w:gridSpan w:val="2"/>
            <w:shd w:val="clear" w:color="auto" w:fill="CCECFC"/>
          </w:tcPr>
          <w:p>
            <w:pPr>
              <w:pStyle w:val="TableParagraph"/>
              <w:ind w:left="830"/>
              <w:rPr>
                <w:sz w:val="20"/>
              </w:rPr>
            </w:pPr>
            <w:r>
              <w:rPr>
                <w:color w:val="231F20"/>
                <w:sz w:val="20"/>
              </w:rPr>
              <w:t>0.04000</w:t>
            </w:r>
          </w:p>
        </w:tc>
        <w:tc>
          <w:tcPr>
            <w:tcW w:w="1480" w:type="dxa"/>
            <w:shd w:val="clear" w:color="auto" w:fill="CCECFC"/>
          </w:tcPr>
          <w:p>
            <w:pPr>
              <w:pStyle w:val="TableParagraph"/>
              <w:ind w:right="48"/>
              <w:jc w:val="right"/>
              <w:rPr>
                <w:sz w:val="20"/>
              </w:rPr>
            </w:pPr>
            <w:r>
              <w:rPr>
                <w:color w:val="231F20"/>
                <w:sz w:val="20"/>
              </w:rPr>
              <w:t>14.82</w:t>
            </w:r>
          </w:p>
        </w:tc>
        <w:tc>
          <w:tcPr>
            <w:tcW w:w="1430" w:type="dxa"/>
            <w:shd w:val="clear" w:color="auto" w:fill="CCECFC"/>
          </w:tcPr>
          <w:p>
            <w:pPr>
              <w:pStyle w:val="TableParagraph"/>
              <w:ind w:right="79"/>
              <w:jc w:val="right"/>
              <w:rPr>
                <w:sz w:val="20"/>
              </w:rPr>
            </w:pPr>
            <w:r>
              <w:rPr>
                <w:color w:val="231F20"/>
                <w:sz w:val="20"/>
              </w:rPr>
              <w:t>12.58</w:t>
            </w:r>
          </w:p>
        </w:tc>
      </w:tr>
      <w:tr>
        <w:trPr>
          <w:trHeight w:val="284" w:hRule="exact"/>
        </w:trPr>
        <w:tc>
          <w:tcPr>
            <w:tcW w:w="4680" w:type="dxa"/>
          </w:tcPr>
          <w:p>
            <w:pPr>
              <w:pStyle w:val="TableParagraph"/>
              <w:ind w:left="460"/>
              <w:rPr>
                <w:sz w:val="20"/>
              </w:rPr>
            </w:pPr>
            <w:r>
              <w:rPr>
                <w:color w:val="231F20"/>
                <w:sz w:val="20"/>
              </w:rPr>
              <w:t>4th Quarter</w:t>
            </w:r>
          </w:p>
        </w:tc>
        <w:tc>
          <w:tcPr>
            <w:tcW w:w="1530" w:type="dxa"/>
            <w:gridSpan w:val="2"/>
          </w:tcPr>
          <w:p>
            <w:pPr>
              <w:pStyle w:val="TableParagraph"/>
              <w:ind w:left="830"/>
              <w:rPr>
                <w:sz w:val="20"/>
              </w:rPr>
            </w:pPr>
            <w:r>
              <w:rPr>
                <w:color w:val="231F20"/>
                <w:sz w:val="20"/>
              </w:rPr>
              <w:t>0.04000</w:t>
            </w:r>
          </w:p>
        </w:tc>
        <w:tc>
          <w:tcPr>
            <w:tcW w:w="1480" w:type="dxa"/>
          </w:tcPr>
          <w:p>
            <w:pPr>
              <w:pStyle w:val="TableParagraph"/>
              <w:ind w:right="48"/>
              <w:jc w:val="right"/>
              <w:rPr>
                <w:sz w:val="20"/>
              </w:rPr>
            </w:pPr>
            <w:r>
              <w:rPr>
                <w:color w:val="231F20"/>
                <w:sz w:val="20"/>
              </w:rPr>
              <w:t>19.00</w:t>
            </w:r>
          </w:p>
        </w:tc>
        <w:tc>
          <w:tcPr>
            <w:tcW w:w="1430" w:type="dxa"/>
          </w:tcPr>
          <w:p>
            <w:pPr>
              <w:pStyle w:val="TableParagraph"/>
              <w:ind w:right="79"/>
              <w:jc w:val="right"/>
              <w:rPr>
                <w:sz w:val="20"/>
              </w:rPr>
            </w:pPr>
            <w:r>
              <w:rPr>
                <w:color w:val="231F20"/>
                <w:sz w:val="20"/>
              </w:rPr>
              <w:t>14.48</w:t>
            </w:r>
          </w:p>
        </w:tc>
      </w:tr>
    </w:tbl>
    <w:p>
      <w:pPr>
        <w:pStyle w:val="BodyText"/>
        <w:spacing w:before="9"/>
        <w:rPr>
          <w:sz w:val="21"/>
        </w:rPr>
      </w:pPr>
    </w:p>
    <w:p>
      <w:pPr>
        <w:pStyle w:val="BodyText"/>
        <w:spacing w:line="247" w:lineRule="auto"/>
        <w:ind w:left="100" w:right="98" w:firstLine="720"/>
        <w:jc w:val="both"/>
      </w:pPr>
      <w:r>
        <w:rPr>
          <w:color w:val="231F20"/>
        </w:rPr>
        <w:t>The Company currently intends to continue declaring dividends on a quarterly basis for the foreseeable future; however, the Company’s Board of Directors may elect to alter the timing, amount, and payment of dividends on the basis of operational results, financial condition, cash requirements, future prospects, and other factors deemed relevant by the Board. As of January 30, 2015, there were approximately 13,762 holders of record of the Company’s common stock.</w:t>
      </w:r>
    </w:p>
    <w:p>
      <w:pPr>
        <w:spacing w:after="0" w:line="247" w:lineRule="auto"/>
        <w:jc w:val="both"/>
        <w:sectPr>
          <w:pgSz w:w="11880" w:h="15480"/>
          <w:pgMar w:header="0" w:footer="1240" w:top="1240" w:bottom="1420" w:left="1280" w:right="1280"/>
        </w:sectPr>
      </w:pPr>
    </w:p>
    <w:p>
      <w:pPr>
        <w:pStyle w:val="Heading1"/>
        <w:ind w:left="0"/>
        <w:jc w:val="center"/>
      </w:pPr>
      <w:r>
        <w:rPr>
          <w:color w:val="231F20"/>
        </w:rPr>
        <w:t>Stock Performance Graph</w:t>
      </w:r>
    </w:p>
    <w:p>
      <w:pPr>
        <w:spacing w:line="247" w:lineRule="auto" w:before="160"/>
        <w:ind w:left="120" w:right="117" w:firstLine="720"/>
        <w:jc w:val="both"/>
        <w:rPr>
          <w:i/>
          <w:sz w:val="22"/>
        </w:rPr>
      </w:pPr>
      <w:r>
        <w:rPr>
          <w:i/>
          <w:color w:val="231F20"/>
          <w:sz w:val="22"/>
        </w:rPr>
        <w:t>The following Performance Graph and related information shall not be deemed “soliciting </w:t>
      </w:r>
      <w:r>
        <w:rPr>
          <w:i/>
          <w:color w:val="231F20"/>
          <w:sz w:val="22"/>
        </w:rPr>
        <w:t>material” or “filed” with the Securities and Exchange Commission, nor shall such information be incorporated by reference into any future filing under the Securities Act of 1933 or Securities  Exchange Act of</w:t>
      </w:r>
      <w:r>
        <w:rPr>
          <w:i/>
          <w:color w:val="231F20"/>
          <w:spacing w:val="-2"/>
          <w:sz w:val="22"/>
        </w:rPr>
        <w:t> </w:t>
      </w:r>
      <w:r>
        <w:rPr>
          <w:i/>
          <w:color w:val="231F20"/>
          <w:sz w:val="22"/>
        </w:rPr>
        <w:t>1934.</w:t>
      </w:r>
    </w:p>
    <w:p>
      <w:pPr>
        <w:pStyle w:val="BodyText"/>
        <w:spacing w:line="247" w:lineRule="auto" w:before="153"/>
        <w:ind w:left="120" w:right="117" w:firstLine="720"/>
        <w:jc w:val="both"/>
      </w:pPr>
      <w:r>
        <w:rPr>
          <w:color w:val="231F20"/>
        </w:rPr>
        <w:t>The following graph compares the cumulative total shareholder return on the Company’s common stock over the five-year period ended December 31, 2014, with the cumulative total return during such period of the Standard and Poor’s 500 Stock Index and the NYSE ARCA Airline Index. The comparison assumes $100 was invested on December 31, 2009,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rPr>
          <w:sz w:val="20"/>
        </w:rPr>
      </w:pPr>
    </w:p>
    <w:p>
      <w:pPr>
        <w:pStyle w:val="Heading1"/>
        <w:spacing w:line="247" w:lineRule="auto" w:before="0"/>
        <w:ind w:left="2"/>
        <w:jc w:val="center"/>
      </w:pPr>
      <w:r>
        <w:rPr>
          <w:color w:val="231F20"/>
        </w:rPr>
        <w:t>COMPARISON OF FIVE YEAR CUMULATIVE TOTAL RETURN AMONG SOUTHWEST AIRLINES CO., S&amp;P 500 INDEX, AND NYSE ARCA AIRLINE INDEX</w:t>
      </w:r>
    </w:p>
    <w:p>
      <w:pPr>
        <w:pStyle w:val="BodyText"/>
        <w:spacing w:before="5"/>
        <w:rPr>
          <w:b/>
          <w:sz w:val="26"/>
        </w:rPr>
      </w:pPr>
    </w:p>
    <w:p>
      <w:pPr>
        <w:pStyle w:val="BodyText"/>
        <w:spacing w:before="88"/>
        <w:ind w:left="748"/>
      </w:pPr>
      <w:r>
        <w:rPr/>
        <w:pict>
          <v:group style="position:absolute;margin-left:126.079002pt;margin-top:10.478039pt;width:389.15pt;height:240.15pt;mso-position-horizontal-relative:page;mso-position-vertical-relative:paragraph;z-index:1504" coordorigin="2522,210" coordsize="7783,4803">
            <v:line style="position:absolute" from="2627,220" to="10294,220" stroked="true" strokeweight=".25pt" strokecolor="#939598">
              <v:stroke dashstyle="solid"/>
            </v:line>
            <v:line style="position:absolute" from="2627,3733" to="10293,3733" stroked="true" strokeweight=".25pt" strokecolor="#939598">
              <v:stroke dashstyle="solid"/>
            </v:line>
            <v:line style="position:absolute" from="2627,3148" to="9559,3148" stroked="true" strokeweight=".25pt" strokecolor="#939598">
              <v:stroke dashstyle="solid"/>
            </v:line>
            <v:line style="position:absolute" from="2627,2562" to="10293,2562" stroked="true" strokeweight=".25pt" strokecolor="#939598">
              <v:stroke dashstyle="solid"/>
            </v:line>
            <v:line style="position:absolute" from="2627,1976" to="10293,1976" stroked="true" strokeweight=".25pt" strokecolor="#939598">
              <v:stroke dashstyle="solid"/>
            </v:line>
            <v:line style="position:absolute" from="2627,1391" to="10293,1391" stroked="true" strokeweight=".25pt" strokecolor="#939598">
              <v:stroke dashstyle="solid"/>
            </v:line>
            <v:line style="position:absolute" from="2627,805" to="10293,805" stroked="true" strokeweight=".25pt" strokecolor="#939598">
              <v:stroke dashstyle="solid"/>
            </v:line>
            <v:line style="position:absolute" from="3266,215" to="3266,4226" stroked="true" strokeweight=".25pt" strokecolor="#939598">
              <v:stroke dashstyle="solid"/>
            </v:line>
            <v:line style="position:absolute" from="4543,215" to="4543,4048" stroked="true" strokeweight=".25pt" strokecolor="#939598">
              <v:stroke dashstyle="solid"/>
            </v:line>
            <v:line style="position:absolute" from="3359,4319" to="10293,4319" stroked="true" strokeweight=".25pt" strokecolor="#939598">
              <v:stroke dashstyle="solid"/>
            </v:line>
            <v:line style="position:absolute" from="4543,4239" to="4543,5010" stroked="true" strokeweight=".25pt" strokecolor="#939598">
              <v:stroke dashstyle="solid"/>
            </v:line>
            <v:shape style="position:absolute;left:0;top:4887;width:2;height:4795" coordorigin="0,4887" coordsize="0,4795" path="m5820,215l5820,4024m5820,4215l5820,5009e" filled="false" stroked="true" strokeweight=".25pt" strokecolor="#939598">
              <v:path arrowok="t"/>
              <v:stroke dashstyle="solid"/>
            </v:shape>
            <v:shape style="position:absolute;left:0;top:4886;width:2;height:4795" coordorigin="0,4886" coordsize="0,4795" path="m7098,215l7098,3813m7098,4004l7098,5010e" filled="false" stroked="true" strokeweight=".25pt" strokecolor="#939598">
              <v:path arrowok="t"/>
              <v:stroke dashstyle="solid"/>
            </v:shape>
            <v:shape style="position:absolute;left:0;top:4887;width:2;height:4795" coordorigin="0,4887" coordsize="0,4795" path="m8375,215l8375,3297m8375,3488l8375,5009e" filled="false" stroked="true" strokeweight=".25pt" strokecolor="#939598">
              <v:path arrowok="t"/>
              <v:stroke dashstyle="solid"/>
            </v:shape>
            <v:shape style="position:absolute;left:0;top:4886;width:2;height:4795" coordorigin="0,4886" coordsize="0,4795" path="m9652,215l9652,3004m9652,3195l9652,5010e" filled="false" stroked="true" strokeweight=".25pt" strokecolor="#939598">
              <v:path arrowok="t"/>
              <v:stroke dashstyle="solid"/>
            </v:shape>
            <v:line style="position:absolute" from="2524,220" to="2627,220" stroked="true" strokeweight=".25pt" strokecolor="#939598">
              <v:stroke dashstyle="solid"/>
            </v:line>
            <v:line style="position:absolute" from="2524,805" to="2627,805" stroked="true" strokeweight=".25pt" strokecolor="#939598">
              <v:stroke dashstyle="solid"/>
            </v:line>
            <v:line style="position:absolute" from="2524,1391" to="2627,1391" stroked="true" strokeweight=".25pt" strokecolor="#939598">
              <v:stroke dashstyle="solid"/>
            </v:line>
            <v:line style="position:absolute" from="2524,1976" to="2627,1976" stroked="true" strokeweight=".25pt" strokecolor="#939598">
              <v:stroke dashstyle="solid"/>
            </v:line>
            <v:line style="position:absolute" from="2524,2562" to="2627,2562" stroked="true" strokeweight=".25pt" strokecolor="#939598">
              <v:stroke dashstyle="solid"/>
            </v:line>
            <v:line style="position:absolute" from="2524,3148" to="2627,3148" stroked="true" strokeweight=".25pt" strokecolor="#939598">
              <v:stroke dashstyle="solid"/>
            </v:line>
            <v:line style="position:absolute" from="2524,3733" to="2627,3733" stroked="true" strokeweight=".25pt" strokecolor="#939598">
              <v:stroke dashstyle="solid"/>
            </v:line>
            <v:line style="position:absolute" from="2627,4319" to="3173,4319" stroked="true" strokeweight=".25pt" strokecolor="#939598">
              <v:stroke dashstyle="solid"/>
            </v:line>
            <v:line style="position:absolute" from="2524,4319" to="2627,4319" stroked="true" strokeweight=".25pt" strokecolor="#939598">
              <v:stroke dashstyle="solid"/>
            </v:line>
            <v:line style="position:absolute" from="2524,4904" to="2627,4904" stroked="true" strokeweight=".25pt" strokecolor="#939598">
              <v:stroke dashstyle="solid"/>
            </v:line>
            <v:line style="position:absolute" from="3266,4417" to="3266,5008" stroked="true" strokeweight=".25pt" strokecolor="#939598">
              <v:stroke dashstyle="solid"/>
            </v:line>
            <v:line style="position:absolute" from="2627,4904" to="10294,4904" stroked="true" strokeweight="1pt" strokecolor="#231f20">
              <v:stroke dashstyle="solid"/>
            </v:line>
            <v:line style="position:absolute" from="2627,4904" to="2627,220" stroked="true" strokeweight="1pt" strokecolor="#231f20">
              <v:stroke dashstyle="solid"/>
            </v:line>
            <v:shape style="position:absolute;left:3266;top:1741;width:6384;height:2602" coordorigin="3266,1741" coordsize="6384,2602" path="m3266,4319l4543,3839,5819,4343,7096,3911,8373,2984,9650,1741e" filled="false" stroked="true" strokeweight="1pt" strokecolor="#a09f9f">
              <v:path arrowok="t"/>
              <v:stroke dashstyle="solid"/>
            </v:shape>
            <v:shape style="position:absolute;left:3162;top:1651;width:6595;height:2782" coordorigin="3162,1651" coordsize="6595,2782" path="m3370,4409l3266,4229,3162,4409,3370,4409m4647,3927l4543,3746,4438,3927,4647,3927m5923,4433l5819,4253,5715,4433,5923,4433m7203,3999l7099,3818,6994,3999,7203,3999m8479,3072l8375,2892,8271,3072,8479,3072m9756,1831l9652,1651,9548,1831,9756,1831e" filled="true" fillcolor="#a09f9f" stroked="false">
              <v:path arrowok="t"/>
              <v:fill type="solid"/>
            </v:shape>
            <v:shape style="position:absolute;left:3266;top:3100;width:6384;height:1220" coordorigin="3266,3100" coordsize="6384,1220" path="m3266,4319l4543,4141,5819,4122,7096,3896,8373,3392,9650,3100e" filled="false" stroked="true" strokeweight="1pt" strokecolor="#4788c7">
              <v:path arrowok="t"/>
              <v:stroke dashstyle="solid"/>
            </v:shape>
            <v:line style="position:absolute" from="9745,3148" to="10293,3148" stroked="true" strokeweight=".25pt" strokecolor="#939598">
              <v:stroke dashstyle="solid"/>
            </v:line>
            <v:shape style="position:absolute;left:3173;top:3004;width:6573;height:1413" coordorigin="3173,3004" coordsize="6573,1413" path="m3359,4226l3173,4226,3173,4417,3359,4417,3359,4226m4636,4048l4449,4048,4449,4239,4636,4239,4636,4048m5912,4024l5726,4024,5726,4215,5912,4215,5912,4024m7192,3813l7005,3813,7005,4004,7192,4004,7192,3813m8468,3297l8282,3297,8282,3488,8468,3488,8468,3297m9745,3004l9559,3004,9559,3195,9745,3195,9745,3004e" filled="true" fillcolor="#4788c7" stroked="false">
              <v:path arrowok="t"/>
              <v:fill type="solid"/>
            </v:shape>
            <v:shape style="position:absolute;left:3266;top:1074;width:6384;height:3538" coordorigin="3266,1074" coordsize="6384,3538" path="m3266,4319l4543,4156,5819,4612,7096,4434,8373,3532,9650,1074e" filled="false" stroked="true" strokeweight="1pt" strokecolor="#7ec242">
              <v:path arrowok="t"/>
              <v:stroke dashstyle="solid"/>
            </v:shape>
            <v:shape style="position:absolute;left:9561;top:981;width:182;height:182" type="#_x0000_t75" stroked="false">
              <v:imagedata r:id="rId18" o:title=""/>
            </v:shape>
            <v:shape style="position:absolute;left:8284;top:3443;width:182;height:182" type="#_x0000_t75" stroked="false">
              <v:imagedata r:id="rId19" o:title=""/>
            </v:shape>
            <v:shape style="position:absolute;left:7008;top:4346;width:182;height:182" type="#_x0000_t75" stroked="false">
              <v:imagedata r:id="rId20" o:title=""/>
            </v:shape>
            <v:shape style="position:absolute;left:5731;top:4523;width:182;height:182" type="#_x0000_t75" stroked="false">
              <v:imagedata r:id="rId21" o:title=""/>
            </v:shape>
            <v:shape style="position:absolute;left:4452;top:4062;width:182;height:182" type="#_x0000_t75" stroked="false">
              <v:imagedata r:id="rId21" o:title=""/>
            </v:shape>
            <v:shape style="position:absolute;left:3175;top:4230;width:182;height:182" type="#_x0000_t75" stroked="false">
              <v:imagedata r:id="rId22" o:title=""/>
            </v:shape>
            <w10:wrap type="none"/>
          </v:group>
        </w:pict>
      </w:r>
      <w:r>
        <w:rPr>
          <w:color w:val="231F20"/>
        </w:rPr>
        <w:t>450</w:t>
      </w:r>
    </w:p>
    <w:p>
      <w:pPr>
        <w:pStyle w:val="BodyText"/>
        <w:spacing w:before="2"/>
        <w:rPr>
          <w:sz w:val="21"/>
        </w:rPr>
      </w:pPr>
    </w:p>
    <w:p>
      <w:pPr>
        <w:pStyle w:val="BodyText"/>
        <w:spacing w:before="88"/>
        <w:ind w:left="748"/>
      </w:pPr>
      <w:r>
        <w:rPr>
          <w:color w:val="231F20"/>
        </w:rPr>
        <w:t>400</w:t>
      </w:r>
    </w:p>
    <w:p>
      <w:pPr>
        <w:pStyle w:val="BodyText"/>
        <w:spacing w:before="2"/>
        <w:rPr>
          <w:sz w:val="21"/>
        </w:rPr>
      </w:pPr>
    </w:p>
    <w:p>
      <w:pPr>
        <w:pStyle w:val="BodyText"/>
        <w:spacing w:before="88"/>
        <w:ind w:left="748"/>
      </w:pPr>
      <w:r>
        <w:rPr/>
        <w:pict>
          <v:shape style="position:absolute;margin-left:80.8004pt;margin-top:-6.355669pt;width:14.05pt;height:153.550pt;mso-position-horizontal-relative:page;mso-position-vertical-relative:paragraph;z-index:1552" type="#_x0000_t202" filled="false" stroked="false">
            <v:textbox inset="0,0,0,0" style="layout-flow:vertical;mso-layout-flow-alt:bottom-to-top">
              <w:txbxContent>
                <w:p>
                  <w:pPr>
                    <w:pStyle w:val="BodyText"/>
                    <w:spacing w:before="7"/>
                    <w:ind w:left="20" w:right="-766"/>
                  </w:pPr>
                  <w:r>
                    <w:rPr>
                      <w:color w:val="231F20"/>
                      <w:w w:val="100"/>
                    </w:rPr>
                    <w:t>Total</w:t>
                  </w:r>
                  <w:r>
                    <w:rPr>
                      <w:color w:val="231F20"/>
                    </w:rPr>
                    <w:t> </w:t>
                  </w:r>
                  <w:r>
                    <w:rPr>
                      <w:color w:val="231F20"/>
                      <w:w w:val="100"/>
                    </w:rPr>
                    <w:t>Cumulative</w:t>
                  </w:r>
                  <w:r>
                    <w:rPr>
                      <w:color w:val="231F20"/>
                    </w:rPr>
                    <w:t> </w:t>
                  </w:r>
                  <w:r>
                    <w:rPr>
                      <w:color w:val="231F20"/>
                      <w:w w:val="100"/>
                    </w:rPr>
                    <w:t>Return</w:t>
                  </w:r>
                  <w:r>
                    <w:rPr>
                      <w:color w:val="231F20"/>
                    </w:rPr>
                    <w:t> - Dollars</w:t>
                  </w:r>
                </w:p>
              </w:txbxContent>
            </v:textbox>
            <w10:wrap type="none"/>
          </v:shape>
        </w:pict>
      </w:r>
      <w:r>
        <w:rPr>
          <w:color w:val="231F20"/>
        </w:rPr>
        <w:t>350</w:t>
      </w:r>
    </w:p>
    <w:p>
      <w:pPr>
        <w:pStyle w:val="BodyText"/>
        <w:spacing w:before="2"/>
        <w:rPr>
          <w:sz w:val="21"/>
        </w:rPr>
      </w:pPr>
    </w:p>
    <w:p>
      <w:pPr>
        <w:pStyle w:val="BodyText"/>
        <w:spacing w:before="88"/>
        <w:ind w:left="748"/>
      </w:pPr>
      <w:r>
        <w:rPr>
          <w:color w:val="231F20"/>
        </w:rPr>
        <w:t>300</w:t>
      </w:r>
    </w:p>
    <w:p>
      <w:pPr>
        <w:pStyle w:val="BodyText"/>
        <w:spacing w:before="2"/>
        <w:rPr>
          <w:sz w:val="21"/>
        </w:rPr>
      </w:pPr>
    </w:p>
    <w:p>
      <w:pPr>
        <w:pStyle w:val="BodyText"/>
        <w:spacing w:before="88"/>
        <w:ind w:left="748"/>
      </w:pPr>
      <w:r>
        <w:rPr>
          <w:color w:val="231F20"/>
        </w:rPr>
        <w:t>250</w:t>
      </w:r>
    </w:p>
    <w:p>
      <w:pPr>
        <w:pStyle w:val="BodyText"/>
        <w:spacing w:before="2"/>
        <w:rPr>
          <w:sz w:val="21"/>
        </w:rPr>
      </w:pPr>
    </w:p>
    <w:p>
      <w:pPr>
        <w:pStyle w:val="BodyText"/>
        <w:spacing w:before="88"/>
        <w:ind w:left="748"/>
      </w:pPr>
      <w:r>
        <w:rPr>
          <w:color w:val="231F20"/>
        </w:rPr>
        <w:t>200</w:t>
      </w:r>
    </w:p>
    <w:p>
      <w:pPr>
        <w:pStyle w:val="BodyText"/>
        <w:spacing w:before="2"/>
        <w:rPr>
          <w:sz w:val="21"/>
        </w:rPr>
      </w:pPr>
    </w:p>
    <w:p>
      <w:pPr>
        <w:pStyle w:val="BodyText"/>
        <w:spacing w:before="88"/>
        <w:ind w:left="748"/>
      </w:pPr>
      <w:r>
        <w:rPr>
          <w:color w:val="231F20"/>
        </w:rPr>
        <w:t>150</w:t>
      </w:r>
    </w:p>
    <w:p>
      <w:pPr>
        <w:pStyle w:val="BodyText"/>
        <w:spacing w:before="2"/>
        <w:rPr>
          <w:sz w:val="21"/>
        </w:rPr>
      </w:pPr>
    </w:p>
    <w:p>
      <w:pPr>
        <w:pStyle w:val="BodyText"/>
        <w:spacing w:before="88"/>
        <w:ind w:left="748"/>
      </w:pPr>
      <w:r>
        <w:rPr>
          <w:color w:val="231F20"/>
        </w:rPr>
        <w:t>100</w:t>
      </w:r>
    </w:p>
    <w:p>
      <w:pPr>
        <w:pStyle w:val="BodyText"/>
        <w:spacing w:before="2"/>
        <w:rPr>
          <w:sz w:val="21"/>
        </w:rPr>
      </w:pPr>
    </w:p>
    <w:p>
      <w:pPr>
        <w:pStyle w:val="BodyText"/>
        <w:spacing w:before="88"/>
        <w:ind w:left="858"/>
      </w:pPr>
      <w:r>
        <w:rPr>
          <w:color w:val="231F20"/>
        </w:rPr>
        <w:t>50</w:t>
      </w:r>
    </w:p>
    <w:p>
      <w:pPr>
        <w:pStyle w:val="BodyText"/>
        <w:tabs>
          <w:tab w:pos="2315" w:val="left" w:leader="none"/>
          <w:tab w:pos="3592" w:val="left" w:leader="none"/>
          <w:tab w:pos="4869" w:val="left" w:leader="none"/>
          <w:tab w:pos="6147" w:val="left" w:leader="none"/>
          <w:tab w:pos="7424" w:val="left" w:leader="none"/>
        </w:tabs>
        <w:spacing w:before="119"/>
        <w:ind w:left="1044"/>
        <w:jc w:val="center"/>
      </w:pPr>
      <w:r>
        <w:rPr>
          <w:color w:val="231F20"/>
        </w:rPr>
        <w:t>12/31/09</w:t>
        <w:tab/>
      </w:r>
      <w:r>
        <w:rPr>
          <w:color w:val="231F20"/>
          <w:position w:val="1"/>
        </w:rPr>
        <w:t>12/31/10</w:t>
        <w:tab/>
        <w:t>12/31/11</w:t>
        <w:tab/>
        <w:t>12/31/12</w:t>
        <w:tab/>
        <w:t>12/31/13</w:t>
        <w:tab/>
        <w:t>12/31/14</w:t>
      </w:r>
    </w:p>
    <w:p>
      <w:pPr>
        <w:pStyle w:val="BodyText"/>
        <w:spacing w:before="99"/>
        <w:ind w:left="1106"/>
        <w:jc w:val="center"/>
      </w:pPr>
      <w:r>
        <w:rPr>
          <w:color w:val="231F20"/>
        </w:rPr>
        <w:t>Period Ending</w:t>
      </w:r>
    </w:p>
    <w:p>
      <w:pPr>
        <w:pStyle w:val="BodyText"/>
        <w:rPr>
          <w:sz w:val="20"/>
        </w:rPr>
      </w:pPr>
    </w:p>
    <w:p>
      <w:pPr>
        <w:pStyle w:val="BodyText"/>
        <w:spacing w:before="5"/>
        <w:rPr>
          <w:sz w:val="19"/>
        </w:rPr>
      </w:pPr>
    </w:p>
    <w:p>
      <w:pPr>
        <w:pStyle w:val="BodyText"/>
        <w:tabs>
          <w:tab w:pos="3989" w:val="left" w:leader="none"/>
          <w:tab w:pos="6916" w:val="left" w:leader="none"/>
        </w:tabs>
        <w:ind w:left="1064"/>
      </w:pPr>
      <w:r>
        <w:rPr/>
        <w:pict>
          <v:group style="position:absolute;margin-left:78.849998pt;margin-top:2.344327pt;width:31.25pt;height:9.1pt;mso-position-horizontal-relative:page;mso-position-vertical-relative:paragraph;z-index:1456" coordorigin="1577,47" coordsize="625,182">
            <v:shape style="position:absolute;left:1799;top:47;width:182;height:182" type="#_x0000_t75" stroked="false">
              <v:imagedata r:id="rId23" o:title=""/>
            </v:shape>
            <v:line style="position:absolute" from="1587,138" to="2192,138" stroked="true" strokeweight="1pt" strokecolor="#7ec242">
              <v:stroke dashstyle="solid"/>
            </v:line>
            <w10:wrap type="none"/>
          </v:group>
        </w:pict>
      </w:r>
      <w:r>
        <w:rPr/>
        <w:pict>
          <v:group style="position:absolute;margin-left:225.485992pt;margin-top:2.104327pt;width:31.25pt;height:9.6pt;mso-position-horizontal-relative:page;mso-position-vertical-relative:paragraph;z-index:-408376" coordorigin="4510,42" coordsize="625,192">
            <v:rect style="position:absolute;left:4729;top:42;width:186;height:191" filled="true" fillcolor="#4788c7" stroked="false">
              <v:fill type="solid"/>
            </v:rect>
            <v:line style="position:absolute" from="4520,138" to="5125,138" stroked="true" strokeweight="1pt" strokecolor="#4788c7">
              <v:stroke dashstyle="solid"/>
            </v:line>
            <w10:wrap type="none"/>
          </v:group>
        </w:pict>
      </w:r>
      <w:r>
        <w:rPr/>
        <w:pict>
          <v:group style="position:absolute;margin-left:372.391998pt;margin-top:2.378327pt;width:31.25pt;height:9.050pt;mso-position-horizontal-relative:page;mso-position-vertical-relative:paragraph;z-index:-408328" coordorigin="7448,48" coordsize="625,181">
            <v:shape style="position:absolute;left:7656;top:48;width:209;height:181" coordorigin="7656,48" coordsize="209,181" path="m7760,48l7656,228,7864,228,7760,48xe" filled="true" fillcolor="#a09f9f" stroked="false">
              <v:path arrowok="t"/>
              <v:fill type="solid"/>
            </v:shape>
            <v:line style="position:absolute" from="7458,138" to="8063,138" stroked="true" strokeweight="1pt" strokecolor="#a09f9f">
              <v:stroke dashstyle="solid"/>
            </v:line>
            <w10:wrap type="none"/>
          </v:group>
        </w:pict>
      </w:r>
      <w:r>
        <w:rPr>
          <w:color w:val="231F20"/>
        </w:rPr>
        <w:t>Southwest Airlines Co.</w:t>
        <w:tab/>
        <w:t>S&amp;P 500</w:t>
        <w:tab/>
        <w:t>NYSE ARCA</w:t>
      </w:r>
      <w:r>
        <w:rPr>
          <w:color w:val="231F20"/>
          <w:spacing w:val="-1"/>
        </w:rPr>
        <w:t> </w:t>
      </w:r>
      <w:r>
        <w:rPr>
          <w:color w:val="231F20"/>
        </w:rPr>
        <w:t>Airline</w:t>
      </w:r>
    </w:p>
    <w:p>
      <w:pPr>
        <w:pStyle w:val="BodyText"/>
        <w:spacing w:before="6"/>
        <w:rPr>
          <w:sz w:val="12"/>
        </w:rPr>
      </w:pPr>
    </w:p>
    <w:p>
      <w:pPr>
        <w:spacing w:before="100" w:after="17"/>
        <w:ind w:left="3188" w:right="0" w:firstLine="0"/>
        <w:jc w:val="left"/>
        <w:rPr>
          <w:b/>
          <w:sz w:val="20"/>
        </w:rPr>
      </w:pPr>
      <w:r>
        <w:rPr>
          <w:b/>
          <w:color w:val="231F20"/>
          <w:sz w:val="20"/>
        </w:rPr>
        <w:t>12/31/2009  12/31/2010  12/31/2011  12/31/2012  12/31/2013  12/31/2014</w:t>
      </w:r>
    </w:p>
    <w:tbl>
      <w:tblPr>
        <w:tblW w:w="0" w:type="auto"/>
        <w:jc w:val="left"/>
        <w:tblInd w:w="1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540"/>
        <w:gridCol w:w="1490"/>
        <w:gridCol w:w="1012"/>
        <w:gridCol w:w="1012"/>
        <w:gridCol w:w="1012"/>
        <w:gridCol w:w="1012"/>
        <w:gridCol w:w="1042"/>
      </w:tblGrid>
      <w:tr>
        <w:trPr>
          <w:trHeight w:val="320" w:hRule="exact"/>
        </w:trPr>
        <w:tc>
          <w:tcPr>
            <w:tcW w:w="2540" w:type="dxa"/>
            <w:tcBorders>
              <w:right w:val="nil"/>
            </w:tcBorders>
            <w:shd w:val="clear" w:color="auto" w:fill="CCECFC"/>
          </w:tcPr>
          <w:p>
            <w:pPr>
              <w:pStyle w:val="TableParagraph"/>
              <w:ind w:left="50"/>
              <w:rPr>
                <w:b/>
                <w:sz w:val="20"/>
              </w:rPr>
            </w:pPr>
            <w:r>
              <w:rPr>
                <w:b/>
                <w:color w:val="231F20"/>
                <w:sz w:val="20"/>
              </w:rPr>
              <w:t>Southwest Airlines Co.</w:t>
            </w:r>
          </w:p>
        </w:tc>
        <w:tc>
          <w:tcPr>
            <w:tcW w:w="1490" w:type="dxa"/>
            <w:tcBorders>
              <w:left w:val="nil"/>
              <w:right w:val="nil"/>
            </w:tcBorders>
            <w:shd w:val="clear" w:color="auto" w:fill="CCECFC"/>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CCECFC"/>
          </w:tcPr>
          <w:p>
            <w:pPr>
              <w:pStyle w:val="TableParagraph"/>
              <w:tabs>
                <w:tab w:pos="611" w:val="left" w:leader="none"/>
              </w:tabs>
              <w:jc w:val="center"/>
              <w:rPr>
                <w:sz w:val="20"/>
              </w:rPr>
            </w:pPr>
            <w:r>
              <w:rPr>
                <w:color w:val="231F20"/>
                <w:sz w:val="20"/>
              </w:rPr>
              <w:t>$</w:t>
              <w:tab/>
              <w:t>114</w:t>
            </w:r>
          </w:p>
        </w:tc>
        <w:tc>
          <w:tcPr>
            <w:tcW w:w="1012" w:type="dxa"/>
            <w:tcBorders>
              <w:left w:val="nil"/>
              <w:right w:val="nil"/>
            </w:tcBorders>
            <w:shd w:val="clear" w:color="auto" w:fill="CCECFC"/>
          </w:tcPr>
          <w:p>
            <w:pPr>
              <w:pStyle w:val="TableParagraph"/>
              <w:tabs>
                <w:tab w:pos="711" w:val="left" w:leader="none"/>
              </w:tabs>
              <w:jc w:val="center"/>
              <w:rPr>
                <w:sz w:val="20"/>
              </w:rPr>
            </w:pPr>
            <w:r>
              <w:rPr>
                <w:color w:val="231F20"/>
                <w:sz w:val="20"/>
              </w:rPr>
              <w:t>$</w:t>
              <w:tab/>
              <w:t>75</w:t>
            </w:r>
          </w:p>
        </w:tc>
        <w:tc>
          <w:tcPr>
            <w:tcW w:w="1012" w:type="dxa"/>
            <w:tcBorders>
              <w:left w:val="nil"/>
              <w:right w:val="nil"/>
            </w:tcBorders>
            <w:shd w:val="clear" w:color="auto" w:fill="CCECFC"/>
          </w:tcPr>
          <w:p>
            <w:pPr>
              <w:pStyle w:val="TableParagraph"/>
              <w:tabs>
                <w:tab w:pos="711" w:val="left" w:leader="none"/>
              </w:tabs>
              <w:jc w:val="center"/>
              <w:rPr>
                <w:sz w:val="20"/>
              </w:rPr>
            </w:pPr>
            <w:r>
              <w:rPr>
                <w:color w:val="231F20"/>
                <w:sz w:val="20"/>
              </w:rPr>
              <w:t>$</w:t>
              <w:tab/>
              <w:t>90</w:t>
            </w:r>
          </w:p>
        </w:tc>
        <w:tc>
          <w:tcPr>
            <w:tcW w:w="1012" w:type="dxa"/>
            <w:tcBorders>
              <w:left w:val="nil"/>
              <w:right w:val="nil"/>
            </w:tcBorders>
            <w:shd w:val="clear" w:color="auto" w:fill="CCECFC"/>
          </w:tcPr>
          <w:p>
            <w:pPr>
              <w:pStyle w:val="TableParagraph"/>
              <w:tabs>
                <w:tab w:pos="611" w:val="left" w:leader="none"/>
              </w:tabs>
              <w:jc w:val="center"/>
              <w:rPr>
                <w:sz w:val="20"/>
              </w:rPr>
            </w:pPr>
            <w:r>
              <w:rPr>
                <w:color w:val="231F20"/>
                <w:sz w:val="20"/>
              </w:rPr>
              <w:t>$</w:t>
              <w:tab/>
              <w:t>167</w:t>
            </w:r>
          </w:p>
        </w:tc>
        <w:tc>
          <w:tcPr>
            <w:tcW w:w="1042" w:type="dxa"/>
            <w:tcBorders>
              <w:left w:val="nil"/>
            </w:tcBorders>
            <w:shd w:val="clear" w:color="auto" w:fill="CCECFC"/>
          </w:tcPr>
          <w:p>
            <w:pPr>
              <w:pStyle w:val="TableParagraph"/>
              <w:tabs>
                <w:tab w:pos="611" w:val="left" w:leader="none"/>
              </w:tabs>
              <w:ind w:right="19"/>
              <w:jc w:val="center"/>
              <w:rPr>
                <w:sz w:val="20"/>
              </w:rPr>
            </w:pPr>
            <w:r>
              <w:rPr>
                <w:color w:val="231F20"/>
                <w:sz w:val="20"/>
              </w:rPr>
              <w:t>$</w:t>
              <w:tab/>
              <w:t>377</w:t>
            </w:r>
          </w:p>
        </w:tc>
      </w:tr>
      <w:tr>
        <w:trPr>
          <w:trHeight w:val="320" w:hRule="exact"/>
        </w:trPr>
        <w:tc>
          <w:tcPr>
            <w:tcW w:w="2540" w:type="dxa"/>
            <w:tcBorders>
              <w:right w:val="nil"/>
            </w:tcBorders>
          </w:tcPr>
          <w:p>
            <w:pPr>
              <w:pStyle w:val="TableParagraph"/>
              <w:ind w:left="50"/>
              <w:rPr>
                <w:b/>
                <w:sz w:val="20"/>
              </w:rPr>
            </w:pPr>
            <w:r>
              <w:rPr>
                <w:b/>
                <w:color w:val="231F20"/>
                <w:sz w:val="20"/>
              </w:rPr>
              <w:t>S&amp;P 500</w:t>
            </w:r>
          </w:p>
        </w:tc>
        <w:tc>
          <w:tcPr>
            <w:tcW w:w="1490" w:type="dxa"/>
            <w:tcBorders>
              <w:left w:val="nil"/>
              <w:right w:val="nil"/>
            </w:tcBorders>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tcPr>
          <w:p>
            <w:pPr>
              <w:pStyle w:val="TableParagraph"/>
              <w:tabs>
                <w:tab w:pos="611" w:val="left" w:leader="none"/>
              </w:tabs>
              <w:jc w:val="center"/>
              <w:rPr>
                <w:sz w:val="20"/>
              </w:rPr>
            </w:pPr>
            <w:r>
              <w:rPr>
                <w:color w:val="231F20"/>
                <w:sz w:val="20"/>
              </w:rPr>
              <w:t>$</w:t>
              <w:tab/>
              <w:t>115</w:t>
            </w:r>
          </w:p>
        </w:tc>
        <w:tc>
          <w:tcPr>
            <w:tcW w:w="1012" w:type="dxa"/>
            <w:tcBorders>
              <w:left w:val="nil"/>
              <w:right w:val="nil"/>
            </w:tcBorders>
          </w:tcPr>
          <w:p>
            <w:pPr>
              <w:pStyle w:val="TableParagraph"/>
              <w:tabs>
                <w:tab w:pos="611" w:val="left" w:leader="none"/>
              </w:tabs>
              <w:jc w:val="center"/>
              <w:rPr>
                <w:sz w:val="20"/>
              </w:rPr>
            </w:pPr>
            <w:r>
              <w:rPr>
                <w:color w:val="231F20"/>
                <w:sz w:val="20"/>
              </w:rPr>
              <w:t>$</w:t>
              <w:tab/>
              <w:t>117</w:t>
            </w:r>
          </w:p>
        </w:tc>
        <w:tc>
          <w:tcPr>
            <w:tcW w:w="1012" w:type="dxa"/>
            <w:tcBorders>
              <w:left w:val="nil"/>
              <w:right w:val="nil"/>
            </w:tcBorders>
          </w:tcPr>
          <w:p>
            <w:pPr>
              <w:pStyle w:val="TableParagraph"/>
              <w:tabs>
                <w:tab w:pos="611" w:val="left" w:leader="none"/>
              </w:tabs>
              <w:jc w:val="center"/>
              <w:rPr>
                <w:sz w:val="20"/>
              </w:rPr>
            </w:pPr>
            <w:r>
              <w:rPr>
                <w:color w:val="231F20"/>
                <w:sz w:val="20"/>
              </w:rPr>
              <w:t>$</w:t>
              <w:tab/>
              <w:t>136</w:t>
            </w:r>
          </w:p>
        </w:tc>
        <w:tc>
          <w:tcPr>
            <w:tcW w:w="1012" w:type="dxa"/>
            <w:tcBorders>
              <w:left w:val="nil"/>
              <w:right w:val="nil"/>
            </w:tcBorders>
          </w:tcPr>
          <w:p>
            <w:pPr>
              <w:pStyle w:val="TableParagraph"/>
              <w:tabs>
                <w:tab w:pos="611" w:val="left" w:leader="none"/>
              </w:tabs>
              <w:jc w:val="center"/>
              <w:rPr>
                <w:sz w:val="20"/>
              </w:rPr>
            </w:pPr>
            <w:r>
              <w:rPr>
                <w:color w:val="231F20"/>
                <w:sz w:val="20"/>
              </w:rPr>
              <w:t>$</w:t>
              <w:tab/>
              <w:t>179</w:t>
            </w:r>
          </w:p>
        </w:tc>
        <w:tc>
          <w:tcPr>
            <w:tcW w:w="1042" w:type="dxa"/>
            <w:tcBorders>
              <w:left w:val="nil"/>
            </w:tcBorders>
          </w:tcPr>
          <w:p>
            <w:pPr>
              <w:pStyle w:val="TableParagraph"/>
              <w:tabs>
                <w:tab w:pos="611" w:val="left" w:leader="none"/>
              </w:tabs>
              <w:ind w:right="19"/>
              <w:jc w:val="center"/>
              <w:rPr>
                <w:sz w:val="20"/>
              </w:rPr>
            </w:pPr>
            <w:r>
              <w:rPr>
                <w:color w:val="231F20"/>
                <w:sz w:val="20"/>
              </w:rPr>
              <w:t>$</w:t>
              <w:tab/>
              <w:t>204</w:t>
            </w:r>
          </w:p>
        </w:tc>
      </w:tr>
      <w:tr>
        <w:trPr>
          <w:trHeight w:val="320" w:hRule="exact"/>
        </w:trPr>
        <w:tc>
          <w:tcPr>
            <w:tcW w:w="2540" w:type="dxa"/>
            <w:tcBorders>
              <w:right w:val="nil"/>
            </w:tcBorders>
            <w:shd w:val="clear" w:color="auto" w:fill="CCECFC"/>
          </w:tcPr>
          <w:p>
            <w:pPr>
              <w:pStyle w:val="TableParagraph"/>
              <w:ind w:left="50"/>
              <w:rPr>
                <w:b/>
                <w:sz w:val="20"/>
              </w:rPr>
            </w:pPr>
            <w:r>
              <w:rPr>
                <w:b/>
                <w:color w:val="231F20"/>
                <w:sz w:val="20"/>
              </w:rPr>
              <w:t>NYSE ARCA Airline</w:t>
            </w:r>
          </w:p>
        </w:tc>
        <w:tc>
          <w:tcPr>
            <w:tcW w:w="1490" w:type="dxa"/>
            <w:tcBorders>
              <w:left w:val="nil"/>
              <w:right w:val="nil"/>
            </w:tcBorders>
            <w:shd w:val="clear" w:color="auto" w:fill="CCECFC"/>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CCECFC"/>
          </w:tcPr>
          <w:p>
            <w:pPr>
              <w:pStyle w:val="TableParagraph"/>
              <w:tabs>
                <w:tab w:pos="611" w:val="left" w:leader="none"/>
              </w:tabs>
              <w:jc w:val="center"/>
              <w:rPr>
                <w:sz w:val="20"/>
              </w:rPr>
            </w:pPr>
            <w:r>
              <w:rPr>
                <w:color w:val="231F20"/>
                <w:sz w:val="20"/>
              </w:rPr>
              <w:t>$</w:t>
              <w:tab/>
              <w:t>141</w:t>
            </w:r>
          </w:p>
        </w:tc>
        <w:tc>
          <w:tcPr>
            <w:tcW w:w="1012" w:type="dxa"/>
            <w:tcBorders>
              <w:left w:val="nil"/>
              <w:right w:val="nil"/>
            </w:tcBorders>
            <w:shd w:val="clear" w:color="auto" w:fill="CCECFC"/>
          </w:tcPr>
          <w:p>
            <w:pPr>
              <w:pStyle w:val="TableParagraph"/>
              <w:tabs>
                <w:tab w:pos="711" w:val="left" w:leader="none"/>
              </w:tabs>
              <w:jc w:val="center"/>
              <w:rPr>
                <w:sz w:val="20"/>
              </w:rPr>
            </w:pPr>
            <w:r>
              <w:rPr>
                <w:color w:val="231F20"/>
                <w:sz w:val="20"/>
              </w:rPr>
              <w:t>$</w:t>
              <w:tab/>
              <w:t>98</w:t>
            </w:r>
          </w:p>
        </w:tc>
        <w:tc>
          <w:tcPr>
            <w:tcW w:w="1012" w:type="dxa"/>
            <w:tcBorders>
              <w:left w:val="nil"/>
              <w:right w:val="nil"/>
            </w:tcBorders>
            <w:shd w:val="clear" w:color="auto" w:fill="CCECFC"/>
          </w:tcPr>
          <w:p>
            <w:pPr>
              <w:pStyle w:val="TableParagraph"/>
              <w:tabs>
                <w:tab w:pos="611" w:val="left" w:leader="none"/>
              </w:tabs>
              <w:jc w:val="center"/>
              <w:rPr>
                <w:sz w:val="20"/>
              </w:rPr>
            </w:pPr>
            <w:r>
              <w:rPr>
                <w:color w:val="231F20"/>
                <w:sz w:val="20"/>
              </w:rPr>
              <w:t>$</w:t>
              <w:tab/>
              <w:t>135</w:t>
            </w:r>
          </w:p>
        </w:tc>
        <w:tc>
          <w:tcPr>
            <w:tcW w:w="1012" w:type="dxa"/>
            <w:tcBorders>
              <w:left w:val="nil"/>
              <w:right w:val="nil"/>
            </w:tcBorders>
            <w:shd w:val="clear" w:color="auto" w:fill="CCECFC"/>
          </w:tcPr>
          <w:p>
            <w:pPr>
              <w:pStyle w:val="TableParagraph"/>
              <w:tabs>
                <w:tab w:pos="611" w:val="left" w:leader="none"/>
              </w:tabs>
              <w:jc w:val="center"/>
              <w:rPr>
                <w:sz w:val="20"/>
              </w:rPr>
            </w:pPr>
            <w:r>
              <w:rPr>
                <w:color w:val="231F20"/>
                <w:sz w:val="20"/>
              </w:rPr>
              <w:t>$</w:t>
              <w:tab/>
              <w:t>214</w:t>
            </w:r>
          </w:p>
        </w:tc>
        <w:tc>
          <w:tcPr>
            <w:tcW w:w="1042" w:type="dxa"/>
            <w:tcBorders>
              <w:left w:val="nil"/>
            </w:tcBorders>
            <w:shd w:val="clear" w:color="auto" w:fill="CCECFC"/>
          </w:tcPr>
          <w:p>
            <w:pPr>
              <w:pStyle w:val="TableParagraph"/>
              <w:tabs>
                <w:tab w:pos="611" w:val="left" w:leader="none"/>
              </w:tabs>
              <w:ind w:right="19"/>
              <w:jc w:val="center"/>
              <w:rPr>
                <w:sz w:val="20"/>
              </w:rPr>
            </w:pPr>
            <w:r>
              <w:rPr>
                <w:color w:val="231F20"/>
                <w:sz w:val="20"/>
              </w:rPr>
              <w:t>$</w:t>
              <w:tab/>
              <w:t>320</w:t>
            </w:r>
          </w:p>
        </w:tc>
      </w:tr>
    </w:tbl>
    <w:p>
      <w:pPr>
        <w:spacing w:after="0"/>
        <w:jc w:val="center"/>
        <w:rPr>
          <w:sz w:val="20"/>
        </w:rPr>
        <w:sectPr>
          <w:pgSz w:w="11880" w:h="15480"/>
          <w:pgMar w:header="0" w:footer="1240" w:top="1240" w:bottom="1420" w:left="1260" w:right="1260"/>
        </w:sectPr>
      </w:pPr>
    </w:p>
    <w:p>
      <w:pPr>
        <w:pStyle w:val="Heading1"/>
        <w:ind w:left="120"/>
      </w:pPr>
      <w:r>
        <w:rPr>
          <w:color w:val="231F20"/>
        </w:rPr>
        <w:t>Issuer Repurchases</w:t>
      </w:r>
    </w:p>
    <w:p>
      <w:pPr>
        <w:pStyle w:val="BodyText"/>
        <w:rPr>
          <w:b/>
        </w:rPr>
      </w:pPr>
      <w:r>
        <w:rPr/>
        <w:br w:type="column"/>
      </w:r>
      <w:r>
        <w:rPr>
          <w:b/>
        </w:rPr>
      </w:r>
    </w:p>
    <w:p>
      <w:pPr>
        <w:spacing w:before="184"/>
        <w:ind w:left="196" w:right="0" w:firstLine="0"/>
        <w:jc w:val="left"/>
        <w:rPr>
          <w:sz w:val="20"/>
        </w:rPr>
      </w:pPr>
      <w:r>
        <w:rPr>
          <w:color w:val="231F20"/>
          <w:sz w:val="20"/>
        </w:rPr>
        <w:t>Issuer Purchases of Equity Securities (1)</w:t>
      </w:r>
    </w:p>
    <w:p>
      <w:pPr>
        <w:tabs>
          <w:tab w:pos="1536" w:val="left" w:leader="none"/>
          <w:tab w:pos="3154" w:val="left" w:leader="none"/>
          <w:tab w:pos="5150" w:val="left" w:leader="none"/>
        </w:tabs>
        <w:spacing w:line="201" w:lineRule="exact" w:before="29"/>
        <w:ind w:left="120" w:right="0" w:firstLine="0"/>
        <w:jc w:val="left"/>
        <w:rPr>
          <w:b/>
          <w:sz w:val="20"/>
        </w:rPr>
      </w:pPr>
      <w:r>
        <w:rPr>
          <w:b/>
          <w:color w:val="231F20"/>
          <w:sz w:val="20"/>
        </w:rPr>
        <w:t>(a)</w:t>
        <w:tab/>
        <w:t>(b)</w:t>
        <w:tab/>
        <w:t>(c)</w:t>
        <w:tab/>
        <w:t>(d)</w:t>
      </w:r>
    </w:p>
    <w:p>
      <w:pPr>
        <w:spacing w:after="0" w:line="201" w:lineRule="exact"/>
        <w:jc w:val="left"/>
        <w:rPr>
          <w:sz w:val="20"/>
        </w:rPr>
        <w:sectPr>
          <w:pgSz w:w="11880" w:h="15480"/>
          <w:pgMar w:header="0" w:footer="1240" w:top="1240" w:bottom="1420" w:left="1260" w:right="1260"/>
          <w:cols w:num="2" w:equalWidth="0">
            <w:col w:w="1949" w:space="786"/>
            <w:col w:w="6625"/>
          </w:cols>
        </w:sectPr>
      </w:pPr>
    </w:p>
    <w:p>
      <w:pPr>
        <w:pStyle w:val="BodyText"/>
        <w:rPr>
          <w:b/>
        </w:rPr>
      </w:pPr>
    </w:p>
    <w:p>
      <w:pPr>
        <w:pStyle w:val="BodyText"/>
        <w:rPr>
          <w:b/>
        </w:rPr>
      </w:pPr>
    </w:p>
    <w:p>
      <w:pPr>
        <w:pStyle w:val="BodyText"/>
        <w:spacing w:before="5"/>
        <w:rPr>
          <w:b/>
          <w:sz w:val="25"/>
        </w:rPr>
      </w:pPr>
    </w:p>
    <w:p>
      <w:pPr>
        <w:spacing w:before="0"/>
        <w:ind w:left="896" w:right="0" w:firstLine="0"/>
        <w:jc w:val="left"/>
        <w:rPr>
          <w:b/>
          <w:sz w:val="20"/>
        </w:rPr>
      </w:pPr>
      <w:r>
        <w:rPr>
          <w:b/>
          <w:color w:val="231F20"/>
          <w:sz w:val="20"/>
        </w:rPr>
        <w:t>Period</w:t>
      </w:r>
    </w:p>
    <w:p>
      <w:pPr>
        <w:pStyle w:val="BodyText"/>
        <w:rPr>
          <w:b/>
        </w:rPr>
      </w:pPr>
      <w:r>
        <w:rPr/>
        <w:br w:type="column"/>
      </w:r>
      <w:r>
        <w:rPr>
          <w:b/>
        </w:rPr>
      </w:r>
    </w:p>
    <w:p>
      <w:pPr>
        <w:spacing w:line="200" w:lineRule="exact" w:before="172"/>
        <w:ind w:left="877" w:right="0" w:firstLine="0"/>
        <w:jc w:val="center"/>
        <w:rPr>
          <w:b/>
          <w:sz w:val="20"/>
        </w:rPr>
      </w:pPr>
      <w:r>
        <w:rPr>
          <w:b/>
          <w:color w:val="231F20"/>
          <w:sz w:val="20"/>
        </w:rPr>
        <w:t>Total number</w:t>
      </w:r>
      <w:r>
        <w:rPr>
          <w:b/>
          <w:color w:val="231F20"/>
          <w:w w:val="99"/>
          <w:sz w:val="20"/>
        </w:rPr>
        <w:t> </w:t>
      </w:r>
      <w:r>
        <w:rPr>
          <w:b/>
          <w:color w:val="231F20"/>
          <w:sz w:val="20"/>
        </w:rPr>
        <w:t>of shares purchased</w:t>
      </w:r>
    </w:p>
    <w:p>
      <w:pPr>
        <w:pStyle w:val="BodyText"/>
        <w:rPr>
          <w:b/>
        </w:rPr>
      </w:pPr>
      <w:r>
        <w:rPr/>
        <w:br w:type="column"/>
      </w:r>
      <w:r>
        <w:rPr>
          <w:b/>
        </w:rPr>
      </w:r>
    </w:p>
    <w:p>
      <w:pPr>
        <w:spacing w:line="200" w:lineRule="exact" w:before="172"/>
        <w:ind w:left="360" w:right="0" w:hanging="2"/>
        <w:jc w:val="center"/>
        <w:rPr>
          <w:b/>
          <w:sz w:val="20"/>
        </w:rPr>
      </w:pPr>
      <w:r>
        <w:rPr>
          <w:b/>
          <w:color w:val="231F20"/>
          <w:sz w:val="20"/>
        </w:rPr>
        <w:t>Average price paid per share</w:t>
      </w:r>
    </w:p>
    <w:p>
      <w:pPr>
        <w:spacing w:line="200" w:lineRule="exact" w:before="25"/>
        <w:ind w:left="359" w:right="0" w:hanging="1"/>
        <w:jc w:val="center"/>
        <w:rPr>
          <w:b/>
          <w:sz w:val="20"/>
        </w:rPr>
      </w:pPr>
      <w:r>
        <w:rPr/>
        <w:br w:type="column"/>
      </w:r>
      <w:r>
        <w:rPr>
          <w:b/>
          <w:color w:val="231F20"/>
          <w:sz w:val="20"/>
        </w:rPr>
        <w:t>Total number of shares purchased as part of publicly announced plans or programs</w:t>
      </w:r>
    </w:p>
    <w:p>
      <w:pPr>
        <w:spacing w:line="200" w:lineRule="exact" w:before="25"/>
        <w:ind w:left="260" w:right="419" w:hanging="1"/>
        <w:jc w:val="center"/>
        <w:rPr>
          <w:b/>
          <w:sz w:val="20"/>
        </w:rPr>
      </w:pPr>
      <w:r>
        <w:rPr/>
        <w:br w:type="column"/>
      </w:r>
      <w:r>
        <w:rPr>
          <w:b/>
          <w:color w:val="231F20"/>
          <w:sz w:val="20"/>
        </w:rPr>
        <w:t>Maximum dollar value of shares that may yet be purchased under the</w:t>
      </w:r>
      <w:r>
        <w:rPr>
          <w:b/>
          <w:color w:val="231F20"/>
          <w:spacing w:val="-2"/>
          <w:sz w:val="20"/>
        </w:rPr>
        <w:t> </w:t>
      </w:r>
      <w:r>
        <w:rPr>
          <w:b/>
          <w:color w:val="231F20"/>
          <w:sz w:val="20"/>
        </w:rPr>
        <w:t>plans</w:t>
      </w:r>
    </w:p>
    <w:p>
      <w:pPr>
        <w:spacing w:line="203" w:lineRule="exact" w:before="0"/>
        <w:ind w:left="634" w:right="793" w:firstLine="0"/>
        <w:jc w:val="center"/>
        <w:rPr>
          <w:b/>
          <w:sz w:val="20"/>
        </w:rPr>
      </w:pPr>
      <w:r>
        <w:rPr>
          <w:b/>
          <w:color w:val="231F20"/>
          <w:sz w:val="20"/>
        </w:rPr>
        <w:t>or programs</w:t>
      </w:r>
    </w:p>
    <w:p>
      <w:pPr>
        <w:spacing w:after="0" w:line="203" w:lineRule="exact"/>
        <w:jc w:val="center"/>
        <w:rPr>
          <w:sz w:val="20"/>
        </w:rPr>
        <w:sectPr>
          <w:type w:val="continuous"/>
          <w:pgSz w:w="11880" w:h="15480"/>
          <w:pgMar w:top="1260" w:bottom="280" w:left="1260" w:right="1260"/>
          <w:cols w:num="5" w:equalWidth="0">
            <w:col w:w="1463" w:space="40"/>
            <w:col w:w="2062" w:space="40"/>
            <w:col w:w="1223" w:space="40"/>
            <w:col w:w="1912" w:space="40"/>
            <w:col w:w="2540"/>
          </w:cols>
        </w:sectPr>
      </w:pPr>
    </w:p>
    <w:p>
      <w:pPr>
        <w:pStyle w:val="BodyText"/>
        <w:spacing w:before="3"/>
        <w:rPr>
          <w:b/>
          <w:sz w:val="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60"/>
        <w:gridCol w:w="200"/>
        <w:gridCol w:w="1184"/>
        <w:gridCol w:w="300"/>
        <w:gridCol w:w="1362"/>
        <w:gridCol w:w="1552"/>
        <w:gridCol w:w="300"/>
        <w:gridCol w:w="2162"/>
      </w:tblGrid>
      <w:tr>
        <w:trPr>
          <w:trHeight w:val="610" w:hRule="exact"/>
        </w:trPr>
        <w:tc>
          <w:tcPr>
            <w:tcW w:w="2060" w:type="dxa"/>
            <w:tcBorders>
              <w:top w:val="single" w:sz="8" w:space="0" w:color="231F20"/>
            </w:tcBorders>
            <w:shd w:val="clear" w:color="auto" w:fill="CCECFC"/>
          </w:tcPr>
          <w:p>
            <w:pPr>
              <w:pStyle w:val="TableParagraph"/>
              <w:spacing w:before="92"/>
              <w:ind w:left="60"/>
              <w:rPr>
                <w:sz w:val="18"/>
              </w:rPr>
            </w:pPr>
            <w:r>
              <w:rPr>
                <w:color w:val="231F20"/>
                <w:sz w:val="18"/>
              </w:rPr>
              <w:t>October   1,   2014  through</w:t>
            </w:r>
          </w:p>
          <w:p>
            <w:pPr>
              <w:pStyle w:val="TableParagraph"/>
              <w:ind w:left="240"/>
              <w:rPr>
                <w:sz w:val="18"/>
              </w:rPr>
            </w:pPr>
            <w:r>
              <w:rPr>
                <w:color w:val="231F20"/>
                <w:sz w:val="18"/>
              </w:rPr>
              <w:t>October 31, 2014</w:t>
            </w:r>
          </w:p>
        </w:tc>
        <w:tc>
          <w:tcPr>
            <w:tcW w:w="200" w:type="dxa"/>
            <w:shd w:val="clear" w:color="auto" w:fill="CCECFC"/>
          </w:tcPr>
          <w:p>
            <w:pPr/>
          </w:p>
        </w:tc>
        <w:tc>
          <w:tcPr>
            <w:tcW w:w="1184" w:type="dxa"/>
            <w:tcBorders>
              <w:top w:val="single" w:sz="8" w:space="0" w:color="231F20"/>
            </w:tcBorders>
            <w:shd w:val="clear" w:color="auto" w:fill="CCECFC"/>
          </w:tcPr>
          <w:p>
            <w:pPr>
              <w:pStyle w:val="TableParagraph"/>
              <w:spacing w:before="0"/>
              <w:rPr>
                <w:b/>
                <w:sz w:val="20"/>
              </w:rPr>
            </w:pPr>
          </w:p>
          <w:p>
            <w:pPr>
              <w:pStyle w:val="TableParagraph"/>
              <w:spacing w:before="122"/>
              <w:ind w:right="89"/>
              <w:jc w:val="right"/>
              <w:rPr>
                <w:sz w:val="18"/>
              </w:rPr>
            </w:pPr>
            <w:r>
              <w:rPr>
                <w:color w:val="231F20"/>
                <w:sz w:val="18"/>
              </w:rPr>
              <w:t>1,107,489</w:t>
            </w:r>
          </w:p>
        </w:tc>
        <w:tc>
          <w:tcPr>
            <w:tcW w:w="300" w:type="dxa"/>
            <w:shd w:val="clear" w:color="auto" w:fill="CCECFC"/>
          </w:tcPr>
          <w:p>
            <w:pPr/>
          </w:p>
        </w:tc>
        <w:tc>
          <w:tcPr>
            <w:tcW w:w="1362" w:type="dxa"/>
            <w:tcBorders>
              <w:top w:val="single" w:sz="8" w:space="0" w:color="231F20"/>
            </w:tcBorders>
            <w:shd w:val="clear" w:color="auto" w:fill="CCECFC"/>
          </w:tcPr>
          <w:p>
            <w:pPr>
              <w:pStyle w:val="TableParagraph"/>
              <w:spacing w:before="0"/>
              <w:rPr>
                <w:b/>
                <w:sz w:val="20"/>
              </w:rPr>
            </w:pPr>
          </w:p>
          <w:p>
            <w:pPr>
              <w:pStyle w:val="TableParagraph"/>
              <w:tabs>
                <w:tab w:pos="791" w:val="left" w:leader="none"/>
              </w:tabs>
              <w:spacing w:before="122"/>
              <w:rPr>
                <w:sz w:val="18"/>
              </w:rPr>
            </w:pPr>
            <w:r>
              <w:rPr>
                <w:color w:val="231F20"/>
                <w:sz w:val="18"/>
              </w:rPr>
              <w:t>$</w:t>
              <w:tab/>
              <w:t>—  (2)</w:t>
            </w:r>
          </w:p>
        </w:tc>
        <w:tc>
          <w:tcPr>
            <w:tcW w:w="1552" w:type="dxa"/>
            <w:tcBorders>
              <w:top w:val="single" w:sz="8" w:space="0" w:color="231F20"/>
            </w:tcBorders>
            <w:shd w:val="clear" w:color="auto" w:fill="CCECFC"/>
          </w:tcPr>
          <w:p>
            <w:pPr>
              <w:pStyle w:val="TableParagraph"/>
              <w:spacing w:before="0"/>
              <w:rPr>
                <w:b/>
                <w:sz w:val="20"/>
              </w:rPr>
            </w:pPr>
          </w:p>
          <w:p>
            <w:pPr>
              <w:pStyle w:val="TableParagraph"/>
              <w:spacing w:before="122"/>
              <w:ind w:right="88"/>
              <w:jc w:val="right"/>
              <w:rPr>
                <w:sz w:val="18"/>
              </w:rPr>
            </w:pPr>
            <w:r>
              <w:rPr>
                <w:color w:val="231F20"/>
                <w:sz w:val="18"/>
              </w:rPr>
              <w:t>1,107,489</w:t>
            </w:r>
          </w:p>
        </w:tc>
        <w:tc>
          <w:tcPr>
            <w:tcW w:w="300" w:type="dxa"/>
            <w:shd w:val="clear" w:color="auto" w:fill="CCECFC"/>
          </w:tcPr>
          <w:p>
            <w:pPr/>
          </w:p>
        </w:tc>
        <w:tc>
          <w:tcPr>
            <w:tcW w:w="2162" w:type="dxa"/>
            <w:tcBorders>
              <w:top w:val="single" w:sz="8" w:space="0" w:color="231F20"/>
            </w:tcBorders>
            <w:shd w:val="clear" w:color="auto" w:fill="CCECFC"/>
          </w:tcPr>
          <w:p>
            <w:pPr>
              <w:pStyle w:val="TableParagraph"/>
              <w:spacing w:before="0"/>
              <w:rPr>
                <w:b/>
                <w:sz w:val="20"/>
              </w:rPr>
            </w:pPr>
          </w:p>
          <w:p>
            <w:pPr>
              <w:pStyle w:val="TableParagraph"/>
              <w:tabs>
                <w:tab w:pos="871" w:val="left" w:leader="none"/>
              </w:tabs>
              <w:spacing w:before="122"/>
              <w:rPr>
                <w:sz w:val="18"/>
              </w:rPr>
            </w:pPr>
            <w:r>
              <w:rPr>
                <w:color w:val="231F20"/>
                <w:sz w:val="18"/>
              </w:rPr>
              <w:t>$</w:t>
              <w:tab/>
              <w:t>580,356,300</w:t>
            </w:r>
          </w:p>
        </w:tc>
      </w:tr>
      <w:tr>
        <w:trPr>
          <w:trHeight w:val="600" w:hRule="exact"/>
        </w:trPr>
        <w:tc>
          <w:tcPr>
            <w:tcW w:w="2060" w:type="dxa"/>
          </w:tcPr>
          <w:p>
            <w:pPr>
              <w:pStyle w:val="TableParagraph"/>
              <w:spacing w:before="92"/>
              <w:ind w:left="39" w:right="30"/>
              <w:jc w:val="center"/>
              <w:rPr>
                <w:sz w:val="18"/>
              </w:rPr>
            </w:pPr>
            <w:r>
              <w:rPr>
                <w:color w:val="231F20"/>
                <w:sz w:val="18"/>
              </w:rPr>
              <w:t>November 1, 2014 through</w:t>
            </w:r>
          </w:p>
          <w:p>
            <w:pPr>
              <w:pStyle w:val="TableParagraph"/>
              <w:ind w:left="39" w:right="182"/>
              <w:jc w:val="center"/>
              <w:rPr>
                <w:sz w:val="18"/>
              </w:rPr>
            </w:pPr>
            <w:r>
              <w:rPr>
                <w:color w:val="231F20"/>
                <w:sz w:val="18"/>
              </w:rPr>
              <w:t>November 30, 2014</w:t>
            </w:r>
          </w:p>
        </w:tc>
        <w:tc>
          <w:tcPr>
            <w:tcW w:w="200" w:type="dxa"/>
          </w:tcPr>
          <w:p>
            <w:pPr/>
          </w:p>
        </w:tc>
        <w:tc>
          <w:tcPr>
            <w:tcW w:w="1184" w:type="dxa"/>
          </w:tcPr>
          <w:p>
            <w:pPr>
              <w:pStyle w:val="TableParagraph"/>
              <w:spacing w:before="0"/>
              <w:rPr>
                <w:b/>
                <w:sz w:val="20"/>
              </w:rPr>
            </w:pPr>
          </w:p>
          <w:p>
            <w:pPr>
              <w:pStyle w:val="TableParagraph"/>
              <w:spacing w:before="122"/>
              <w:ind w:right="89"/>
              <w:jc w:val="right"/>
              <w:rPr>
                <w:sz w:val="18"/>
              </w:rPr>
            </w:pPr>
            <w:r>
              <w:rPr>
                <w:color w:val="231F20"/>
                <w:sz w:val="18"/>
              </w:rPr>
              <w:t>3,810,008</w:t>
            </w:r>
          </w:p>
        </w:tc>
        <w:tc>
          <w:tcPr>
            <w:tcW w:w="300" w:type="dxa"/>
          </w:tcPr>
          <w:p>
            <w:pPr/>
          </w:p>
        </w:tc>
        <w:tc>
          <w:tcPr>
            <w:tcW w:w="1362" w:type="dxa"/>
          </w:tcPr>
          <w:p>
            <w:pPr>
              <w:pStyle w:val="TableParagraph"/>
              <w:spacing w:before="0"/>
              <w:rPr>
                <w:b/>
                <w:sz w:val="20"/>
              </w:rPr>
            </w:pPr>
          </w:p>
          <w:p>
            <w:pPr>
              <w:pStyle w:val="TableParagraph"/>
              <w:tabs>
                <w:tab w:pos="791" w:val="left" w:leader="none"/>
              </w:tabs>
              <w:spacing w:before="122"/>
              <w:rPr>
                <w:sz w:val="18"/>
              </w:rPr>
            </w:pPr>
            <w:r>
              <w:rPr>
                <w:color w:val="231F20"/>
                <w:sz w:val="18"/>
              </w:rPr>
              <w:t>$</w:t>
              <w:tab/>
              <w:t>—  (3)</w:t>
            </w:r>
          </w:p>
        </w:tc>
        <w:tc>
          <w:tcPr>
            <w:tcW w:w="1552" w:type="dxa"/>
          </w:tcPr>
          <w:p>
            <w:pPr>
              <w:pStyle w:val="TableParagraph"/>
              <w:spacing w:before="0"/>
              <w:rPr>
                <w:b/>
                <w:sz w:val="20"/>
              </w:rPr>
            </w:pPr>
          </w:p>
          <w:p>
            <w:pPr>
              <w:pStyle w:val="TableParagraph"/>
              <w:spacing w:before="122"/>
              <w:ind w:right="88"/>
              <w:jc w:val="right"/>
              <w:rPr>
                <w:sz w:val="18"/>
              </w:rPr>
            </w:pPr>
            <w:r>
              <w:rPr>
                <w:color w:val="231F20"/>
                <w:sz w:val="18"/>
              </w:rPr>
              <w:t>3,810,008</w:t>
            </w:r>
          </w:p>
        </w:tc>
        <w:tc>
          <w:tcPr>
            <w:tcW w:w="300" w:type="dxa"/>
          </w:tcPr>
          <w:p>
            <w:pPr/>
          </w:p>
        </w:tc>
        <w:tc>
          <w:tcPr>
            <w:tcW w:w="2162" w:type="dxa"/>
          </w:tcPr>
          <w:p>
            <w:pPr>
              <w:pStyle w:val="TableParagraph"/>
              <w:spacing w:before="0"/>
              <w:rPr>
                <w:b/>
                <w:sz w:val="20"/>
              </w:rPr>
            </w:pPr>
          </w:p>
          <w:p>
            <w:pPr>
              <w:pStyle w:val="TableParagraph"/>
              <w:tabs>
                <w:tab w:pos="871" w:val="left" w:leader="none"/>
              </w:tabs>
              <w:spacing w:before="122"/>
              <w:rPr>
                <w:sz w:val="18"/>
              </w:rPr>
            </w:pPr>
            <w:r>
              <w:rPr>
                <w:color w:val="231F20"/>
                <w:sz w:val="18"/>
              </w:rPr>
              <w:t>$</w:t>
              <w:tab/>
              <w:t>380,356,300  (3)</w:t>
            </w:r>
          </w:p>
        </w:tc>
      </w:tr>
      <w:tr>
        <w:trPr>
          <w:trHeight w:val="615" w:hRule="exact"/>
        </w:trPr>
        <w:tc>
          <w:tcPr>
            <w:tcW w:w="2060" w:type="dxa"/>
            <w:shd w:val="clear" w:color="auto" w:fill="CCECFC"/>
          </w:tcPr>
          <w:p>
            <w:pPr>
              <w:pStyle w:val="TableParagraph"/>
              <w:spacing w:before="92"/>
              <w:ind w:left="22" w:right="30"/>
              <w:jc w:val="center"/>
              <w:rPr>
                <w:sz w:val="18"/>
              </w:rPr>
            </w:pPr>
            <w:r>
              <w:rPr>
                <w:color w:val="231F20"/>
                <w:sz w:val="18"/>
              </w:rPr>
              <w:t>December 1, 2014 through</w:t>
            </w:r>
          </w:p>
          <w:p>
            <w:pPr>
              <w:pStyle w:val="TableParagraph"/>
              <w:ind w:left="39" w:right="202"/>
              <w:jc w:val="center"/>
              <w:rPr>
                <w:sz w:val="18"/>
              </w:rPr>
            </w:pPr>
            <w:r>
              <w:rPr>
                <w:color w:val="231F20"/>
                <w:sz w:val="18"/>
              </w:rPr>
              <w:t>December 31, 2014</w:t>
            </w:r>
          </w:p>
        </w:tc>
        <w:tc>
          <w:tcPr>
            <w:tcW w:w="200" w:type="dxa"/>
            <w:shd w:val="clear" w:color="auto" w:fill="CCECFC"/>
          </w:tcPr>
          <w:p>
            <w:pPr/>
          </w:p>
        </w:tc>
        <w:tc>
          <w:tcPr>
            <w:tcW w:w="1184" w:type="dxa"/>
            <w:tcBorders>
              <w:bottom w:val="single" w:sz="4" w:space="0" w:color="231F20"/>
            </w:tcBorders>
            <w:shd w:val="clear" w:color="auto" w:fill="CCECFC"/>
          </w:tcPr>
          <w:p>
            <w:pPr>
              <w:pStyle w:val="TableParagraph"/>
              <w:spacing w:before="0"/>
              <w:rPr>
                <w:b/>
                <w:sz w:val="20"/>
              </w:rPr>
            </w:pPr>
          </w:p>
          <w:p>
            <w:pPr>
              <w:pStyle w:val="TableParagraph"/>
              <w:spacing w:before="122"/>
              <w:ind w:right="89"/>
              <w:jc w:val="right"/>
              <w:rPr>
                <w:sz w:val="18"/>
              </w:rPr>
            </w:pPr>
            <w:r>
              <w:rPr>
                <w:color w:val="231F20"/>
                <w:sz w:val="18"/>
              </w:rPr>
              <w:t>—</w:t>
            </w:r>
          </w:p>
        </w:tc>
        <w:tc>
          <w:tcPr>
            <w:tcW w:w="300" w:type="dxa"/>
            <w:shd w:val="clear" w:color="auto" w:fill="CCECFC"/>
          </w:tcPr>
          <w:p>
            <w:pPr/>
          </w:p>
        </w:tc>
        <w:tc>
          <w:tcPr>
            <w:tcW w:w="1362" w:type="dxa"/>
            <w:shd w:val="clear" w:color="auto" w:fill="CCECFC"/>
          </w:tcPr>
          <w:p>
            <w:pPr>
              <w:pStyle w:val="TableParagraph"/>
              <w:spacing w:before="0"/>
              <w:rPr>
                <w:b/>
                <w:sz w:val="20"/>
              </w:rPr>
            </w:pPr>
          </w:p>
          <w:p>
            <w:pPr>
              <w:pStyle w:val="TableParagraph"/>
              <w:tabs>
                <w:tab w:pos="791" w:val="left" w:leader="none"/>
              </w:tabs>
              <w:spacing w:before="122"/>
              <w:rPr>
                <w:sz w:val="18"/>
              </w:rPr>
            </w:pPr>
            <w:r>
              <w:rPr>
                <w:color w:val="231F20"/>
                <w:sz w:val="18"/>
              </w:rPr>
              <w:t>$</w:t>
              <w:tab/>
              <w:t>—</w:t>
            </w:r>
          </w:p>
        </w:tc>
        <w:tc>
          <w:tcPr>
            <w:tcW w:w="1552" w:type="dxa"/>
            <w:tcBorders>
              <w:bottom w:val="single" w:sz="4" w:space="0" w:color="231F20"/>
            </w:tcBorders>
            <w:shd w:val="clear" w:color="auto" w:fill="CCECFC"/>
          </w:tcPr>
          <w:p>
            <w:pPr>
              <w:pStyle w:val="TableParagraph"/>
              <w:spacing w:before="0"/>
              <w:rPr>
                <w:b/>
                <w:sz w:val="20"/>
              </w:rPr>
            </w:pPr>
          </w:p>
          <w:p>
            <w:pPr>
              <w:pStyle w:val="TableParagraph"/>
              <w:spacing w:before="122"/>
              <w:ind w:right="89"/>
              <w:jc w:val="right"/>
              <w:rPr>
                <w:sz w:val="18"/>
              </w:rPr>
            </w:pPr>
            <w:r>
              <w:rPr>
                <w:color w:val="231F20"/>
                <w:sz w:val="18"/>
              </w:rPr>
              <w:t>—</w:t>
            </w:r>
          </w:p>
        </w:tc>
        <w:tc>
          <w:tcPr>
            <w:tcW w:w="300" w:type="dxa"/>
            <w:shd w:val="clear" w:color="auto" w:fill="CCECFC"/>
          </w:tcPr>
          <w:p>
            <w:pPr/>
          </w:p>
        </w:tc>
        <w:tc>
          <w:tcPr>
            <w:tcW w:w="2162" w:type="dxa"/>
            <w:shd w:val="clear" w:color="auto" w:fill="CCECFC"/>
          </w:tcPr>
          <w:p>
            <w:pPr>
              <w:pStyle w:val="TableParagraph"/>
              <w:spacing w:before="0"/>
              <w:rPr>
                <w:b/>
                <w:sz w:val="20"/>
              </w:rPr>
            </w:pPr>
          </w:p>
          <w:p>
            <w:pPr>
              <w:pStyle w:val="TableParagraph"/>
              <w:tabs>
                <w:tab w:pos="871" w:val="left" w:leader="none"/>
              </w:tabs>
              <w:spacing w:before="122"/>
              <w:rPr>
                <w:sz w:val="18"/>
              </w:rPr>
            </w:pPr>
            <w:r>
              <w:rPr>
                <w:color w:val="231F20"/>
                <w:sz w:val="18"/>
              </w:rPr>
              <w:t>$</w:t>
              <w:tab/>
              <w:t>380,356,300</w:t>
            </w:r>
          </w:p>
        </w:tc>
      </w:tr>
      <w:tr>
        <w:trPr>
          <w:trHeight w:val="380" w:hRule="exact"/>
        </w:trPr>
        <w:tc>
          <w:tcPr>
            <w:tcW w:w="2060" w:type="dxa"/>
          </w:tcPr>
          <w:p>
            <w:pPr>
              <w:pStyle w:val="TableParagraph"/>
              <w:spacing w:before="112"/>
              <w:ind w:left="60"/>
              <w:rPr>
                <w:sz w:val="18"/>
              </w:rPr>
            </w:pPr>
            <w:r>
              <w:rPr>
                <w:color w:val="231F20"/>
                <w:sz w:val="18"/>
              </w:rPr>
              <w:t>Total</w:t>
            </w:r>
          </w:p>
        </w:tc>
        <w:tc>
          <w:tcPr>
            <w:tcW w:w="200" w:type="dxa"/>
          </w:tcPr>
          <w:p>
            <w:pPr/>
          </w:p>
        </w:tc>
        <w:tc>
          <w:tcPr>
            <w:tcW w:w="1184" w:type="dxa"/>
            <w:tcBorders>
              <w:top w:val="single" w:sz="4" w:space="0" w:color="231F20"/>
              <w:bottom w:val="single" w:sz="4" w:space="0" w:color="231F20"/>
            </w:tcBorders>
          </w:tcPr>
          <w:p>
            <w:pPr>
              <w:pStyle w:val="TableParagraph"/>
              <w:spacing w:before="92"/>
              <w:ind w:right="89"/>
              <w:jc w:val="right"/>
              <w:rPr>
                <w:sz w:val="18"/>
              </w:rPr>
            </w:pPr>
            <w:r>
              <w:rPr>
                <w:color w:val="231F20"/>
                <w:sz w:val="18"/>
              </w:rPr>
              <w:t>4,917,497</w:t>
            </w:r>
          </w:p>
        </w:tc>
        <w:tc>
          <w:tcPr>
            <w:tcW w:w="300" w:type="dxa"/>
          </w:tcPr>
          <w:p>
            <w:pPr/>
          </w:p>
        </w:tc>
        <w:tc>
          <w:tcPr>
            <w:tcW w:w="1362" w:type="dxa"/>
          </w:tcPr>
          <w:p>
            <w:pPr/>
          </w:p>
        </w:tc>
        <w:tc>
          <w:tcPr>
            <w:tcW w:w="1552" w:type="dxa"/>
            <w:tcBorders>
              <w:top w:val="single" w:sz="4" w:space="0" w:color="231F20"/>
              <w:bottom w:val="single" w:sz="4" w:space="0" w:color="231F20"/>
            </w:tcBorders>
          </w:tcPr>
          <w:p>
            <w:pPr>
              <w:pStyle w:val="TableParagraph"/>
              <w:spacing w:before="92"/>
              <w:ind w:right="88"/>
              <w:jc w:val="right"/>
              <w:rPr>
                <w:sz w:val="18"/>
              </w:rPr>
            </w:pPr>
            <w:r>
              <w:rPr>
                <w:color w:val="231F20"/>
                <w:sz w:val="18"/>
              </w:rPr>
              <w:t>4,917,497</w:t>
            </w:r>
          </w:p>
        </w:tc>
        <w:tc>
          <w:tcPr>
            <w:tcW w:w="300" w:type="dxa"/>
          </w:tcPr>
          <w:p>
            <w:pPr/>
          </w:p>
        </w:tc>
        <w:tc>
          <w:tcPr>
            <w:tcW w:w="2162" w:type="dxa"/>
          </w:tcPr>
          <w:p>
            <w:pPr/>
          </w:p>
        </w:tc>
      </w:tr>
    </w:tbl>
    <w:p>
      <w:pPr>
        <w:pStyle w:val="BodyText"/>
        <w:spacing w:before="7"/>
        <w:rPr>
          <w:b/>
          <w:sz w:val="8"/>
        </w:rPr>
      </w:pPr>
    </w:p>
    <w:p>
      <w:pPr>
        <w:pStyle w:val="ListParagraph"/>
        <w:numPr>
          <w:ilvl w:val="0"/>
          <w:numId w:val="7"/>
        </w:numPr>
        <w:tabs>
          <w:tab w:pos="1119" w:val="left" w:leader="none"/>
          <w:tab w:pos="1120" w:val="left" w:leader="none"/>
        </w:tabs>
        <w:spacing w:line="249" w:lineRule="auto" w:before="94" w:after="0"/>
        <w:ind w:left="1120" w:right="117" w:hanging="1000"/>
        <w:jc w:val="both"/>
        <w:rPr>
          <w:sz w:val="20"/>
        </w:rPr>
      </w:pPr>
      <w:r>
        <w:rPr/>
        <w:pict>
          <v:line style="position:absolute;mso-position-horizontal-relative:page;mso-position-vertical-relative:paragraph;z-index:-408280" from="182pt,-7.414056pt" to="241.2pt,-7.414056pt" stroked="true" strokeweight=".5pt" strokecolor="#231f20">
            <v:stroke dashstyle="solid"/>
            <w10:wrap type="none"/>
          </v:line>
        </w:pict>
      </w:r>
      <w:r>
        <w:rPr/>
        <w:pict>
          <v:line style="position:absolute;mso-position-horizontal-relative:page;mso-position-vertical-relative:paragraph;z-index:-408256" from="324.299988pt,-7.414056pt" to="401.899988pt,-7.414056pt" stroked="true" strokeweight=".5pt" strokecolor="#231f20">
            <v:stroke dashstyle="solid"/>
            <w10:wrap type="none"/>
          </v:line>
        </w:pict>
      </w:r>
      <w:r>
        <w:rPr>
          <w:color w:val="231F20"/>
          <w:sz w:val="20"/>
        </w:rPr>
        <w:t>In May 2014, the Company’s Board of Directors authorized the repurchase of up to $1 billion of the Company’s common stock. Repurchases are made in accordance with applicable securities laws in open market, private, or in accelerated repurchase transactions from time to time, depending on market conditions, and may be discontinued at any</w:t>
      </w:r>
      <w:r>
        <w:rPr>
          <w:color w:val="231F20"/>
          <w:spacing w:val="3"/>
          <w:sz w:val="20"/>
        </w:rPr>
        <w:t> </w:t>
      </w:r>
      <w:r>
        <w:rPr>
          <w:color w:val="231F20"/>
          <w:sz w:val="20"/>
        </w:rPr>
        <w:t>time.</w:t>
      </w:r>
    </w:p>
    <w:p>
      <w:pPr>
        <w:pStyle w:val="ListParagraph"/>
        <w:numPr>
          <w:ilvl w:val="0"/>
          <w:numId w:val="7"/>
        </w:numPr>
        <w:tabs>
          <w:tab w:pos="1119" w:val="left" w:leader="none"/>
          <w:tab w:pos="1120" w:val="left" w:leader="none"/>
        </w:tabs>
        <w:spacing w:line="249" w:lineRule="auto" w:before="1" w:after="0"/>
        <w:ind w:left="1120" w:right="116" w:hanging="1000"/>
        <w:jc w:val="both"/>
        <w:rPr>
          <w:sz w:val="20"/>
        </w:rPr>
      </w:pPr>
      <w:r>
        <w:rPr>
          <w:color w:val="231F20"/>
          <w:sz w:val="20"/>
        </w:rPr>
        <w:t>Under an accelerated share repurchase program entered into by the Company with a third party financial institution in third quarter 2014 (“Third Quarter ASR Program”), the Company paid $200 million and received an initial delivery of 5,040,323 shares during third quarter 2014, representing  an estimated 75 percent of the shares to be purchased by the Company under the Third Quarter ASR Program based on a price of $29.76 per share, which was the closing price of the Company’s common stock on the New York Stock Exchange on August 15, 2014. Final settlement of this Third Quarter ASR Program occurred in October 2014 and was determined based generally on a discount  to the volume-weighted average price per share of the Company’s common stock during a  calculation period completed in October 2014. Upon settlement, the third party financial institution delivered 1,107,489 additional shares of the Company’s common stock to the Company. In total, the average purchase price per share for the 6,147,812 shares repurchased under the Third Quarter ASR Program, upon completion of the Third Quarter ASR Program in October 2014, was</w:t>
      </w:r>
      <w:r>
        <w:rPr>
          <w:color w:val="231F20"/>
          <w:spacing w:val="4"/>
          <w:sz w:val="20"/>
        </w:rPr>
        <w:t> </w:t>
      </w:r>
      <w:r>
        <w:rPr>
          <w:color w:val="231F20"/>
          <w:sz w:val="20"/>
        </w:rPr>
        <w:t>$32.53.</w:t>
      </w:r>
    </w:p>
    <w:p>
      <w:pPr>
        <w:pStyle w:val="ListParagraph"/>
        <w:numPr>
          <w:ilvl w:val="0"/>
          <w:numId w:val="7"/>
        </w:numPr>
        <w:tabs>
          <w:tab w:pos="1119" w:val="left" w:leader="none"/>
          <w:tab w:pos="1120" w:val="left" w:leader="none"/>
        </w:tabs>
        <w:spacing w:line="249" w:lineRule="auto" w:before="1" w:after="0"/>
        <w:ind w:left="1120" w:right="120" w:hanging="1000"/>
        <w:jc w:val="both"/>
        <w:rPr>
          <w:sz w:val="20"/>
        </w:rPr>
      </w:pPr>
      <w:r>
        <w:rPr>
          <w:color w:val="231F20"/>
          <w:spacing w:val="-4"/>
          <w:sz w:val="20"/>
        </w:rPr>
        <w:t>Under </w:t>
      </w:r>
      <w:r>
        <w:rPr>
          <w:color w:val="231F20"/>
          <w:sz w:val="20"/>
        </w:rPr>
        <w:t>an </w:t>
      </w:r>
      <w:r>
        <w:rPr>
          <w:color w:val="231F20"/>
          <w:spacing w:val="-4"/>
          <w:sz w:val="20"/>
        </w:rPr>
        <w:t>accelerated share repurchase program entered </w:t>
      </w:r>
      <w:r>
        <w:rPr>
          <w:color w:val="231F20"/>
          <w:spacing w:val="-3"/>
          <w:sz w:val="20"/>
        </w:rPr>
        <w:t>into </w:t>
      </w:r>
      <w:r>
        <w:rPr>
          <w:color w:val="231F20"/>
          <w:sz w:val="20"/>
        </w:rPr>
        <w:t>by </w:t>
      </w:r>
      <w:r>
        <w:rPr>
          <w:color w:val="231F20"/>
          <w:spacing w:val="-3"/>
          <w:sz w:val="20"/>
        </w:rPr>
        <w:t>the </w:t>
      </w:r>
      <w:r>
        <w:rPr>
          <w:color w:val="231F20"/>
          <w:spacing w:val="-4"/>
          <w:sz w:val="20"/>
        </w:rPr>
        <w:t>Company with </w:t>
      </w:r>
      <w:r>
        <w:rPr>
          <w:color w:val="231F20"/>
          <w:sz w:val="20"/>
        </w:rPr>
        <w:t>a </w:t>
      </w:r>
      <w:r>
        <w:rPr>
          <w:color w:val="231F20"/>
          <w:spacing w:val="-4"/>
          <w:sz w:val="20"/>
        </w:rPr>
        <w:t>third party financial institution </w:t>
      </w:r>
      <w:r>
        <w:rPr>
          <w:color w:val="231F20"/>
          <w:sz w:val="20"/>
        </w:rPr>
        <w:t>in </w:t>
      </w:r>
      <w:r>
        <w:rPr>
          <w:color w:val="231F20"/>
          <w:spacing w:val="-4"/>
          <w:sz w:val="20"/>
        </w:rPr>
        <w:t>fourth quarter </w:t>
      </w:r>
      <w:r>
        <w:rPr>
          <w:color w:val="231F20"/>
          <w:spacing w:val="-3"/>
          <w:sz w:val="20"/>
        </w:rPr>
        <w:t>2014 </w:t>
      </w:r>
      <w:r>
        <w:rPr>
          <w:color w:val="231F20"/>
          <w:spacing w:val="-4"/>
          <w:sz w:val="20"/>
        </w:rPr>
        <w:t>(“Fourth Quarter </w:t>
      </w:r>
      <w:r>
        <w:rPr>
          <w:color w:val="231F20"/>
          <w:spacing w:val="-3"/>
          <w:sz w:val="20"/>
        </w:rPr>
        <w:t>ASR </w:t>
      </w:r>
      <w:r>
        <w:rPr>
          <w:color w:val="231F20"/>
          <w:spacing w:val="-4"/>
          <w:sz w:val="20"/>
        </w:rPr>
        <w:t>Program”), </w:t>
      </w:r>
      <w:r>
        <w:rPr>
          <w:color w:val="231F20"/>
          <w:spacing w:val="-3"/>
          <w:sz w:val="20"/>
        </w:rPr>
        <w:t>the </w:t>
      </w:r>
      <w:r>
        <w:rPr>
          <w:color w:val="231F20"/>
          <w:spacing w:val="-4"/>
          <w:sz w:val="20"/>
        </w:rPr>
        <w:t>Company </w:t>
      </w:r>
      <w:r>
        <w:rPr>
          <w:color w:val="231F20"/>
          <w:spacing w:val="-3"/>
          <w:sz w:val="20"/>
        </w:rPr>
        <w:t>paid $200 </w:t>
      </w:r>
      <w:r>
        <w:rPr>
          <w:color w:val="231F20"/>
          <w:spacing w:val="-4"/>
          <w:sz w:val="20"/>
        </w:rPr>
        <w:t>million and received  </w:t>
      </w:r>
      <w:r>
        <w:rPr>
          <w:color w:val="231F20"/>
          <w:sz w:val="20"/>
        </w:rPr>
        <w:t>an </w:t>
      </w:r>
      <w:r>
        <w:rPr>
          <w:color w:val="231F20"/>
          <w:spacing w:val="-4"/>
          <w:sz w:val="20"/>
        </w:rPr>
        <w:t>initial  delivery </w:t>
      </w:r>
      <w:r>
        <w:rPr>
          <w:color w:val="231F20"/>
          <w:sz w:val="20"/>
        </w:rPr>
        <w:t>of </w:t>
      </w:r>
      <w:r>
        <w:rPr>
          <w:color w:val="231F20"/>
          <w:spacing w:val="-4"/>
          <w:sz w:val="20"/>
        </w:rPr>
        <w:t>3,810,008 shares during fourth quarter 2014, representing </w:t>
      </w:r>
      <w:r>
        <w:rPr>
          <w:color w:val="231F20"/>
          <w:sz w:val="20"/>
        </w:rPr>
        <w:t>an </w:t>
      </w:r>
      <w:r>
        <w:rPr>
          <w:color w:val="231F20"/>
          <w:spacing w:val="-4"/>
          <w:sz w:val="20"/>
        </w:rPr>
        <w:t>estimated  </w:t>
      </w:r>
      <w:r>
        <w:rPr>
          <w:color w:val="231F20"/>
          <w:spacing w:val="42"/>
          <w:sz w:val="20"/>
        </w:rPr>
        <w:t> </w:t>
      </w:r>
      <w:r>
        <w:rPr>
          <w:color w:val="231F20"/>
          <w:sz w:val="20"/>
        </w:rPr>
        <w:t>75 </w:t>
      </w:r>
      <w:r>
        <w:rPr>
          <w:color w:val="231F20"/>
          <w:spacing w:val="-4"/>
          <w:sz w:val="20"/>
        </w:rPr>
        <w:t>percent </w:t>
      </w:r>
      <w:r>
        <w:rPr>
          <w:color w:val="231F20"/>
          <w:sz w:val="20"/>
        </w:rPr>
        <w:t>of </w:t>
      </w:r>
      <w:r>
        <w:rPr>
          <w:color w:val="231F20"/>
          <w:spacing w:val="-3"/>
          <w:sz w:val="20"/>
        </w:rPr>
        <w:t>the </w:t>
      </w:r>
      <w:r>
        <w:rPr>
          <w:color w:val="231F20"/>
          <w:spacing w:val="-4"/>
          <w:sz w:val="20"/>
        </w:rPr>
        <w:t>shares </w:t>
      </w:r>
      <w:r>
        <w:rPr>
          <w:color w:val="231F20"/>
          <w:sz w:val="20"/>
        </w:rPr>
        <w:t>to be </w:t>
      </w:r>
      <w:r>
        <w:rPr>
          <w:color w:val="231F20"/>
          <w:spacing w:val="-4"/>
          <w:sz w:val="20"/>
        </w:rPr>
        <w:t>purchased </w:t>
      </w:r>
      <w:r>
        <w:rPr>
          <w:color w:val="231F20"/>
          <w:sz w:val="20"/>
        </w:rPr>
        <w:t>by </w:t>
      </w:r>
      <w:r>
        <w:rPr>
          <w:color w:val="231F20"/>
          <w:spacing w:val="-3"/>
          <w:sz w:val="20"/>
        </w:rPr>
        <w:t>the </w:t>
      </w:r>
      <w:r>
        <w:rPr>
          <w:color w:val="231F20"/>
          <w:spacing w:val="-4"/>
          <w:sz w:val="20"/>
        </w:rPr>
        <w:t>Company under </w:t>
      </w:r>
      <w:r>
        <w:rPr>
          <w:color w:val="231F20"/>
          <w:spacing w:val="-3"/>
          <w:sz w:val="20"/>
        </w:rPr>
        <w:t>the </w:t>
      </w:r>
      <w:r>
        <w:rPr>
          <w:color w:val="231F20"/>
          <w:spacing w:val="-4"/>
          <w:sz w:val="20"/>
        </w:rPr>
        <w:t>Fourth Quarter </w:t>
      </w:r>
      <w:r>
        <w:rPr>
          <w:color w:val="231F20"/>
          <w:spacing w:val="-3"/>
          <w:sz w:val="20"/>
        </w:rPr>
        <w:t>ASR </w:t>
      </w:r>
      <w:r>
        <w:rPr>
          <w:color w:val="231F20"/>
          <w:spacing w:val="-4"/>
          <w:sz w:val="20"/>
        </w:rPr>
        <w:t>Program based </w:t>
      </w:r>
      <w:r>
        <w:rPr>
          <w:color w:val="231F20"/>
          <w:sz w:val="20"/>
        </w:rPr>
        <w:t>on a </w:t>
      </w:r>
      <w:r>
        <w:rPr>
          <w:color w:val="231F20"/>
          <w:spacing w:val="-4"/>
          <w:sz w:val="20"/>
        </w:rPr>
        <w:t>price </w:t>
      </w:r>
      <w:r>
        <w:rPr>
          <w:color w:val="231F20"/>
          <w:sz w:val="20"/>
        </w:rPr>
        <w:t>of </w:t>
      </w:r>
      <w:r>
        <w:rPr>
          <w:color w:val="231F20"/>
          <w:spacing w:val="-4"/>
          <w:sz w:val="20"/>
        </w:rPr>
        <w:t>$39.37 </w:t>
      </w:r>
      <w:r>
        <w:rPr>
          <w:color w:val="231F20"/>
          <w:spacing w:val="-3"/>
          <w:sz w:val="20"/>
        </w:rPr>
        <w:t>per </w:t>
      </w:r>
      <w:r>
        <w:rPr>
          <w:color w:val="231F20"/>
          <w:spacing w:val="-4"/>
          <w:sz w:val="20"/>
        </w:rPr>
        <w:t>share, which </w:t>
      </w:r>
      <w:r>
        <w:rPr>
          <w:color w:val="231F20"/>
          <w:spacing w:val="-3"/>
          <w:sz w:val="20"/>
        </w:rPr>
        <w:t>was the </w:t>
      </w:r>
      <w:r>
        <w:rPr>
          <w:color w:val="231F20"/>
          <w:spacing w:val="-4"/>
          <w:sz w:val="20"/>
        </w:rPr>
        <w:t>closing price </w:t>
      </w:r>
      <w:r>
        <w:rPr>
          <w:color w:val="231F20"/>
          <w:spacing w:val="-3"/>
          <w:sz w:val="20"/>
        </w:rPr>
        <w:t>of the </w:t>
      </w:r>
      <w:r>
        <w:rPr>
          <w:color w:val="231F20"/>
          <w:spacing w:val="-4"/>
          <w:sz w:val="20"/>
        </w:rPr>
        <w:t>Company’s common stock </w:t>
      </w:r>
      <w:r>
        <w:rPr>
          <w:color w:val="231F20"/>
          <w:sz w:val="20"/>
        </w:rPr>
        <w:t>on </w:t>
      </w:r>
      <w:r>
        <w:rPr>
          <w:color w:val="231F20"/>
          <w:spacing w:val="-3"/>
          <w:sz w:val="20"/>
        </w:rPr>
        <w:t>the </w:t>
      </w:r>
      <w:r>
        <w:rPr>
          <w:color w:val="231F20"/>
          <w:spacing w:val="-5"/>
          <w:sz w:val="20"/>
        </w:rPr>
        <w:t>New </w:t>
      </w:r>
      <w:r>
        <w:rPr>
          <w:color w:val="231F20"/>
          <w:spacing w:val="-3"/>
          <w:sz w:val="20"/>
        </w:rPr>
        <w:t>York</w:t>
      </w:r>
      <w:r>
        <w:rPr>
          <w:color w:val="231F20"/>
          <w:spacing w:val="-6"/>
          <w:sz w:val="20"/>
        </w:rPr>
        <w:t> </w:t>
      </w:r>
      <w:r>
        <w:rPr>
          <w:color w:val="231F20"/>
          <w:spacing w:val="-4"/>
          <w:sz w:val="20"/>
        </w:rPr>
        <w:t>Stock</w:t>
      </w:r>
      <w:r>
        <w:rPr>
          <w:color w:val="231F20"/>
          <w:spacing w:val="-6"/>
          <w:sz w:val="20"/>
        </w:rPr>
        <w:t> </w:t>
      </w:r>
      <w:r>
        <w:rPr>
          <w:color w:val="231F20"/>
          <w:spacing w:val="-4"/>
          <w:sz w:val="20"/>
        </w:rPr>
        <w:t>Exchange</w:t>
      </w:r>
      <w:r>
        <w:rPr>
          <w:color w:val="231F20"/>
          <w:spacing w:val="-6"/>
          <w:sz w:val="20"/>
        </w:rPr>
        <w:t> </w:t>
      </w:r>
      <w:r>
        <w:rPr>
          <w:color w:val="231F20"/>
          <w:sz w:val="20"/>
        </w:rPr>
        <w:t>on</w:t>
      </w:r>
      <w:r>
        <w:rPr>
          <w:color w:val="231F20"/>
          <w:spacing w:val="-6"/>
          <w:sz w:val="20"/>
        </w:rPr>
        <w:t> </w:t>
      </w:r>
      <w:r>
        <w:rPr>
          <w:color w:val="231F20"/>
          <w:spacing w:val="-4"/>
          <w:sz w:val="20"/>
        </w:rPr>
        <w:t>November</w:t>
      </w:r>
      <w:r>
        <w:rPr>
          <w:color w:val="231F20"/>
          <w:spacing w:val="-6"/>
          <w:sz w:val="20"/>
        </w:rPr>
        <w:t> </w:t>
      </w:r>
      <w:r>
        <w:rPr>
          <w:color w:val="231F20"/>
          <w:spacing w:val="-3"/>
          <w:sz w:val="20"/>
        </w:rPr>
        <w:t>11,</w:t>
      </w:r>
      <w:r>
        <w:rPr>
          <w:color w:val="231F20"/>
          <w:spacing w:val="-6"/>
          <w:sz w:val="20"/>
        </w:rPr>
        <w:t> </w:t>
      </w:r>
      <w:r>
        <w:rPr>
          <w:color w:val="231F20"/>
          <w:spacing w:val="-4"/>
          <w:sz w:val="20"/>
        </w:rPr>
        <w:t>2014.</w:t>
      </w:r>
      <w:r>
        <w:rPr>
          <w:color w:val="231F20"/>
          <w:spacing w:val="-6"/>
          <w:sz w:val="20"/>
        </w:rPr>
        <w:t> </w:t>
      </w:r>
      <w:r>
        <w:rPr>
          <w:color w:val="231F20"/>
          <w:spacing w:val="-3"/>
          <w:sz w:val="20"/>
        </w:rPr>
        <w:t>The</w:t>
      </w:r>
      <w:r>
        <w:rPr>
          <w:color w:val="231F20"/>
          <w:spacing w:val="-6"/>
          <w:sz w:val="20"/>
        </w:rPr>
        <w:t> </w:t>
      </w:r>
      <w:r>
        <w:rPr>
          <w:color w:val="231F20"/>
          <w:spacing w:val="-4"/>
          <w:sz w:val="20"/>
        </w:rPr>
        <w:t>specific</w:t>
      </w:r>
      <w:r>
        <w:rPr>
          <w:color w:val="231F20"/>
          <w:spacing w:val="-7"/>
          <w:sz w:val="20"/>
        </w:rPr>
        <w:t> </w:t>
      </w:r>
      <w:r>
        <w:rPr>
          <w:color w:val="231F20"/>
          <w:spacing w:val="-4"/>
          <w:sz w:val="20"/>
        </w:rPr>
        <w:t>number</w:t>
      </w:r>
      <w:r>
        <w:rPr>
          <w:color w:val="231F20"/>
          <w:spacing w:val="-7"/>
          <w:sz w:val="20"/>
        </w:rPr>
        <w:t> </w:t>
      </w:r>
      <w:r>
        <w:rPr>
          <w:color w:val="231F20"/>
          <w:sz w:val="20"/>
        </w:rPr>
        <w:t>of</w:t>
      </w:r>
      <w:r>
        <w:rPr>
          <w:color w:val="231F20"/>
          <w:spacing w:val="-7"/>
          <w:sz w:val="20"/>
        </w:rPr>
        <w:t> </w:t>
      </w:r>
      <w:r>
        <w:rPr>
          <w:color w:val="231F20"/>
          <w:spacing w:val="-4"/>
          <w:sz w:val="20"/>
        </w:rPr>
        <w:t>shares</w:t>
      </w:r>
      <w:r>
        <w:rPr>
          <w:color w:val="231F20"/>
          <w:spacing w:val="-7"/>
          <w:sz w:val="20"/>
        </w:rPr>
        <w:t> </w:t>
      </w:r>
      <w:r>
        <w:rPr>
          <w:color w:val="231F20"/>
          <w:spacing w:val="-3"/>
          <w:sz w:val="20"/>
        </w:rPr>
        <w:t>that</w:t>
      </w:r>
      <w:r>
        <w:rPr>
          <w:color w:val="231F20"/>
          <w:spacing w:val="-7"/>
          <w:sz w:val="20"/>
        </w:rPr>
        <w:t> </w:t>
      </w:r>
      <w:r>
        <w:rPr>
          <w:color w:val="231F20"/>
          <w:spacing w:val="-3"/>
          <w:sz w:val="20"/>
        </w:rPr>
        <w:t>the</w:t>
      </w:r>
      <w:r>
        <w:rPr>
          <w:color w:val="231F20"/>
          <w:spacing w:val="-7"/>
          <w:sz w:val="20"/>
        </w:rPr>
        <w:t> </w:t>
      </w:r>
      <w:r>
        <w:rPr>
          <w:color w:val="231F20"/>
          <w:spacing w:val="-4"/>
          <w:sz w:val="20"/>
        </w:rPr>
        <w:t>Company</w:t>
      </w:r>
      <w:r>
        <w:rPr>
          <w:color w:val="231F20"/>
          <w:spacing w:val="-7"/>
          <w:sz w:val="20"/>
        </w:rPr>
        <w:t> </w:t>
      </w:r>
      <w:r>
        <w:rPr>
          <w:color w:val="231F20"/>
          <w:spacing w:val="-4"/>
          <w:sz w:val="20"/>
        </w:rPr>
        <w:t>ultimately </w:t>
      </w:r>
      <w:r>
        <w:rPr>
          <w:color w:val="231F20"/>
          <w:spacing w:val="-3"/>
          <w:sz w:val="20"/>
        </w:rPr>
        <w:t>will </w:t>
      </w:r>
      <w:r>
        <w:rPr>
          <w:color w:val="231F20"/>
          <w:spacing w:val="-4"/>
          <w:sz w:val="20"/>
        </w:rPr>
        <w:t>repurchase under </w:t>
      </w:r>
      <w:r>
        <w:rPr>
          <w:color w:val="231F20"/>
          <w:spacing w:val="-3"/>
          <w:sz w:val="20"/>
        </w:rPr>
        <w:t>the </w:t>
      </w:r>
      <w:r>
        <w:rPr>
          <w:color w:val="231F20"/>
          <w:spacing w:val="-4"/>
          <w:sz w:val="20"/>
        </w:rPr>
        <w:t>Fourth Quarter </w:t>
      </w:r>
      <w:r>
        <w:rPr>
          <w:color w:val="231F20"/>
          <w:spacing w:val="-3"/>
          <w:sz w:val="20"/>
        </w:rPr>
        <w:t>ASR </w:t>
      </w:r>
      <w:r>
        <w:rPr>
          <w:color w:val="231F20"/>
          <w:spacing w:val="-4"/>
          <w:sz w:val="20"/>
        </w:rPr>
        <w:t>Program </w:t>
      </w:r>
      <w:r>
        <w:rPr>
          <w:color w:val="231F20"/>
          <w:spacing w:val="-3"/>
          <w:sz w:val="20"/>
        </w:rPr>
        <w:t>will </w:t>
      </w:r>
      <w:r>
        <w:rPr>
          <w:color w:val="231F20"/>
          <w:sz w:val="20"/>
        </w:rPr>
        <w:t>be </w:t>
      </w:r>
      <w:r>
        <w:rPr>
          <w:color w:val="231F20"/>
          <w:spacing w:val="-4"/>
          <w:sz w:val="20"/>
        </w:rPr>
        <w:t>determined based generally </w:t>
      </w:r>
      <w:r>
        <w:rPr>
          <w:color w:val="231F20"/>
          <w:sz w:val="20"/>
        </w:rPr>
        <w:t>on a </w:t>
      </w:r>
      <w:r>
        <w:rPr>
          <w:color w:val="231F20"/>
          <w:spacing w:val="-4"/>
          <w:sz w:val="20"/>
        </w:rPr>
        <w:t>discount </w:t>
      </w:r>
      <w:r>
        <w:rPr>
          <w:color w:val="231F20"/>
          <w:sz w:val="20"/>
        </w:rPr>
        <w:t>to </w:t>
      </w:r>
      <w:r>
        <w:rPr>
          <w:color w:val="231F20"/>
          <w:spacing w:val="-3"/>
          <w:sz w:val="20"/>
        </w:rPr>
        <w:t>the </w:t>
      </w:r>
      <w:r>
        <w:rPr>
          <w:color w:val="231F20"/>
          <w:spacing w:val="-4"/>
          <w:sz w:val="20"/>
        </w:rPr>
        <w:t>volume-weighted average price </w:t>
      </w:r>
      <w:r>
        <w:rPr>
          <w:color w:val="231F20"/>
          <w:spacing w:val="-3"/>
          <w:sz w:val="20"/>
        </w:rPr>
        <w:t>per </w:t>
      </w:r>
      <w:r>
        <w:rPr>
          <w:color w:val="231F20"/>
          <w:spacing w:val="-4"/>
          <w:sz w:val="20"/>
        </w:rPr>
        <w:t>share </w:t>
      </w:r>
      <w:r>
        <w:rPr>
          <w:color w:val="231F20"/>
          <w:sz w:val="20"/>
        </w:rPr>
        <w:t>of </w:t>
      </w:r>
      <w:r>
        <w:rPr>
          <w:color w:val="231F20"/>
          <w:spacing w:val="-3"/>
          <w:sz w:val="20"/>
        </w:rPr>
        <w:t>the </w:t>
      </w:r>
      <w:r>
        <w:rPr>
          <w:color w:val="231F20"/>
          <w:spacing w:val="-4"/>
          <w:sz w:val="20"/>
        </w:rPr>
        <w:t>Company’s common stock during </w:t>
      </w:r>
      <w:r>
        <w:rPr>
          <w:color w:val="231F20"/>
          <w:sz w:val="20"/>
        </w:rPr>
        <w:t>a </w:t>
      </w:r>
      <w:r>
        <w:rPr>
          <w:color w:val="231F20"/>
          <w:spacing w:val="-4"/>
          <w:sz w:val="20"/>
        </w:rPr>
        <w:t>calculation period </w:t>
      </w:r>
      <w:r>
        <w:rPr>
          <w:color w:val="231F20"/>
          <w:sz w:val="20"/>
        </w:rPr>
        <w:t>to be </w:t>
      </w:r>
      <w:r>
        <w:rPr>
          <w:color w:val="231F20"/>
          <w:spacing w:val="-4"/>
          <w:sz w:val="20"/>
        </w:rPr>
        <w:t>completed </w:t>
      </w:r>
      <w:r>
        <w:rPr>
          <w:color w:val="231F20"/>
          <w:sz w:val="20"/>
        </w:rPr>
        <w:t>in </w:t>
      </w:r>
      <w:r>
        <w:rPr>
          <w:color w:val="231F20"/>
          <w:spacing w:val="-4"/>
          <w:sz w:val="20"/>
        </w:rPr>
        <w:t>first quarter 2015. </w:t>
      </w:r>
      <w:r>
        <w:rPr>
          <w:color w:val="231F20"/>
          <w:sz w:val="20"/>
        </w:rPr>
        <w:t>At </w:t>
      </w:r>
      <w:r>
        <w:rPr>
          <w:color w:val="231F20"/>
          <w:spacing w:val="-4"/>
          <w:sz w:val="20"/>
        </w:rPr>
        <w:t>settlement, under certain circumstances, </w:t>
      </w:r>
      <w:r>
        <w:rPr>
          <w:color w:val="231F20"/>
          <w:spacing w:val="-3"/>
          <w:sz w:val="20"/>
        </w:rPr>
        <w:t>the </w:t>
      </w:r>
      <w:r>
        <w:rPr>
          <w:color w:val="231F20"/>
          <w:spacing w:val="-4"/>
          <w:sz w:val="20"/>
        </w:rPr>
        <w:t>third party financial institution </w:t>
      </w:r>
      <w:r>
        <w:rPr>
          <w:color w:val="231F20"/>
          <w:spacing w:val="-3"/>
          <w:sz w:val="20"/>
        </w:rPr>
        <w:t>may </w:t>
      </w:r>
      <w:r>
        <w:rPr>
          <w:color w:val="231F20"/>
          <w:sz w:val="20"/>
        </w:rPr>
        <w:t>be </w:t>
      </w:r>
      <w:r>
        <w:rPr>
          <w:color w:val="231F20"/>
          <w:spacing w:val="-4"/>
          <w:sz w:val="20"/>
        </w:rPr>
        <w:t>required </w:t>
      </w:r>
      <w:r>
        <w:rPr>
          <w:color w:val="231F20"/>
          <w:sz w:val="20"/>
        </w:rPr>
        <w:t>to </w:t>
      </w:r>
      <w:r>
        <w:rPr>
          <w:color w:val="231F20"/>
          <w:spacing w:val="-4"/>
          <w:sz w:val="20"/>
        </w:rPr>
        <w:t>deliver additional shares </w:t>
      </w:r>
      <w:r>
        <w:rPr>
          <w:color w:val="231F20"/>
          <w:sz w:val="20"/>
        </w:rPr>
        <w:t>of </w:t>
      </w:r>
      <w:r>
        <w:rPr>
          <w:color w:val="231F20"/>
          <w:spacing w:val="-4"/>
          <w:sz w:val="20"/>
        </w:rPr>
        <w:t>common stock </w:t>
      </w:r>
      <w:r>
        <w:rPr>
          <w:color w:val="231F20"/>
          <w:sz w:val="20"/>
        </w:rPr>
        <w:t>to </w:t>
      </w:r>
      <w:r>
        <w:rPr>
          <w:color w:val="231F20"/>
          <w:spacing w:val="-3"/>
          <w:sz w:val="20"/>
        </w:rPr>
        <w:t>the </w:t>
      </w:r>
      <w:r>
        <w:rPr>
          <w:color w:val="231F20"/>
          <w:spacing w:val="-4"/>
          <w:sz w:val="20"/>
        </w:rPr>
        <w:t>Company, or under certain circumstances, </w:t>
      </w:r>
      <w:r>
        <w:rPr>
          <w:color w:val="231F20"/>
          <w:spacing w:val="-3"/>
          <w:sz w:val="20"/>
        </w:rPr>
        <w:t>the </w:t>
      </w:r>
      <w:r>
        <w:rPr>
          <w:color w:val="231F20"/>
          <w:spacing w:val="-4"/>
          <w:sz w:val="20"/>
        </w:rPr>
        <w:t>Company </w:t>
      </w:r>
      <w:r>
        <w:rPr>
          <w:color w:val="231F20"/>
          <w:spacing w:val="-3"/>
          <w:sz w:val="20"/>
        </w:rPr>
        <w:t>may </w:t>
      </w:r>
      <w:r>
        <w:rPr>
          <w:color w:val="231F20"/>
          <w:sz w:val="20"/>
        </w:rPr>
        <w:t>be </w:t>
      </w:r>
      <w:r>
        <w:rPr>
          <w:color w:val="231F20"/>
          <w:spacing w:val="-4"/>
          <w:sz w:val="20"/>
        </w:rPr>
        <w:t>required </w:t>
      </w:r>
      <w:r>
        <w:rPr>
          <w:color w:val="231F20"/>
          <w:sz w:val="20"/>
        </w:rPr>
        <w:t>to </w:t>
      </w:r>
      <w:r>
        <w:rPr>
          <w:color w:val="231F20"/>
          <w:spacing w:val="-4"/>
          <w:sz w:val="20"/>
        </w:rPr>
        <w:t>deliver shares </w:t>
      </w:r>
      <w:r>
        <w:rPr>
          <w:color w:val="231F20"/>
          <w:sz w:val="20"/>
        </w:rPr>
        <w:t>of </w:t>
      </w:r>
      <w:r>
        <w:rPr>
          <w:color w:val="231F20"/>
          <w:spacing w:val="-3"/>
          <w:sz w:val="20"/>
        </w:rPr>
        <w:t>its </w:t>
      </w:r>
      <w:r>
        <w:rPr>
          <w:color w:val="231F20"/>
          <w:spacing w:val="-4"/>
          <w:sz w:val="20"/>
        </w:rPr>
        <w:t>common stock </w:t>
      </w:r>
      <w:r>
        <w:rPr>
          <w:color w:val="231F20"/>
          <w:sz w:val="20"/>
        </w:rPr>
        <w:t>or </w:t>
      </w:r>
      <w:r>
        <w:rPr>
          <w:color w:val="231F20"/>
          <w:spacing w:val="-4"/>
          <w:sz w:val="20"/>
        </w:rPr>
        <w:t>may elect</w:t>
      </w:r>
      <w:r>
        <w:rPr>
          <w:color w:val="231F20"/>
          <w:spacing w:val="-7"/>
          <w:sz w:val="20"/>
        </w:rPr>
        <w:t> </w:t>
      </w:r>
      <w:r>
        <w:rPr>
          <w:color w:val="231F20"/>
          <w:sz w:val="20"/>
        </w:rPr>
        <w:t>to</w:t>
      </w:r>
      <w:r>
        <w:rPr>
          <w:color w:val="231F20"/>
          <w:spacing w:val="-7"/>
          <w:sz w:val="20"/>
        </w:rPr>
        <w:t> </w:t>
      </w:r>
      <w:r>
        <w:rPr>
          <w:color w:val="231F20"/>
          <w:spacing w:val="-3"/>
          <w:sz w:val="20"/>
        </w:rPr>
        <w:t>make</w:t>
      </w:r>
      <w:r>
        <w:rPr>
          <w:color w:val="231F20"/>
          <w:spacing w:val="-7"/>
          <w:sz w:val="20"/>
        </w:rPr>
        <w:t> </w:t>
      </w:r>
      <w:r>
        <w:rPr>
          <w:color w:val="231F20"/>
          <w:sz w:val="20"/>
        </w:rPr>
        <w:t>a</w:t>
      </w:r>
      <w:r>
        <w:rPr>
          <w:color w:val="231F20"/>
          <w:spacing w:val="-7"/>
          <w:sz w:val="20"/>
        </w:rPr>
        <w:t> </w:t>
      </w:r>
      <w:r>
        <w:rPr>
          <w:color w:val="231F20"/>
          <w:spacing w:val="-3"/>
          <w:sz w:val="20"/>
        </w:rPr>
        <w:t>cash</w:t>
      </w:r>
      <w:r>
        <w:rPr>
          <w:color w:val="231F20"/>
          <w:spacing w:val="-7"/>
          <w:sz w:val="20"/>
        </w:rPr>
        <w:t> </w:t>
      </w:r>
      <w:r>
        <w:rPr>
          <w:color w:val="231F20"/>
          <w:spacing w:val="-4"/>
          <w:sz w:val="20"/>
        </w:rPr>
        <w:t>payment</w:t>
      </w:r>
      <w:r>
        <w:rPr>
          <w:color w:val="231F20"/>
          <w:spacing w:val="-7"/>
          <w:sz w:val="20"/>
        </w:rPr>
        <w:t> </w:t>
      </w:r>
      <w:r>
        <w:rPr>
          <w:color w:val="231F20"/>
          <w:sz w:val="20"/>
        </w:rPr>
        <w:t>to</w:t>
      </w:r>
      <w:r>
        <w:rPr>
          <w:color w:val="231F20"/>
          <w:spacing w:val="-7"/>
          <w:sz w:val="20"/>
        </w:rPr>
        <w:t> </w:t>
      </w:r>
      <w:r>
        <w:rPr>
          <w:color w:val="231F20"/>
          <w:spacing w:val="-3"/>
          <w:sz w:val="20"/>
        </w:rPr>
        <w:t>the</w:t>
      </w:r>
      <w:r>
        <w:rPr>
          <w:color w:val="231F20"/>
          <w:spacing w:val="-7"/>
          <w:sz w:val="20"/>
        </w:rPr>
        <w:t> </w:t>
      </w:r>
      <w:r>
        <w:rPr>
          <w:color w:val="231F20"/>
          <w:spacing w:val="-4"/>
          <w:sz w:val="20"/>
        </w:rPr>
        <w:t>third</w:t>
      </w:r>
      <w:r>
        <w:rPr>
          <w:color w:val="231F20"/>
          <w:spacing w:val="-7"/>
          <w:sz w:val="20"/>
        </w:rPr>
        <w:t> </w:t>
      </w:r>
      <w:r>
        <w:rPr>
          <w:color w:val="231F20"/>
          <w:spacing w:val="-4"/>
          <w:sz w:val="20"/>
        </w:rPr>
        <w:t>party</w:t>
      </w:r>
      <w:r>
        <w:rPr>
          <w:color w:val="231F20"/>
          <w:spacing w:val="-7"/>
          <w:sz w:val="20"/>
        </w:rPr>
        <w:t> </w:t>
      </w:r>
      <w:r>
        <w:rPr>
          <w:color w:val="231F20"/>
          <w:spacing w:val="-4"/>
          <w:sz w:val="20"/>
        </w:rPr>
        <w:t>financial</w:t>
      </w:r>
      <w:r>
        <w:rPr>
          <w:color w:val="231F20"/>
          <w:spacing w:val="-7"/>
          <w:sz w:val="20"/>
        </w:rPr>
        <w:t> </w:t>
      </w:r>
      <w:r>
        <w:rPr>
          <w:color w:val="231F20"/>
          <w:spacing w:val="-4"/>
          <w:sz w:val="20"/>
        </w:rPr>
        <w:t>institution.</w:t>
      </w:r>
    </w:p>
    <w:p>
      <w:pPr>
        <w:pStyle w:val="BodyText"/>
        <w:rPr>
          <w:sz w:val="19"/>
        </w:rPr>
      </w:pPr>
    </w:p>
    <w:p>
      <w:pPr>
        <w:tabs>
          <w:tab w:pos="1439" w:val="left" w:leader="none"/>
        </w:tabs>
        <w:spacing w:before="0"/>
        <w:ind w:left="120" w:right="0" w:firstLine="0"/>
        <w:jc w:val="left"/>
        <w:rPr>
          <w:b/>
          <w:i/>
          <w:sz w:val="22"/>
        </w:rPr>
      </w:pPr>
      <w:bookmarkStart w:name="Item 6. Selected Financial Data" w:id="11"/>
      <w:bookmarkEnd w:id="11"/>
      <w:r>
        <w:rPr/>
      </w:r>
      <w:r>
        <w:rPr>
          <w:b/>
          <w:color w:val="231F20"/>
          <w:sz w:val="22"/>
        </w:rPr>
        <w:t>Item 6.</w:t>
        <w:tab/>
      </w:r>
      <w:r>
        <w:rPr>
          <w:b/>
          <w:i/>
          <w:color w:val="231F20"/>
          <w:sz w:val="22"/>
        </w:rPr>
        <w:t>Selected Financial</w:t>
      </w:r>
      <w:r>
        <w:rPr>
          <w:b/>
          <w:i/>
          <w:color w:val="231F20"/>
          <w:spacing w:val="-1"/>
          <w:sz w:val="22"/>
        </w:rPr>
        <w:t> </w:t>
      </w:r>
      <w:r>
        <w:rPr>
          <w:b/>
          <w:i/>
          <w:color w:val="231F20"/>
          <w:sz w:val="22"/>
        </w:rPr>
        <w:t>Data</w:t>
      </w:r>
    </w:p>
    <w:p>
      <w:pPr>
        <w:pStyle w:val="BodyText"/>
        <w:spacing w:before="4"/>
        <w:rPr>
          <w:b/>
          <w:i/>
          <w:sz w:val="19"/>
        </w:rPr>
      </w:pPr>
    </w:p>
    <w:p>
      <w:pPr>
        <w:pStyle w:val="BodyText"/>
        <w:spacing w:line="247" w:lineRule="auto"/>
        <w:ind w:left="120" w:right="120" w:firstLine="720"/>
        <w:jc w:val="both"/>
      </w:pPr>
      <w:r>
        <w:rPr>
          <w:color w:val="231F20"/>
          <w:spacing w:val="-3"/>
        </w:rPr>
        <w:t>The </w:t>
      </w:r>
      <w:r>
        <w:rPr>
          <w:color w:val="231F20"/>
          <w:spacing w:val="-4"/>
        </w:rPr>
        <w:t>following financial information, </w:t>
      </w:r>
      <w:r>
        <w:rPr>
          <w:color w:val="231F20"/>
          <w:spacing w:val="-3"/>
        </w:rPr>
        <w:t>for the five </w:t>
      </w:r>
      <w:r>
        <w:rPr>
          <w:color w:val="231F20"/>
          <w:spacing w:val="-4"/>
        </w:rPr>
        <w:t>years ended December </w:t>
      </w:r>
      <w:r>
        <w:rPr>
          <w:color w:val="231F20"/>
          <w:spacing w:val="-3"/>
        </w:rPr>
        <w:t>31, </w:t>
      </w:r>
      <w:r>
        <w:rPr>
          <w:color w:val="231F20"/>
          <w:spacing w:val="-4"/>
        </w:rPr>
        <w:t>2014, </w:t>
      </w:r>
      <w:r>
        <w:rPr>
          <w:color w:val="231F20"/>
          <w:spacing w:val="-3"/>
        </w:rPr>
        <w:t>has been </w:t>
      </w:r>
      <w:r>
        <w:rPr>
          <w:color w:val="231F20"/>
          <w:spacing w:val="-4"/>
        </w:rPr>
        <w:t>derived </w:t>
      </w:r>
      <w:r>
        <w:rPr>
          <w:color w:val="231F20"/>
          <w:spacing w:val="-3"/>
        </w:rPr>
        <w:t>from the </w:t>
      </w:r>
      <w:r>
        <w:rPr>
          <w:color w:val="231F20"/>
          <w:spacing w:val="-4"/>
        </w:rPr>
        <w:t>Company’s Consolidated Financial Statements. </w:t>
      </w:r>
      <w:r>
        <w:rPr>
          <w:color w:val="231F20"/>
          <w:spacing w:val="-3"/>
        </w:rPr>
        <w:t>This </w:t>
      </w:r>
      <w:r>
        <w:rPr>
          <w:color w:val="231F20"/>
          <w:spacing w:val="-4"/>
        </w:rPr>
        <w:t>information should </w:t>
      </w:r>
      <w:r>
        <w:rPr>
          <w:color w:val="231F20"/>
        </w:rPr>
        <w:t>be </w:t>
      </w:r>
      <w:r>
        <w:rPr>
          <w:color w:val="231F20"/>
          <w:spacing w:val="-4"/>
        </w:rPr>
        <w:t>viewed </w:t>
      </w:r>
      <w:r>
        <w:rPr>
          <w:color w:val="231F20"/>
          <w:spacing w:val="-3"/>
        </w:rPr>
        <w:t>in </w:t>
      </w:r>
      <w:r>
        <w:rPr>
          <w:color w:val="231F20"/>
          <w:spacing w:val="-4"/>
        </w:rPr>
        <w:t>conjunction </w:t>
      </w:r>
      <w:r>
        <w:rPr>
          <w:color w:val="231F20"/>
          <w:spacing w:val="-3"/>
        </w:rPr>
        <w:t>with  the  </w:t>
      </w:r>
      <w:r>
        <w:rPr>
          <w:color w:val="231F20"/>
          <w:spacing w:val="-4"/>
        </w:rPr>
        <w:t>Consolidated  Financial  Statements  </w:t>
      </w:r>
      <w:r>
        <w:rPr>
          <w:color w:val="231F20"/>
          <w:spacing w:val="-3"/>
        </w:rPr>
        <w:t>and  </w:t>
      </w:r>
      <w:r>
        <w:rPr>
          <w:color w:val="231F20"/>
          <w:spacing w:val="-4"/>
        </w:rPr>
        <w:t>related  notes  thereto  included  elsewhere  herein. </w:t>
      </w:r>
      <w:r>
        <w:rPr>
          <w:color w:val="231F20"/>
          <w:spacing w:val="-5"/>
        </w:rPr>
        <w:t>This</w:t>
      </w:r>
    </w:p>
    <w:p>
      <w:pPr>
        <w:spacing w:after="0" w:line="247" w:lineRule="auto"/>
        <w:jc w:val="both"/>
        <w:sectPr>
          <w:type w:val="continuous"/>
          <w:pgSz w:w="11880" w:h="15480"/>
          <w:pgMar w:top="1260" w:bottom="280" w:left="1260" w:right="1260"/>
        </w:sectPr>
      </w:pPr>
    </w:p>
    <w:p>
      <w:pPr>
        <w:pStyle w:val="BodyText"/>
        <w:spacing w:line="247" w:lineRule="auto" w:before="74"/>
        <w:ind w:left="100" w:right="119"/>
        <w:jc w:val="both"/>
      </w:pPr>
      <w:r>
        <w:rPr/>
        <w:pict>
          <v:line style="position:absolute;mso-position-horizontal-relative:page;mso-position-vertical-relative:paragraph;z-index:-408232" from="263pt,212.519531pt" to="311pt,212.519531pt" stroked="true" strokeweight=".5pt" strokecolor="#231f20">
            <v:stroke dashstyle="solid"/>
            <w10:wrap type="none"/>
          </v:line>
        </w:pict>
      </w:r>
      <w:r>
        <w:rPr/>
        <w:pict>
          <v:line style="position:absolute;mso-position-horizontal-relative:page;mso-position-vertical-relative:paragraph;z-index:-408208" from="316pt,212.519531pt" to="364pt,212.519531pt" stroked="true" strokeweight=".5pt" strokecolor="#231f20">
            <v:stroke dashstyle="solid"/>
            <w10:wrap type="none"/>
          </v:line>
        </w:pict>
      </w:r>
      <w:r>
        <w:rPr/>
        <w:pict>
          <v:line style="position:absolute;mso-position-horizontal-relative:page;mso-position-vertical-relative:paragraph;z-index:-408184" from="369pt,212.519531pt" to="417pt,212.519531pt" stroked="true" strokeweight=".5pt" strokecolor="#231f20">
            <v:stroke dashstyle="solid"/>
            <w10:wrap type="none"/>
          </v:line>
        </w:pict>
      </w:r>
      <w:r>
        <w:rPr/>
        <w:pict>
          <v:line style="position:absolute;mso-position-horizontal-relative:page;mso-position-vertical-relative:paragraph;z-index:-408160" from="422pt,212.519531pt" to="470pt,212.519531pt" stroked="true" strokeweight=".5pt" strokecolor="#231f20">
            <v:stroke dashstyle="solid"/>
            <w10:wrap type="none"/>
          </v:line>
        </w:pict>
      </w:r>
      <w:r>
        <w:rPr/>
        <w:pict>
          <v:line style="position:absolute;mso-position-horizontal-relative:page;mso-position-vertical-relative:paragraph;z-index:-408136" from="475pt,212.519531pt" to="525pt,212.519531pt" stroked="true" strokeweight=".5pt" strokecolor="#231f20">
            <v:stroke dashstyle="solid"/>
            <w10:wrap type="none"/>
          </v:line>
        </w:pict>
      </w:r>
      <w:r>
        <w:rPr>
          <w:color w:val="231F20"/>
          <w:spacing w:val="-4"/>
        </w:rPr>
        <w:t>financial information includes </w:t>
      </w:r>
      <w:r>
        <w:rPr>
          <w:color w:val="231F20"/>
          <w:spacing w:val="-3"/>
        </w:rPr>
        <w:t>the </w:t>
      </w:r>
      <w:r>
        <w:rPr>
          <w:color w:val="231F20"/>
          <w:spacing w:val="-4"/>
        </w:rPr>
        <w:t>operations </w:t>
      </w:r>
      <w:r>
        <w:rPr>
          <w:color w:val="231F20"/>
        </w:rPr>
        <w:t>of </w:t>
      </w:r>
      <w:r>
        <w:rPr>
          <w:color w:val="231F20"/>
          <w:spacing w:val="-4"/>
        </w:rPr>
        <w:t>AirTran since </w:t>
      </w:r>
      <w:r>
        <w:rPr>
          <w:color w:val="231F20"/>
          <w:spacing w:val="-3"/>
        </w:rPr>
        <w:t>the May </w:t>
      </w:r>
      <w:r>
        <w:rPr>
          <w:color w:val="231F20"/>
        </w:rPr>
        <w:t>2, </w:t>
      </w:r>
      <w:r>
        <w:rPr>
          <w:color w:val="231F20"/>
          <w:spacing w:val="-4"/>
        </w:rPr>
        <w:t>2011, acquisition date. Any financial information presented prior </w:t>
      </w:r>
      <w:r>
        <w:rPr>
          <w:color w:val="231F20"/>
          <w:spacing w:val="-3"/>
        </w:rPr>
        <w:t>to </w:t>
      </w:r>
      <w:r>
        <w:rPr>
          <w:color w:val="231F20"/>
          <w:spacing w:val="-4"/>
        </w:rPr>
        <w:t>that </w:t>
      </w:r>
      <w:r>
        <w:rPr>
          <w:color w:val="231F20"/>
          <w:spacing w:val="-3"/>
        </w:rPr>
        <w:t>date </w:t>
      </w:r>
      <w:r>
        <w:rPr>
          <w:color w:val="231F20"/>
          <w:spacing w:val="-4"/>
        </w:rPr>
        <w:t>includes </w:t>
      </w:r>
      <w:r>
        <w:rPr>
          <w:color w:val="231F20"/>
          <w:spacing w:val="-3"/>
        </w:rPr>
        <w:t>only the </w:t>
      </w:r>
      <w:r>
        <w:rPr>
          <w:color w:val="231F20"/>
          <w:spacing w:val="-4"/>
        </w:rPr>
        <w:t>operations </w:t>
      </w:r>
      <w:r>
        <w:rPr>
          <w:color w:val="231F20"/>
        </w:rPr>
        <w:t>of </w:t>
      </w:r>
      <w:r>
        <w:rPr>
          <w:color w:val="231F20"/>
          <w:spacing w:val="-4"/>
        </w:rPr>
        <w:t>Southwest unless</w:t>
      </w:r>
      <w:r>
        <w:rPr>
          <w:color w:val="231F20"/>
          <w:spacing w:val="-25"/>
        </w:rPr>
        <w:t> </w:t>
      </w:r>
      <w:r>
        <w:rPr>
          <w:color w:val="231F20"/>
          <w:spacing w:val="-4"/>
        </w:rPr>
        <w:t>otherwise indicated. </w:t>
      </w:r>
      <w:r>
        <w:rPr>
          <w:color w:val="231F20"/>
          <w:spacing w:val="-3"/>
        </w:rPr>
        <w:t>The </w:t>
      </w:r>
      <w:r>
        <w:rPr>
          <w:color w:val="231F20"/>
          <w:spacing w:val="-4"/>
        </w:rPr>
        <w:t>Company provides </w:t>
      </w:r>
      <w:r>
        <w:rPr>
          <w:color w:val="231F20"/>
          <w:spacing w:val="-3"/>
        </w:rPr>
        <w:t>the </w:t>
      </w:r>
      <w:r>
        <w:rPr>
          <w:color w:val="231F20"/>
          <w:spacing w:val="-4"/>
        </w:rPr>
        <w:t>operating data below because these statistics </w:t>
      </w:r>
      <w:r>
        <w:rPr>
          <w:color w:val="231F20"/>
          <w:spacing w:val="-3"/>
        </w:rPr>
        <w:t>are </w:t>
      </w:r>
      <w:r>
        <w:rPr>
          <w:color w:val="231F20"/>
          <w:spacing w:val="-4"/>
        </w:rPr>
        <w:t>commonly used </w:t>
      </w:r>
      <w:r>
        <w:rPr>
          <w:color w:val="231F20"/>
          <w:spacing w:val="-3"/>
        </w:rPr>
        <w:t>in the </w:t>
      </w:r>
      <w:r>
        <w:rPr>
          <w:color w:val="231F20"/>
          <w:spacing w:val="-4"/>
        </w:rPr>
        <w:t>airline industry </w:t>
      </w:r>
      <w:r>
        <w:rPr>
          <w:color w:val="231F20"/>
          <w:spacing w:val="-3"/>
        </w:rPr>
        <w:t>and, </w:t>
      </w:r>
      <w:r>
        <w:rPr>
          <w:color w:val="231F20"/>
          <w:spacing w:val="-4"/>
        </w:rPr>
        <w:t>therefore, allow readers </w:t>
      </w:r>
      <w:r>
        <w:rPr>
          <w:color w:val="231F20"/>
          <w:spacing w:val="-3"/>
        </w:rPr>
        <w:t>to </w:t>
      </w:r>
      <w:r>
        <w:rPr>
          <w:color w:val="231F20"/>
          <w:spacing w:val="-4"/>
        </w:rPr>
        <w:t>compare </w:t>
      </w:r>
      <w:r>
        <w:rPr>
          <w:color w:val="231F20"/>
          <w:spacing w:val="-3"/>
        </w:rPr>
        <w:t>the </w:t>
      </w:r>
      <w:r>
        <w:rPr>
          <w:color w:val="231F20"/>
          <w:spacing w:val="-4"/>
        </w:rPr>
        <w:t>Company’s performance against </w:t>
      </w:r>
      <w:r>
        <w:rPr>
          <w:color w:val="231F20"/>
          <w:spacing w:val="-3"/>
        </w:rPr>
        <w:t>its </w:t>
      </w:r>
      <w:r>
        <w:rPr>
          <w:color w:val="231F20"/>
          <w:spacing w:val="-4"/>
        </w:rPr>
        <w:t>results </w:t>
      </w:r>
      <w:r>
        <w:rPr>
          <w:color w:val="231F20"/>
          <w:spacing w:val="-3"/>
        </w:rPr>
        <w:t>for</w:t>
      </w:r>
      <w:r>
        <w:rPr>
          <w:color w:val="231F20"/>
          <w:spacing w:val="-8"/>
        </w:rPr>
        <w:t> </w:t>
      </w:r>
      <w:r>
        <w:rPr>
          <w:color w:val="231F20"/>
          <w:spacing w:val="-4"/>
        </w:rPr>
        <w:t>prior</w:t>
      </w:r>
      <w:r>
        <w:rPr>
          <w:color w:val="231F20"/>
          <w:spacing w:val="-8"/>
        </w:rPr>
        <w:t> </w:t>
      </w:r>
      <w:r>
        <w:rPr>
          <w:color w:val="231F20"/>
          <w:spacing w:val="-4"/>
        </w:rPr>
        <w:t>periods,</w:t>
      </w:r>
      <w:r>
        <w:rPr>
          <w:color w:val="231F20"/>
          <w:spacing w:val="-7"/>
        </w:rPr>
        <w:t> </w:t>
      </w:r>
      <w:r>
        <w:rPr>
          <w:color w:val="231F20"/>
        </w:rPr>
        <w:t>as</w:t>
      </w:r>
      <w:r>
        <w:rPr>
          <w:color w:val="231F20"/>
          <w:spacing w:val="-7"/>
        </w:rPr>
        <w:t> </w:t>
      </w:r>
      <w:r>
        <w:rPr>
          <w:color w:val="231F20"/>
          <w:spacing w:val="-3"/>
        </w:rPr>
        <w:t>well</w:t>
      </w:r>
      <w:r>
        <w:rPr>
          <w:color w:val="231F20"/>
          <w:spacing w:val="-8"/>
        </w:rPr>
        <w:t> </w:t>
      </w:r>
      <w:r>
        <w:rPr>
          <w:color w:val="231F20"/>
        </w:rPr>
        <w:t>as</w:t>
      </w:r>
      <w:r>
        <w:rPr>
          <w:color w:val="231F20"/>
          <w:spacing w:val="-7"/>
        </w:rPr>
        <w:t> </w:t>
      </w:r>
      <w:r>
        <w:rPr>
          <w:color w:val="231F20"/>
          <w:spacing w:val="-4"/>
        </w:rPr>
        <w:t>against</w:t>
      </w:r>
      <w:r>
        <w:rPr>
          <w:color w:val="231F20"/>
          <w:spacing w:val="-8"/>
        </w:rPr>
        <w:t> </w:t>
      </w:r>
      <w:r>
        <w:rPr>
          <w:color w:val="231F20"/>
          <w:spacing w:val="-3"/>
        </w:rPr>
        <w:t>the</w:t>
      </w:r>
      <w:r>
        <w:rPr>
          <w:color w:val="231F20"/>
          <w:spacing w:val="-7"/>
        </w:rPr>
        <w:t> </w:t>
      </w:r>
      <w:r>
        <w:rPr>
          <w:color w:val="231F20"/>
          <w:spacing w:val="-4"/>
        </w:rPr>
        <w:t>performance</w:t>
      </w:r>
      <w:r>
        <w:rPr>
          <w:color w:val="231F20"/>
          <w:spacing w:val="-7"/>
        </w:rPr>
        <w:t> </w:t>
      </w:r>
      <w:r>
        <w:rPr>
          <w:color w:val="231F20"/>
        </w:rPr>
        <w:t>of</w:t>
      </w:r>
      <w:r>
        <w:rPr>
          <w:color w:val="231F20"/>
          <w:spacing w:val="-8"/>
        </w:rPr>
        <w:t> </w:t>
      </w:r>
      <w:r>
        <w:rPr>
          <w:color w:val="231F20"/>
          <w:spacing w:val="-3"/>
        </w:rPr>
        <w:t>the</w:t>
      </w:r>
      <w:r>
        <w:rPr>
          <w:color w:val="231F20"/>
          <w:spacing w:val="-7"/>
        </w:rPr>
        <w:t> </w:t>
      </w:r>
      <w:r>
        <w:rPr>
          <w:color w:val="231F20"/>
          <w:spacing w:val="-4"/>
        </w:rPr>
        <w:t>Company’s</w:t>
      </w:r>
      <w:r>
        <w:rPr>
          <w:color w:val="231F20"/>
          <w:spacing w:val="-7"/>
        </w:rPr>
        <w:t> </w:t>
      </w:r>
      <w:r>
        <w:rPr>
          <w:color w:val="231F20"/>
          <w:spacing w:val="-4"/>
        </w:rPr>
        <w:t>peers.</w:t>
      </w:r>
    </w:p>
    <w:p>
      <w:pPr>
        <w:pStyle w:val="BodyText"/>
        <w:spacing w:before="2"/>
        <w:rPr>
          <w:sz w:val="9"/>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80"/>
        <w:gridCol w:w="960"/>
        <w:gridCol w:w="100"/>
        <w:gridCol w:w="960"/>
        <w:gridCol w:w="100"/>
        <w:gridCol w:w="960"/>
        <w:gridCol w:w="100"/>
        <w:gridCol w:w="960"/>
        <w:gridCol w:w="100"/>
        <w:gridCol w:w="1013"/>
      </w:tblGrid>
      <w:tr>
        <w:trPr>
          <w:trHeight w:val="219" w:hRule="exact"/>
        </w:trPr>
        <w:tc>
          <w:tcPr>
            <w:tcW w:w="9133" w:type="dxa"/>
            <w:gridSpan w:val="10"/>
          </w:tcPr>
          <w:p>
            <w:pPr>
              <w:pStyle w:val="TableParagraph"/>
              <w:spacing w:line="183" w:lineRule="exact" w:before="0"/>
              <w:ind w:left="5620"/>
              <w:rPr>
                <w:b/>
                <w:sz w:val="16"/>
              </w:rPr>
            </w:pPr>
            <w:r>
              <w:rPr>
                <w:b/>
                <w:color w:val="231F20"/>
                <w:sz w:val="16"/>
              </w:rPr>
              <w:t>Year ended December 31,</w:t>
            </w:r>
          </w:p>
        </w:tc>
      </w:tr>
      <w:tr>
        <w:trPr>
          <w:trHeight w:val="240" w:hRule="exact"/>
        </w:trPr>
        <w:tc>
          <w:tcPr>
            <w:tcW w:w="3880" w:type="dxa"/>
          </w:tcPr>
          <w:p>
            <w:pPr/>
          </w:p>
        </w:tc>
        <w:tc>
          <w:tcPr>
            <w:tcW w:w="960" w:type="dxa"/>
            <w:tcBorders>
              <w:top w:val="single" w:sz="8" w:space="0" w:color="231F20"/>
              <w:bottom w:val="single" w:sz="8" w:space="0" w:color="231F20"/>
            </w:tcBorders>
          </w:tcPr>
          <w:p>
            <w:pPr>
              <w:pStyle w:val="TableParagraph"/>
              <w:spacing w:before="10"/>
              <w:ind w:left="320"/>
              <w:rPr>
                <w:b/>
                <w:sz w:val="16"/>
              </w:rPr>
            </w:pPr>
            <w:r>
              <w:rPr>
                <w:b/>
                <w:color w:val="231F20"/>
                <w:sz w:val="16"/>
              </w:rPr>
              <w:t>2014</w:t>
            </w:r>
          </w:p>
        </w:tc>
        <w:tc>
          <w:tcPr>
            <w:tcW w:w="1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0"/>
              <w:ind w:left="320"/>
              <w:rPr>
                <w:b/>
                <w:sz w:val="16"/>
              </w:rPr>
            </w:pPr>
            <w:r>
              <w:rPr>
                <w:b/>
                <w:color w:val="231F20"/>
                <w:sz w:val="16"/>
              </w:rPr>
              <w:t>2013</w:t>
            </w:r>
          </w:p>
        </w:tc>
        <w:tc>
          <w:tcPr>
            <w:tcW w:w="1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0"/>
              <w:ind w:left="320"/>
              <w:rPr>
                <w:b/>
                <w:sz w:val="16"/>
              </w:rPr>
            </w:pPr>
            <w:r>
              <w:rPr>
                <w:b/>
                <w:color w:val="231F20"/>
                <w:sz w:val="16"/>
              </w:rPr>
              <w:t>2012</w:t>
            </w:r>
          </w:p>
        </w:tc>
        <w:tc>
          <w:tcPr>
            <w:tcW w:w="1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0"/>
              <w:ind w:left="320"/>
              <w:rPr>
                <w:b/>
                <w:sz w:val="16"/>
              </w:rPr>
            </w:pPr>
            <w:r>
              <w:rPr>
                <w:b/>
                <w:color w:val="231F20"/>
                <w:sz w:val="16"/>
              </w:rPr>
              <w:t>2011</w:t>
            </w:r>
          </w:p>
        </w:tc>
        <w:tc>
          <w:tcPr>
            <w:tcW w:w="100" w:type="dxa"/>
            <w:tcBorders>
              <w:top w:val="single" w:sz="8" w:space="0" w:color="231F20"/>
            </w:tcBorders>
          </w:tcPr>
          <w:p>
            <w:pPr/>
          </w:p>
        </w:tc>
        <w:tc>
          <w:tcPr>
            <w:tcW w:w="1013" w:type="dxa"/>
            <w:tcBorders>
              <w:top w:val="single" w:sz="8" w:space="0" w:color="231F20"/>
              <w:bottom w:val="single" w:sz="8" w:space="0" w:color="231F20"/>
            </w:tcBorders>
          </w:tcPr>
          <w:p>
            <w:pPr>
              <w:pStyle w:val="TableParagraph"/>
              <w:spacing w:before="10"/>
              <w:ind w:left="321" w:right="332"/>
              <w:jc w:val="center"/>
              <w:rPr>
                <w:b/>
                <w:sz w:val="16"/>
              </w:rPr>
            </w:pPr>
            <w:r>
              <w:rPr>
                <w:b/>
                <w:color w:val="231F20"/>
                <w:sz w:val="16"/>
              </w:rPr>
              <w:t>2010</w:t>
            </w:r>
          </w:p>
        </w:tc>
      </w:tr>
      <w:tr>
        <w:trPr>
          <w:trHeight w:val="458" w:hRule="exact"/>
        </w:trPr>
        <w:tc>
          <w:tcPr>
            <w:tcW w:w="3880" w:type="dxa"/>
            <w:shd w:val="clear" w:color="auto" w:fill="CCECFC"/>
          </w:tcPr>
          <w:p>
            <w:pPr>
              <w:pStyle w:val="TableParagraph"/>
              <w:spacing w:line="252" w:lineRule="auto" w:before="44"/>
              <w:ind w:left="220" w:right="129" w:hanging="160"/>
              <w:rPr>
                <w:b/>
                <w:sz w:val="16"/>
              </w:rPr>
            </w:pPr>
            <w:r>
              <w:rPr>
                <w:b/>
                <w:color w:val="231F20"/>
                <w:sz w:val="16"/>
              </w:rPr>
              <w:t>Financial Data (in millions, except per share amounts):</w:t>
            </w:r>
          </w:p>
        </w:tc>
        <w:tc>
          <w:tcPr>
            <w:tcW w:w="960" w:type="dxa"/>
            <w:tcBorders>
              <w:top w:val="single" w:sz="8" w:space="0" w:color="231F20"/>
            </w:tcBorders>
            <w:shd w:val="clear" w:color="auto" w:fill="CCECFC"/>
          </w:tcPr>
          <w:p>
            <w:pPr/>
          </w:p>
        </w:tc>
        <w:tc>
          <w:tcPr>
            <w:tcW w:w="100" w:type="dxa"/>
            <w:shd w:val="clear" w:color="auto" w:fill="CCECFC"/>
          </w:tcPr>
          <w:p>
            <w:pPr/>
          </w:p>
        </w:tc>
        <w:tc>
          <w:tcPr>
            <w:tcW w:w="960" w:type="dxa"/>
            <w:tcBorders>
              <w:top w:val="single" w:sz="8" w:space="0" w:color="231F20"/>
            </w:tcBorders>
            <w:shd w:val="clear" w:color="auto" w:fill="CCECFC"/>
          </w:tcPr>
          <w:p>
            <w:pPr/>
          </w:p>
        </w:tc>
        <w:tc>
          <w:tcPr>
            <w:tcW w:w="100" w:type="dxa"/>
            <w:shd w:val="clear" w:color="auto" w:fill="CCECFC"/>
          </w:tcPr>
          <w:p>
            <w:pPr/>
          </w:p>
        </w:tc>
        <w:tc>
          <w:tcPr>
            <w:tcW w:w="960" w:type="dxa"/>
            <w:tcBorders>
              <w:top w:val="single" w:sz="8" w:space="0" w:color="231F20"/>
            </w:tcBorders>
            <w:shd w:val="clear" w:color="auto" w:fill="CCECFC"/>
          </w:tcPr>
          <w:p>
            <w:pPr/>
          </w:p>
        </w:tc>
        <w:tc>
          <w:tcPr>
            <w:tcW w:w="100" w:type="dxa"/>
            <w:shd w:val="clear" w:color="auto" w:fill="CCECFC"/>
          </w:tcPr>
          <w:p>
            <w:pPr/>
          </w:p>
        </w:tc>
        <w:tc>
          <w:tcPr>
            <w:tcW w:w="960" w:type="dxa"/>
            <w:tcBorders>
              <w:top w:val="single" w:sz="8" w:space="0" w:color="231F20"/>
            </w:tcBorders>
            <w:shd w:val="clear" w:color="auto" w:fill="CCECFC"/>
          </w:tcPr>
          <w:p>
            <w:pPr/>
          </w:p>
        </w:tc>
        <w:tc>
          <w:tcPr>
            <w:tcW w:w="100" w:type="dxa"/>
            <w:shd w:val="clear" w:color="auto" w:fill="CCECFC"/>
          </w:tcPr>
          <w:p>
            <w:pPr/>
          </w:p>
        </w:tc>
        <w:tc>
          <w:tcPr>
            <w:tcW w:w="1013" w:type="dxa"/>
            <w:tcBorders>
              <w:top w:val="single" w:sz="8" w:space="0" w:color="231F20"/>
            </w:tcBorders>
            <w:shd w:val="clear" w:color="auto" w:fill="CCECFC"/>
          </w:tcPr>
          <w:p>
            <w:pPr/>
          </w:p>
        </w:tc>
      </w:tr>
      <w:tr>
        <w:trPr>
          <w:trHeight w:val="254" w:hRule="exact"/>
        </w:trPr>
        <w:tc>
          <w:tcPr>
            <w:tcW w:w="3880" w:type="dxa"/>
          </w:tcPr>
          <w:p>
            <w:pPr>
              <w:pStyle w:val="TableParagraph"/>
              <w:spacing w:before="44"/>
              <w:ind w:left="220"/>
              <w:rPr>
                <w:sz w:val="16"/>
              </w:rPr>
            </w:pPr>
            <w:r>
              <w:rPr>
                <w:color w:val="231F20"/>
                <w:sz w:val="16"/>
              </w:rPr>
              <w:t>Operating revenues</w:t>
            </w:r>
          </w:p>
        </w:tc>
        <w:tc>
          <w:tcPr>
            <w:tcW w:w="960" w:type="dxa"/>
          </w:tcPr>
          <w:p>
            <w:pPr>
              <w:pStyle w:val="TableParagraph"/>
              <w:tabs>
                <w:tab w:pos="439" w:val="left" w:leader="none"/>
              </w:tabs>
              <w:spacing w:before="44"/>
              <w:ind w:right="79"/>
              <w:jc w:val="right"/>
              <w:rPr>
                <w:sz w:val="16"/>
              </w:rPr>
            </w:pPr>
            <w:r>
              <w:rPr>
                <w:color w:val="231F20"/>
                <w:sz w:val="16"/>
              </w:rPr>
              <w:t>$</w:t>
              <w:tab/>
            </w:r>
            <w:r>
              <w:rPr>
                <w:color w:val="231F20"/>
                <w:spacing w:val="-1"/>
                <w:sz w:val="16"/>
              </w:rPr>
              <w:t>18,605</w:t>
            </w:r>
          </w:p>
        </w:tc>
        <w:tc>
          <w:tcPr>
            <w:tcW w:w="100" w:type="dxa"/>
          </w:tcPr>
          <w:p>
            <w:pPr/>
          </w:p>
        </w:tc>
        <w:tc>
          <w:tcPr>
            <w:tcW w:w="960" w:type="dxa"/>
          </w:tcPr>
          <w:p>
            <w:pPr>
              <w:pStyle w:val="TableParagraph"/>
              <w:tabs>
                <w:tab w:pos="439" w:val="left" w:leader="none"/>
              </w:tabs>
              <w:spacing w:before="44"/>
              <w:ind w:right="79"/>
              <w:jc w:val="right"/>
              <w:rPr>
                <w:sz w:val="16"/>
              </w:rPr>
            </w:pPr>
            <w:r>
              <w:rPr>
                <w:color w:val="231F20"/>
                <w:sz w:val="16"/>
              </w:rPr>
              <w:t>$</w:t>
              <w:tab/>
            </w:r>
            <w:r>
              <w:rPr>
                <w:color w:val="231F20"/>
                <w:spacing w:val="-1"/>
                <w:sz w:val="16"/>
              </w:rPr>
              <w:t>17,699</w:t>
            </w:r>
          </w:p>
        </w:tc>
        <w:tc>
          <w:tcPr>
            <w:tcW w:w="100" w:type="dxa"/>
          </w:tcPr>
          <w:p>
            <w:pPr/>
          </w:p>
        </w:tc>
        <w:tc>
          <w:tcPr>
            <w:tcW w:w="960" w:type="dxa"/>
          </w:tcPr>
          <w:p>
            <w:pPr>
              <w:pStyle w:val="TableParagraph"/>
              <w:tabs>
                <w:tab w:pos="439" w:val="left" w:leader="none"/>
              </w:tabs>
              <w:spacing w:before="44"/>
              <w:ind w:right="79"/>
              <w:jc w:val="right"/>
              <w:rPr>
                <w:sz w:val="16"/>
              </w:rPr>
            </w:pPr>
            <w:r>
              <w:rPr>
                <w:color w:val="231F20"/>
                <w:sz w:val="16"/>
              </w:rPr>
              <w:t>$</w:t>
              <w:tab/>
            </w:r>
            <w:r>
              <w:rPr>
                <w:color w:val="231F20"/>
                <w:spacing w:val="-1"/>
                <w:sz w:val="16"/>
              </w:rPr>
              <w:t>17,088</w:t>
            </w:r>
          </w:p>
        </w:tc>
        <w:tc>
          <w:tcPr>
            <w:tcW w:w="100" w:type="dxa"/>
          </w:tcPr>
          <w:p>
            <w:pPr/>
          </w:p>
        </w:tc>
        <w:tc>
          <w:tcPr>
            <w:tcW w:w="960" w:type="dxa"/>
          </w:tcPr>
          <w:p>
            <w:pPr>
              <w:pStyle w:val="TableParagraph"/>
              <w:tabs>
                <w:tab w:pos="439" w:val="left" w:leader="none"/>
              </w:tabs>
              <w:spacing w:before="44"/>
              <w:ind w:right="79"/>
              <w:jc w:val="right"/>
              <w:rPr>
                <w:sz w:val="16"/>
              </w:rPr>
            </w:pPr>
            <w:r>
              <w:rPr>
                <w:color w:val="231F20"/>
                <w:sz w:val="16"/>
              </w:rPr>
              <w:t>$</w:t>
              <w:tab/>
            </w:r>
            <w:r>
              <w:rPr>
                <w:color w:val="231F20"/>
                <w:spacing w:val="-1"/>
                <w:sz w:val="16"/>
              </w:rPr>
              <w:t>15,658</w:t>
            </w:r>
          </w:p>
        </w:tc>
        <w:tc>
          <w:tcPr>
            <w:tcW w:w="100" w:type="dxa"/>
          </w:tcPr>
          <w:p>
            <w:pPr/>
          </w:p>
        </w:tc>
        <w:tc>
          <w:tcPr>
            <w:tcW w:w="1013" w:type="dxa"/>
          </w:tcPr>
          <w:p>
            <w:pPr>
              <w:pStyle w:val="TableParagraph"/>
              <w:tabs>
                <w:tab w:pos="439" w:val="left" w:leader="none"/>
              </w:tabs>
              <w:spacing w:before="44"/>
              <w:ind w:right="131"/>
              <w:jc w:val="right"/>
              <w:rPr>
                <w:sz w:val="16"/>
              </w:rPr>
            </w:pPr>
            <w:r>
              <w:rPr>
                <w:color w:val="231F20"/>
                <w:sz w:val="16"/>
              </w:rPr>
              <w:t>$</w:t>
              <w:tab/>
            </w:r>
            <w:r>
              <w:rPr>
                <w:color w:val="231F20"/>
                <w:spacing w:val="-1"/>
                <w:sz w:val="16"/>
              </w:rPr>
              <w:t>12,104</w:t>
            </w:r>
          </w:p>
        </w:tc>
      </w:tr>
      <w:tr>
        <w:trPr>
          <w:trHeight w:val="269" w:hRule="exact"/>
        </w:trPr>
        <w:tc>
          <w:tcPr>
            <w:tcW w:w="3880" w:type="dxa"/>
            <w:shd w:val="clear" w:color="auto" w:fill="CCECFC"/>
          </w:tcPr>
          <w:p>
            <w:pPr>
              <w:pStyle w:val="TableParagraph"/>
              <w:spacing w:before="44"/>
              <w:ind w:left="220"/>
              <w:rPr>
                <w:sz w:val="16"/>
              </w:rPr>
            </w:pPr>
            <w:r>
              <w:rPr>
                <w:color w:val="231F20"/>
                <w:sz w:val="16"/>
              </w:rPr>
              <w:t>Operating expenses</w:t>
            </w: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16,380</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16,421</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16,465</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14,965</w:t>
            </w:r>
          </w:p>
        </w:tc>
        <w:tc>
          <w:tcPr>
            <w:tcW w:w="100" w:type="dxa"/>
            <w:shd w:val="clear" w:color="auto" w:fill="CCECFC"/>
          </w:tcPr>
          <w:p>
            <w:pPr/>
          </w:p>
        </w:tc>
        <w:tc>
          <w:tcPr>
            <w:tcW w:w="1013" w:type="dxa"/>
            <w:tcBorders>
              <w:bottom w:val="single" w:sz="4" w:space="0" w:color="231F20"/>
            </w:tcBorders>
            <w:shd w:val="clear" w:color="auto" w:fill="CCECFC"/>
          </w:tcPr>
          <w:p>
            <w:pPr>
              <w:pStyle w:val="TableParagraph"/>
              <w:spacing w:before="44"/>
              <w:ind w:right="131"/>
              <w:jc w:val="right"/>
              <w:rPr>
                <w:sz w:val="16"/>
              </w:rPr>
            </w:pPr>
            <w:r>
              <w:rPr>
                <w:color w:val="231F20"/>
                <w:sz w:val="16"/>
              </w:rPr>
              <w:t>11,116</w:t>
            </w:r>
          </w:p>
        </w:tc>
      </w:tr>
      <w:tr>
        <w:trPr>
          <w:trHeight w:val="259" w:hRule="exact"/>
        </w:trPr>
        <w:tc>
          <w:tcPr>
            <w:tcW w:w="3880" w:type="dxa"/>
          </w:tcPr>
          <w:p>
            <w:pPr>
              <w:pStyle w:val="TableParagraph"/>
              <w:spacing w:before="64"/>
              <w:ind w:left="220"/>
              <w:rPr>
                <w:sz w:val="16"/>
              </w:rPr>
            </w:pPr>
            <w:r>
              <w:rPr>
                <w:color w:val="231F20"/>
                <w:sz w:val="16"/>
              </w:rPr>
              <w:t>Operating income</w:t>
            </w:r>
          </w:p>
        </w:tc>
        <w:tc>
          <w:tcPr>
            <w:tcW w:w="960" w:type="dxa"/>
            <w:tcBorders>
              <w:top w:val="single" w:sz="4" w:space="0" w:color="231F20"/>
            </w:tcBorders>
          </w:tcPr>
          <w:p>
            <w:pPr>
              <w:pStyle w:val="TableParagraph"/>
              <w:spacing w:before="44"/>
              <w:ind w:right="79"/>
              <w:jc w:val="right"/>
              <w:rPr>
                <w:sz w:val="16"/>
              </w:rPr>
            </w:pPr>
            <w:r>
              <w:rPr>
                <w:color w:val="231F20"/>
                <w:sz w:val="16"/>
              </w:rPr>
              <w:t>2,225</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1,278</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623</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693</w:t>
            </w:r>
          </w:p>
        </w:tc>
        <w:tc>
          <w:tcPr>
            <w:tcW w:w="100" w:type="dxa"/>
          </w:tcPr>
          <w:p>
            <w:pPr/>
          </w:p>
        </w:tc>
        <w:tc>
          <w:tcPr>
            <w:tcW w:w="1013" w:type="dxa"/>
            <w:tcBorders>
              <w:top w:val="single" w:sz="4" w:space="0" w:color="231F20"/>
            </w:tcBorders>
          </w:tcPr>
          <w:p>
            <w:pPr>
              <w:pStyle w:val="TableParagraph"/>
              <w:spacing w:before="44"/>
              <w:ind w:right="131"/>
              <w:jc w:val="right"/>
              <w:rPr>
                <w:sz w:val="16"/>
              </w:rPr>
            </w:pPr>
            <w:r>
              <w:rPr>
                <w:color w:val="231F20"/>
                <w:sz w:val="16"/>
              </w:rPr>
              <w:t>988</w:t>
            </w:r>
          </w:p>
        </w:tc>
      </w:tr>
      <w:tr>
        <w:trPr>
          <w:trHeight w:val="269" w:hRule="exact"/>
        </w:trPr>
        <w:tc>
          <w:tcPr>
            <w:tcW w:w="3880" w:type="dxa"/>
            <w:shd w:val="clear" w:color="auto" w:fill="CCECFC"/>
          </w:tcPr>
          <w:p>
            <w:pPr>
              <w:pStyle w:val="TableParagraph"/>
              <w:spacing w:before="44"/>
              <w:ind w:left="220"/>
              <w:rPr>
                <w:sz w:val="16"/>
              </w:rPr>
            </w:pPr>
            <w:r>
              <w:rPr>
                <w:color w:val="231F20"/>
                <w:sz w:val="16"/>
              </w:rPr>
              <w:t>Other expenses (income) net</w:t>
            </w: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409</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69</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24"/>
              <w:jc w:val="right"/>
              <w:rPr>
                <w:sz w:val="16"/>
              </w:rPr>
            </w:pPr>
            <w:r>
              <w:rPr>
                <w:color w:val="231F20"/>
                <w:sz w:val="16"/>
              </w:rPr>
              <w:t>(62)</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7"/>
              <w:jc w:val="right"/>
              <w:rPr>
                <w:sz w:val="16"/>
              </w:rPr>
            </w:pPr>
            <w:r>
              <w:rPr>
                <w:color w:val="231F20"/>
                <w:sz w:val="16"/>
              </w:rPr>
              <w:t>370</w:t>
            </w:r>
          </w:p>
        </w:tc>
        <w:tc>
          <w:tcPr>
            <w:tcW w:w="100" w:type="dxa"/>
            <w:shd w:val="clear" w:color="auto" w:fill="CCECFC"/>
          </w:tcPr>
          <w:p>
            <w:pPr/>
          </w:p>
        </w:tc>
        <w:tc>
          <w:tcPr>
            <w:tcW w:w="1013" w:type="dxa"/>
            <w:tcBorders>
              <w:bottom w:val="single" w:sz="4" w:space="0" w:color="231F20"/>
            </w:tcBorders>
            <w:shd w:val="clear" w:color="auto" w:fill="CCECFC"/>
          </w:tcPr>
          <w:p>
            <w:pPr>
              <w:pStyle w:val="TableParagraph"/>
              <w:spacing w:before="44"/>
              <w:ind w:right="131"/>
              <w:jc w:val="right"/>
              <w:rPr>
                <w:sz w:val="16"/>
              </w:rPr>
            </w:pPr>
            <w:r>
              <w:rPr>
                <w:color w:val="231F20"/>
                <w:sz w:val="16"/>
              </w:rPr>
              <w:t>243</w:t>
            </w:r>
          </w:p>
        </w:tc>
      </w:tr>
      <w:tr>
        <w:trPr>
          <w:trHeight w:val="259" w:hRule="exact"/>
        </w:trPr>
        <w:tc>
          <w:tcPr>
            <w:tcW w:w="3880" w:type="dxa"/>
          </w:tcPr>
          <w:p>
            <w:pPr>
              <w:pStyle w:val="TableParagraph"/>
              <w:spacing w:before="64"/>
              <w:ind w:left="220"/>
              <w:rPr>
                <w:sz w:val="16"/>
              </w:rPr>
            </w:pPr>
            <w:r>
              <w:rPr>
                <w:color w:val="231F20"/>
                <w:sz w:val="16"/>
              </w:rPr>
              <w:t>Income before taxes</w:t>
            </w:r>
          </w:p>
        </w:tc>
        <w:tc>
          <w:tcPr>
            <w:tcW w:w="960" w:type="dxa"/>
            <w:tcBorders>
              <w:top w:val="single" w:sz="4" w:space="0" w:color="231F20"/>
            </w:tcBorders>
          </w:tcPr>
          <w:p>
            <w:pPr>
              <w:pStyle w:val="TableParagraph"/>
              <w:spacing w:before="44"/>
              <w:ind w:right="79"/>
              <w:jc w:val="right"/>
              <w:rPr>
                <w:sz w:val="16"/>
              </w:rPr>
            </w:pPr>
            <w:r>
              <w:rPr>
                <w:color w:val="231F20"/>
                <w:sz w:val="16"/>
              </w:rPr>
              <w:t>1,816</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1,209</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685</w:t>
            </w:r>
          </w:p>
        </w:tc>
        <w:tc>
          <w:tcPr>
            <w:tcW w:w="100" w:type="dxa"/>
          </w:tcPr>
          <w:p>
            <w:pPr/>
          </w:p>
        </w:tc>
        <w:tc>
          <w:tcPr>
            <w:tcW w:w="960" w:type="dxa"/>
            <w:tcBorders>
              <w:top w:val="single" w:sz="4" w:space="0" w:color="231F20"/>
            </w:tcBorders>
          </w:tcPr>
          <w:p>
            <w:pPr>
              <w:pStyle w:val="TableParagraph"/>
              <w:spacing w:before="44"/>
              <w:ind w:right="79"/>
              <w:jc w:val="right"/>
              <w:rPr>
                <w:sz w:val="16"/>
              </w:rPr>
            </w:pPr>
            <w:r>
              <w:rPr>
                <w:color w:val="231F20"/>
                <w:sz w:val="16"/>
              </w:rPr>
              <w:t>323</w:t>
            </w:r>
          </w:p>
        </w:tc>
        <w:tc>
          <w:tcPr>
            <w:tcW w:w="100" w:type="dxa"/>
          </w:tcPr>
          <w:p>
            <w:pPr/>
          </w:p>
        </w:tc>
        <w:tc>
          <w:tcPr>
            <w:tcW w:w="1013" w:type="dxa"/>
            <w:tcBorders>
              <w:top w:val="single" w:sz="4" w:space="0" w:color="231F20"/>
            </w:tcBorders>
          </w:tcPr>
          <w:p>
            <w:pPr>
              <w:pStyle w:val="TableParagraph"/>
              <w:spacing w:before="44"/>
              <w:ind w:right="131"/>
              <w:jc w:val="right"/>
              <w:rPr>
                <w:sz w:val="16"/>
              </w:rPr>
            </w:pPr>
            <w:r>
              <w:rPr>
                <w:color w:val="231F20"/>
                <w:sz w:val="16"/>
              </w:rPr>
              <w:t>745</w:t>
            </w:r>
          </w:p>
        </w:tc>
      </w:tr>
      <w:tr>
        <w:trPr>
          <w:trHeight w:val="269" w:hRule="exact"/>
        </w:trPr>
        <w:tc>
          <w:tcPr>
            <w:tcW w:w="3880" w:type="dxa"/>
            <w:shd w:val="clear" w:color="auto" w:fill="CCECFC"/>
          </w:tcPr>
          <w:p>
            <w:pPr>
              <w:pStyle w:val="TableParagraph"/>
              <w:spacing w:before="44"/>
              <w:ind w:left="220"/>
              <w:rPr>
                <w:sz w:val="16"/>
              </w:rPr>
            </w:pPr>
            <w:r>
              <w:rPr>
                <w:color w:val="231F20"/>
                <w:sz w:val="16"/>
              </w:rPr>
              <w:t>Provision for income taxes</w:t>
            </w: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680</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455</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264</w:t>
            </w:r>
          </w:p>
        </w:tc>
        <w:tc>
          <w:tcPr>
            <w:tcW w:w="100" w:type="dxa"/>
            <w:shd w:val="clear" w:color="auto" w:fill="CCECFC"/>
          </w:tcPr>
          <w:p>
            <w:pPr/>
          </w:p>
        </w:tc>
        <w:tc>
          <w:tcPr>
            <w:tcW w:w="960" w:type="dxa"/>
            <w:tcBorders>
              <w:bottom w:val="single" w:sz="4" w:space="0" w:color="231F20"/>
            </w:tcBorders>
            <w:shd w:val="clear" w:color="auto" w:fill="CCECFC"/>
          </w:tcPr>
          <w:p>
            <w:pPr>
              <w:pStyle w:val="TableParagraph"/>
              <w:spacing w:before="44"/>
              <w:ind w:right="79"/>
              <w:jc w:val="right"/>
              <w:rPr>
                <w:sz w:val="16"/>
              </w:rPr>
            </w:pPr>
            <w:r>
              <w:rPr>
                <w:color w:val="231F20"/>
                <w:sz w:val="16"/>
              </w:rPr>
              <w:t>145</w:t>
            </w:r>
          </w:p>
        </w:tc>
        <w:tc>
          <w:tcPr>
            <w:tcW w:w="100" w:type="dxa"/>
            <w:shd w:val="clear" w:color="auto" w:fill="CCECFC"/>
          </w:tcPr>
          <w:p>
            <w:pPr/>
          </w:p>
        </w:tc>
        <w:tc>
          <w:tcPr>
            <w:tcW w:w="1013" w:type="dxa"/>
            <w:tcBorders>
              <w:bottom w:val="single" w:sz="4" w:space="0" w:color="231F20"/>
            </w:tcBorders>
            <w:shd w:val="clear" w:color="auto" w:fill="CCECFC"/>
          </w:tcPr>
          <w:p>
            <w:pPr>
              <w:pStyle w:val="TableParagraph"/>
              <w:spacing w:before="44"/>
              <w:ind w:right="131"/>
              <w:jc w:val="right"/>
              <w:rPr>
                <w:sz w:val="16"/>
              </w:rPr>
            </w:pPr>
            <w:r>
              <w:rPr>
                <w:color w:val="231F20"/>
                <w:sz w:val="16"/>
              </w:rPr>
              <w:t>286</w:t>
            </w:r>
          </w:p>
        </w:tc>
      </w:tr>
      <w:tr>
        <w:trPr>
          <w:trHeight w:val="314" w:hRule="exact"/>
        </w:trPr>
        <w:tc>
          <w:tcPr>
            <w:tcW w:w="3880" w:type="dxa"/>
          </w:tcPr>
          <w:p>
            <w:pPr>
              <w:pStyle w:val="TableParagraph"/>
              <w:spacing w:before="64"/>
              <w:ind w:left="220"/>
              <w:rPr>
                <w:sz w:val="16"/>
              </w:rPr>
            </w:pPr>
            <w:r>
              <w:rPr>
                <w:color w:val="231F20"/>
                <w:sz w:val="16"/>
              </w:rPr>
              <w:t>Net income</w:t>
            </w:r>
          </w:p>
        </w:tc>
        <w:tc>
          <w:tcPr>
            <w:tcW w:w="960" w:type="dxa"/>
            <w:tcBorders>
              <w:top w:val="single" w:sz="4" w:space="0" w:color="231F20"/>
              <w:bottom w:val="single" w:sz="4" w:space="0" w:color="231F20"/>
            </w:tcBorders>
          </w:tcPr>
          <w:p>
            <w:pPr>
              <w:pStyle w:val="TableParagraph"/>
              <w:tabs>
                <w:tab w:pos="519" w:val="left" w:leader="none"/>
              </w:tabs>
              <w:spacing w:before="44"/>
              <w:ind w:right="79"/>
              <w:jc w:val="right"/>
              <w:rPr>
                <w:sz w:val="16"/>
              </w:rPr>
            </w:pPr>
            <w:r>
              <w:rPr>
                <w:color w:val="231F20"/>
                <w:sz w:val="16"/>
              </w:rPr>
              <w:t>$</w:t>
              <w:tab/>
            </w:r>
            <w:r>
              <w:rPr>
                <w:color w:val="231F20"/>
                <w:spacing w:val="-1"/>
                <w:sz w:val="16"/>
              </w:rPr>
              <w:t>1,136</w:t>
            </w:r>
          </w:p>
        </w:tc>
        <w:tc>
          <w:tcPr>
            <w:tcW w:w="100" w:type="dxa"/>
          </w:tcPr>
          <w:p>
            <w:pPr/>
          </w:p>
        </w:tc>
        <w:tc>
          <w:tcPr>
            <w:tcW w:w="960" w:type="dxa"/>
            <w:tcBorders>
              <w:top w:val="single" w:sz="4" w:space="0" w:color="231F20"/>
              <w:bottom w:val="single" w:sz="4" w:space="0" w:color="231F20"/>
            </w:tcBorders>
          </w:tcPr>
          <w:p>
            <w:pPr>
              <w:pStyle w:val="TableParagraph"/>
              <w:tabs>
                <w:tab w:pos="639" w:val="left" w:leader="none"/>
              </w:tabs>
              <w:spacing w:before="44"/>
              <w:ind w:right="79"/>
              <w:jc w:val="right"/>
              <w:rPr>
                <w:sz w:val="16"/>
              </w:rPr>
            </w:pPr>
            <w:r>
              <w:rPr>
                <w:color w:val="231F20"/>
                <w:sz w:val="16"/>
              </w:rPr>
              <w:t>$</w:t>
              <w:tab/>
              <w:t>754</w:t>
            </w:r>
          </w:p>
        </w:tc>
        <w:tc>
          <w:tcPr>
            <w:tcW w:w="100" w:type="dxa"/>
          </w:tcPr>
          <w:p>
            <w:pPr/>
          </w:p>
        </w:tc>
        <w:tc>
          <w:tcPr>
            <w:tcW w:w="960" w:type="dxa"/>
            <w:tcBorders>
              <w:top w:val="single" w:sz="4" w:space="0" w:color="231F20"/>
              <w:bottom w:val="single" w:sz="4" w:space="0" w:color="231F20"/>
            </w:tcBorders>
          </w:tcPr>
          <w:p>
            <w:pPr>
              <w:pStyle w:val="TableParagraph"/>
              <w:tabs>
                <w:tab w:pos="639" w:val="left" w:leader="none"/>
              </w:tabs>
              <w:spacing w:before="44"/>
              <w:ind w:right="79"/>
              <w:jc w:val="right"/>
              <w:rPr>
                <w:sz w:val="16"/>
              </w:rPr>
            </w:pPr>
            <w:r>
              <w:rPr>
                <w:color w:val="231F20"/>
                <w:sz w:val="16"/>
              </w:rPr>
              <w:t>$</w:t>
              <w:tab/>
              <w:t>421</w:t>
            </w:r>
          </w:p>
        </w:tc>
        <w:tc>
          <w:tcPr>
            <w:tcW w:w="100" w:type="dxa"/>
          </w:tcPr>
          <w:p>
            <w:pPr/>
          </w:p>
        </w:tc>
        <w:tc>
          <w:tcPr>
            <w:tcW w:w="960" w:type="dxa"/>
            <w:tcBorders>
              <w:top w:val="single" w:sz="4" w:space="0" w:color="231F20"/>
              <w:bottom w:val="single" w:sz="4" w:space="0" w:color="231F20"/>
            </w:tcBorders>
          </w:tcPr>
          <w:p>
            <w:pPr>
              <w:pStyle w:val="TableParagraph"/>
              <w:tabs>
                <w:tab w:pos="639" w:val="left" w:leader="none"/>
              </w:tabs>
              <w:spacing w:before="44"/>
              <w:ind w:right="79"/>
              <w:jc w:val="right"/>
              <w:rPr>
                <w:sz w:val="16"/>
              </w:rPr>
            </w:pPr>
            <w:r>
              <w:rPr>
                <w:color w:val="231F20"/>
                <w:sz w:val="16"/>
              </w:rPr>
              <w:t>$</w:t>
              <w:tab/>
              <w:t>178</w:t>
            </w:r>
          </w:p>
        </w:tc>
        <w:tc>
          <w:tcPr>
            <w:tcW w:w="100" w:type="dxa"/>
          </w:tcPr>
          <w:p>
            <w:pPr/>
          </w:p>
        </w:tc>
        <w:tc>
          <w:tcPr>
            <w:tcW w:w="1013" w:type="dxa"/>
            <w:tcBorders>
              <w:top w:val="single" w:sz="4" w:space="0" w:color="231F20"/>
              <w:bottom w:val="single" w:sz="4" w:space="0" w:color="231F20"/>
            </w:tcBorders>
          </w:tcPr>
          <w:p>
            <w:pPr>
              <w:pStyle w:val="TableParagraph"/>
              <w:tabs>
                <w:tab w:pos="639" w:val="left" w:leader="none"/>
              </w:tabs>
              <w:spacing w:before="44"/>
              <w:ind w:right="131"/>
              <w:jc w:val="right"/>
              <w:rPr>
                <w:sz w:val="16"/>
              </w:rPr>
            </w:pPr>
            <w:r>
              <w:rPr>
                <w:color w:val="231F20"/>
                <w:sz w:val="16"/>
              </w:rPr>
              <w:t>$</w:t>
              <w:tab/>
              <w:t>459</w:t>
            </w:r>
          </w:p>
        </w:tc>
      </w:tr>
      <w:tr>
        <w:trPr>
          <w:trHeight w:val="259" w:hRule="exact"/>
        </w:trPr>
        <w:tc>
          <w:tcPr>
            <w:tcW w:w="3880" w:type="dxa"/>
            <w:shd w:val="clear" w:color="auto" w:fill="CCECFC"/>
          </w:tcPr>
          <w:p>
            <w:pPr>
              <w:pStyle w:val="TableParagraph"/>
              <w:spacing w:before="44"/>
              <w:ind w:left="220"/>
              <w:rPr>
                <w:sz w:val="16"/>
              </w:rPr>
            </w:pPr>
            <w:r>
              <w:rPr>
                <w:color w:val="231F20"/>
                <w:sz w:val="16"/>
              </w:rPr>
              <w:t>Net income per share, basic</w:t>
            </w:r>
          </w:p>
        </w:tc>
        <w:tc>
          <w:tcPr>
            <w:tcW w:w="960" w:type="dxa"/>
            <w:tcBorders>
              <w:top w:val="single" w:sz="4" w:space="0" w:color="231F20"/>
            </w:tcBorders>
            <w:shd w:val="clear" w:color="auto" w:fill="CCECFC"/>
          </w:tcPr>
          <w:p>
            <w:pPr>
              <w:pStyle w:val="TableParagraph"/>
              <w:tabs>
                <w:tab w:pos="599" w:val="left" w:leader="none"/>
              </w:tabs>
              <w:spacing w:before="44"/>
              <w:ind w:right="79"/>
              <w:jc w:val="right"/>
              <w:rPr>
                <w:sz w:val="16"/>
              </w:rPr>
            </w:pPr>
            <w:r>
              <w:rPr>
                <w:color w:val="231F20"/>
                <w:sz w:val="16"/>
              </w:rPr>
              <w:t>$</w:t>
              <w:tab/>
            </w:r>
            <w:r>
              <w:rPr>
                <w:color w:val="231F20"/>
                <w:spacing w:val="-1"/>
                <w:sz w:val="16"/>
              </w:rPr>
              <w:t>1.65</w:t>
            </w:r>
          </w:p>
        </w:tc>
        <w:tc>
          <w:tcPr>
            <w:tcW w:w="100" w:type="dxa"/>
            <w:shd w:val="clear" w:color="auto" w:fill="CCECFC"/>
          </w:tcPr>
          <w:p>
            <w:pPr/>
          </w:p>
        </w:tc>
        <w:tc>
          <w:tcPr>
            <w:tcW w:w="960" w:type="dxa"/>
            <w:tcBorders>
              <w:top w:val="single" w:sz="4" w:space="0" w:color="231F20"/>
            </w:tcBorders>
            <w:shd w:val="clear" w:color="auto" w:fill="CCECFC"/>
          </w:tcPr>
          <w:p>
            <w:pPr>
              <w:pStyle w:val="TableParagraph"/>
              <w:tabs>
                <w:tab w:pos="599" w:val="left" w:leader="none"/>
              </w:tabs>
              <w:spacing w:before="44"/>
              <w:ind w:right="79"/>
              <w:jc w:val="right"/>
              <w:rPr>
                <w:sz w:val="16"/>
              </w:rPr>
            </w:pPr>
            <w:r>
              <w:rPr>
                <w:color w:val="231F20"/>
                <w:sz w:val="16"/>
              </w:rPr>
              <w:t>$</w:t>
              <w:tab/>
            </w:r>
            <w:r>
              <w:rPr>
                <w:color w:val="231F20"/>
                <w:spacing w:val="-1"/>
                <w:sz w:val="16"/>
              </w:rPr>
              <w:t>1.06</w:t>
            </w:r>
          </w:p>
        </w:tc>
        <w:tc>
          <w:tcPr>
            <w:tcW w:w="100" w:type="dxa"/>
            <w:shd w:val="clear" w:color="auto" w:fill="CCECFC"/>
          </w:tcPr>
          <w:p>
            <w:pPr/>
          </w:p>
        </w:tc>
        <w:tc>
          <w:tcPr>
            <w:tcW w:w="960" w:type="dxa"/>
            <w:tcBorders>
              <w:top w:val="single" w:sz="4" w:space="0" w:color="231F20"/>
            </w:tcBorders>
            <w:shd w:val="clear" w:color="auto" w:fill="CCECFC"/>
          </w:tcPr>
          <w:p>
            <w:pPr>
              <w:pStyle w:val="TableParagraph"/>
              <w:tabs>
                <w:tab w:pos="599" w:val="left" w:leader="none"/>
              </w:tabs>
              <w:spacing w:before="44"/>
              <w:ind w:right="79"/>
              <w:jc w:val="right"/>
              <w:rPr>
                <w:sz w:val="16"/>
              </w:rPr>
            </w:pPr>
            <w:r>
              <w:rPr>
                <w:color w:val="231F20"/>
                <w:sz w:val="16"/>
              </w:rPr>
              <w:t>$</w:t>
              <w:tab/>
            </w:r>
            <w:r>
              <w:rPr>
                <w:color w:val="231F20"/>
                <w:spacing w:val="-1"/>
                <w:sz w:val="16"/>
              </w:rPr>
              <w:t>0.56</w:t>
            </w:r>
          </w:p>
        </w:tc>
        <w:tc>
          <w:tcPr>
            <w:tcW w:w="100" w:type="dxa"/>
            <w:shd w:val="clear" w:color="auto" w:fill="CCECFC"/>
          </w:tcPr>
          <w:p>
            <w:pPr/>
          </w:p>
        </w:tc>
        <w:tc>
          <w:tcPr>
            <w:tcW w:w="960" w:type="dxa"/>
            <w:tcBorders>
              <w:top w:val="single" w:sz="4" w:space="0" w:color="231F20"/>
            </w:tcBorders>
            <w:shd w:val="clear" w:color="auto" w:fill="CCECFC"/>
          </w:tcPr>
          <w:p>
            <w:pPr>
              <w:pStyle w:val="TableParagraph"/>
              <w:tabs>
                <w:tab w:pos="599" w:val="left" w:leader="none"/>
              </w:tabs>
              <w:spacing w:before="44"/>
              <w:ind w:right="79"/>
              <w:jc w:val="right"/>
              <w:rPr>
                <w:sz w:val="16"/>
              </w:rPr>
            </w:pPr>
            <w:r>
              <w:rPr>
                <w:color w:val="231F20"/>
                <w:sz w:val="16"/>
              </w:rPr>
              <w:t>$</w:t>
              <w:tab/>
            </w:r>
            <w:r>
              <w:rPr>
                <w:color w:val="231F20"/>
                <w:spacing w:val="-1"/>
                <w:sz w:val="16"/>
              </w:rPr>
              <w:t>0.23</w:t>
            </w:r>
          </w:p>
        </w:tc>
        <w:tc>
          <w:tcPr>
            <w:tcW w:w="100" w:type="dxa"/>
            <w:shd w:val="clear" w:color="auto" w:fill="CCECFC"/>
          </w:tcPr>
          <w:p>
            <w:pPr/>
          </w:p>
        </w:tc>
        <w:tc>
          <w:tcPr>
            <w:tcW w:w="1013" w:type="dxa"/>
            <w:tcBorders>
              <w:top w:val="single" w:sz="4" w:space="0" w:color="231F20"/>
            </w:tcBorders>
            <w:shd w:val="clear" w:color="auto" w:fill="CCECFC"/>
          </w:tcPr>
          <w:p>
            <w:pPr>
              <w:pStyle w:val="TableParagraph"/>
              <w:tabs>
                <w:tab w:pos="599" w:val="left" w:leader="none"/>
              </w:tabs>
              <w:spacing w:before="44"/>
              <w:ind w:right="131"/>
              <w:jc w:val="right"/>
              <w:rPr>
                <w:sz w:val="16"/>
              </w:rPr>
            </w:pPr>
            <w:r>
              <w:rPr>
                <w:color w:val="231F20"/>
                <w:sz w:val="16"/>
              </w:rPr>
              <w:t>$</w:t>
              <w:tab/>
            </w:r>
            <w:r>
              <w:rPr>
                <w:color w:val="231F20"/>
                <w:spacing w:val="-1"/>
                <w:sz w:val="16"/>
              </w:rPr>
              <w:t>0.62</w:t>
            </w:r>
          </w:p>
        </w:tc>
      </w:tr>
      <w:tr>
        <w:trPr>
          <w:trHeight w:val="254" w:hRule="exact"/>
        </w:trPr>
        <w:tc>
          <w:tcPr>
            <w:tcW w:w="3880" w:type="dxa"/>
          </w:tcPr>
          <w:p>
            <w:pPr>
              <w:pStyle w:val="TableParagraph"/>
              <w:spacing w:before="44"/>
              <w:ind w:left="220"/>
              <w:rPr>
                <w:sz w:val="16"/>
              </w:rPr>
            </w:pPr>
            <w:r>
              <w:rPr>
                <w:color w:val="231F20"/>
                <w:sz w:val="16"/>
              </w:rPr>
              <w:t>Net income per share, diluted</w:t>
            </w:r>
          </w:p>
        </w:tc>
        <w:tc>
          <w:tcPr>
            <w:tcW w:w="960" w:type="dxa"/>
          </w:tcPr>
          <w:p>
            <w:pPr>
              <w:pStyle w:val="TableParagraph"/>
              <w:tabs>
                <w:tab w:pos="599" w:val="left" w:leader="none"/>
              </w:tabs>
              <w:spacing w:before="44"/>
              <w:ind w:right="79"/>
              <w:jc w:val="right"/>
              <w:rPr>
                <w:sz w:val="16"/>
              </w:rPr>
            </w:pPr>
            <w:r>
              <w:rPr>
                <w:color w:val="231F20"/>
                <w:sz w:val="16"/>
              </w:rPr>
              <w:t>$</w:t>
              <w:tab/>
            </w:r>
            <w:r>
              <w:rPr>
                <w:color w:val="231F20"/>
                <w:spacing w:val="-1"/>
                <w:sz w:val="16"/>
              </w:rPr>
              <w:t>1.64</w:t>
            </w:r>
          </w:p>
        </w:tc>
        <w:tc>
          <w:tcPr>
            <w:tcW w:w="100" w:type="dxa"/>
          </w:tcPr>
          <w:p>
            <w:pPr/>
          </w:p>
        </w:tc>
        <w:tc>
          <w:tcPr>
            <w:tcW w:w="960" w:type="dxa"/>
          </w:tcPr>
          <w:p>
            <w:pPr>
              <w:pStyle w:val="TableParagraph"/>
              <w:tabs>
                <w:tab w:pos="599" w:val="left" w:leader="none"/>
              </w:tabs>
              <w:spacing w:before="44"/>
              <w:ind w:right="79"/>
              <w:jc w:val="right"/>
              <w:rPr>
                <w:sz w:val="16"/>
              </w:rPr>
            </w:pPr>
            <w:r>
              <w:rPr>
                <w:color w:val="231F20"/>
                <w:sz w:val="16"/>
              </w:rPr>
              <w:t>$</w:t>
              <w:tab/>
            </w:r>
            <w:r>
              <w:rPr>
                <w:color w:val="231F20"/>
                <w:spacing w:val="-1"/>
                <w:sz w:val="16"/>
              </w:rPr>
              <w:t>1.05</w:t>
            </w:r>
          </w:p>
        </w:tc>
        <w:tc>
          <w:tcPr>
            <w:tcW w:w="100" w:type="dxa"/>
          </w:tcPr>
          <w:p>
            <w:pPr/>
          </w:p>
        </w:tc>
        <w:tc>
          <w:tcPr>
            <w:tcW w:w="960" w:type="dxa"/>
          </w:tcPr>
          <w:p>
            <w:pPr>
              <w:pStyle w:val="TableParagraph"/>
              <w:tabs>
                <w:tab w:pos="599" w:val="left" w:leader="none"/>
              </w:tabs>
              <w:spacing w:before="44"/>
              <w:ind w:right="79"/>
              <w:jc w:val="right"/>
              <w:rPr>
                <w:sz w:val="16"/>
              </w:rPr>
            </w:pPr>
            <w:r>
              <w:rPr>
                <w:color w:val="231F20"/>
                <w:sz w:val="16"/>
              </w:rPr>
              <w:t>$</w:t>
              <w:tab/>
            </w:r>
            <w:r>
              <w:rPr>
                <w:color w:val="231F20"/>
                <w:spacing w:val="-1"/>
                <w:sz w:val="16"/>
              </w:rPr>
              <w:t>0.56</w:t>
            </w:r>
          </w:p>
        </w:tc>
        <w:tc>
          <w:tcPr>
            <w:tcW w:w="100" w:type="dxa"/>
          </w:tcPr>
          <w:p>
            <w:pPr/>
          </w:p>
        </w:tc>
        <w:tc>
          <w:tcPr>
            <w:tcW w:w="960" w:type="dxa"/>
          </w:tcPr>
          <w:p>
            <w:pPr>
              <w:pStyle w:val="TableParagraph"/>
              <w:tabs>
                <w:tab w:pos="599" w:val="left" w:leader="none"/>
              </w:tabs>
              <w:spacing w:before="44"/>
              <w:ind w:right="79"/>
              <w:jc w:val="right"/>
              <w:rPr>
                <w:sz w:val="16"/>
              </w:rPr>
            </w:pPr>
            <w:r>
              <w:rPr>
                <w:color w:val="231F20"/>
                <w:sz w:val="16"/>
              </w:rPr>
              <w:t>$</w:t>
              <w:tab/>
            </w:r>
            <w:r>
              <w:rPr>
                <w:color w:val="231F20"/>
                <w:spacing w:val="-1"/>
                <w:sz w:val="16"/>
              </w:rPr>
              <w:t>0.23</w:t>
            </w:r>
          </w:p>
        </w:tc>
        <w:tc>
          <w:tcPr>
            <w:tcW w:w="100" w:type="dxa"/>
          </w:tcPr>
          <w:p>
            <w:pPr/>
          </w:p>
        </w:tc>
        <w:tc>
          <w:tcPr>
            <w:tcW w:w="1013" w:type="dxa"/>
          </w:tcPr>
          <w:p>
            <w:pPr>
              <w:pStyle w:val="TableParagraph"/>
              <w:tabs>
                <w:tab w:pos="599" w:val="left" w:leader="none"/>
              </w:tabs>
              <w:spacing w:before="44"/>
              <w:ind w:right="131"/>
              <w:jc w:val="right"/>
              <w:rPr>
                <w:sz w:val="16"/>
              </w:rPr>
            </w:pPr>
            <w:r>
              <w:rPr>
                <w:color w:val="231F20"/>
                <w:sz w:val="16"/>
              </w:rPr>
              <w:t>$</w:t>
              <w:tab/>
            </w:r>
            <w:r>
              <w:rPr>
                <w:color w:val="231F20"/>
                <w:spacing w:val="-1"/>
                <w:sz w:val="16"/>
              </w:rPr>
              <w:t>0.61</w:t>
            </w:r>
          </w:p>
        </w:tc>
      </w:tr>
      <w:tr>
        <w:trPr>
          <w:trHeight w:val="254" w:hRule="exact"/>
        </w:trPr>
        <w:tc>
          <w:tcPr>
            <w:tcW w:w="3880" w:type="dxa"/>
            <w:shd w:val="clear" w:color="auto" w:fill="CCECFC"/>
          </w:tcPr>
          <w:p>
            <w:pPr>
              <w:pStyle w:val="TableParagraph"/>
              <w:spacing w:before="44"/>
              <w:ind w:left="220"/>
              <w:rPr>
                <w:sz w:val="16"/>
              </w:rPr>
            </w:pPr>
            <w:r>
              <w:rPr>
                <w:color w:val="231F20"/>
                <w:sz w:val="16"/>
              </w:rPr>
              <w:t>Cash dividends per common share</w:t>
            </w:r>
          </w:p>
        </w:tc>
        <w:tc>
          <w:tcPr>
            <w:tcW w:w="960" w:type="dxa"/>
            <w:shd w:val="clear" w:color="auto" w:fill="CCECFC"/>
          </w:tcPr>
          <w:p>
            <w:pPr>
              <w:pStyle w:val="TableParagraph"/>
              <w:tabs>
                <w:tab w:pos="439" w:val="left" w:leader="none"/>
              </w:tabs>
              <w:spacing w:before="44"/>
              <w:ind w:right="79"/>
              <w:jc w:val="right"/>
              <w:rPr>
                <w:sz w:val="16"/>
              </w:rPr>
            </w:pPr>
            <w:r>
              <w:rPr>
                <w:color w:val="231F20"/>
                <w:sz w:val="16"/>
              </w:rPr>
              <w:t>$</w:t>
              <w:tab/>
            </w:r>
            <w:r>
              <w:rPr>
                <w:color w:val="231F20"/>
                <w:spacing w:val="-1"/>
                <w:sz w:val="16"/>
              </w:rPr>
              <w:t>0.2200</w:t>
            </w:r>
          </w:p>
        </w:tc>
        <w:tc>
          <w:tcPr>
            <w:tcW w:w="100" w:type="dxa"/>
            <w:shd w:val="clear" w:color="auto" w:fill="CCECFC"/>
          </w:tcPr>
          <w:p>
            <w:pPr/>
          </w:p>
        </w:tc>
        <w:tc>
          <w:tcPr>
            <w:tcW w:w="960" w:type="dxa"/>
            <w:shd w:val="clear" w:color="auto" w:fill="CCECFC"/>
          </w:tcPr>
          <w:p>
            <w:pPr>
              <w:pStyle w:val="TableParagraph"/>
              <w:tabs>
                <w:tab w:pos="439" w:val="left" w:leader="none"/>
              </w:tabs>
              <w:spacing w:before="44"/>
              <w:ind w:right="79"/>
              <w:jc w:val="right"/>
              <w:rPr>
                <w:sz w:val="16"/>
              </w:rPr>
            </w:pPr>
            <w:r>
              <w:rPr>
                <w:color w:val="231F20"/>
                <w:sz w:val="16"/>
              </w:rPr>
              <w:t>$</w:t>
              <w:tab/>
            </w:r>
            <w:r>
              <w:rPr>
                <w:color w:val="231F20"/>
                <w:spacing w:val="-1"/>
                <w:sz w:val="16"/>
              </w:rPr>
              <w:t>0.1300</w:t>
            </w:r>
          </w:p>
        </w:tc>
        <w:tc>
          <w:tcPr>
            <w:tcW w:w="100" w:type="dxa"/>
            <w:shd w:val="clear" w:color="auto" w:fill="CCECFC"/>
          </w:tcPr>
          <w:p>
            <w:pPr/>
          </w:p>
        </w:tc>
        <w:tc>
          <w:tcPr>
            <w:tcW w:w="960" w:type="dxa"/>
            <w:shd w:val="clear" w:color="auto" w:fill="CCECFC"/>
          </w:tcPr>
          <w:p>
            <w:pPr>
              <w:pStyle w:val="TableParagraph"/>
              <w:tabs>
                <w:tab w:pos="439" w:val="left" w:leader="none"/>
              </w:tabs>
              <w:spacing w:before="44"/>
              <w:ind w:right="79"/>
              <w:jc w:val="right"/>
              <w:rPr>
                <w:sz w:val="16"/>
              </w:rPr>
            </w:pPr>
            <w:r>
              <w:rPr>
                <w:color w:val="231F20"/>
                <w:sz w:val="16"/>
              </w:rPr>
              <w:t>$</w:t>
              <w:tab/>
            </w:r>
            <w:r>
              <w:rPr>
                <w:color w:val="231F20"/>
                <w:spacing w:val="-1"/>
                <w:sz w:val="16"/>
              </w:rPr>
              <w:t>0.0345</w:t>
            </w:r>
          </w:p>
        </w:tc>
        <w:tc>
          <w:tcPr>
            <w:tcW w:w="100" w:type="dxa"/>
            <w:shd w:val="clear" w:color="auto" w:fill="CCECFC"/>
          </w:tcPr>
          <w:p>
            <w:pPr/>
          </w:p>
        </w:tc>
        <w:tc>
          <w:tcPr>
            <w:tcW w:w="960" w:type="dxa"/>
            <w:shd w:val="clear" w:color="auto" w:fill="CCECFC"/>
          </w:tcPr>
          <w:p>
            <w:pPr>
              <w:pStyle w:val="TableParagraph"/>
              <w:tabs>
                <w:tab w:pos="439" w:val="left" w:leader="none"/>
              </w:tabs>
              <w:spacing w:before="44"/>
              <w:ind w:right="79"/>
              <w:jc w:val="right"/>
              <w:rPr>
                <w:sz w:val="16"/>
              </w:rPr>
            </w:pPr>
            <w:r>
              <w:rPr>
                <w:color w:val="231F20"/>
                <w:sz w:val="16"/>
              </w:rPr>
              <w:t>$</w:t>
              <w:tab/>
            </w:r>
            <w:r>
              <w:rPr>
                <w:color w:val="231F20"/>
                <w:spacing w:val="-1"/>
                <w:sz w:val="16"/>
              </w:rPr>
              <w:t>0.0180</w:t>
            </w:r>
          </w:p>
        </w:tc>
        <w:tc>
          <w:tcPr>
            <w:tcW w:w="100" w:type="dxa"/>
            <w:shd w:val="clear" w:color="auto" w:fill="CCECFC"/>
          </w:tcPr>
          <w:p>
            <w:pPr/>
          </w:p>
        </w:tc>
        <w:tc>
          <w:tcPr>
            <w:tcW w:w="1013" w:type="dxa"/>
            <w:shd w:val="clear" w:color="auto" w:fill="CCECFC"/>
          </w:tcPr>
          <w:p>
            <w:pPr>
              <w:pStyle w:val="TableParagraph"/>
              <w:tabs>
                <w:tab w:pos="439" w:val="left" w:leader="none"/>
              </w:tabs>
              <w:spacing w:before="44"/>
              <w:ind w:right="131"/>
              <w:jc w:val="right"/>
              <w:rPr>
                <w:sz w:val="16"/>
              </w:rPr>
            </w:pPr>
            <w:r>
              <w:rPr>
                <w:color w:val="231F20"/>
                <w:sz w:val="16"/>
              </w:rPr>
              <w:t>$</w:t>
              <w:tab/>
            </w:r>
            <w:r>
              <w:rPr>
                <w:color w:val="231F20"/>
                <w:spacing w:val="-1"/>
                <w:sz w:val="16"/>
              </w:rPr>
              <w:t>0.0180</w:t>
            </w:r>
          </w:p>
        </w:tc>
      </w:tr>
      <w:tr>
        <w:trPr>
          <w:trHeight w:val="254" w:hRule="exact"/>
        </w:trPr>
        <w:tc>
          <w:tcPr>
            <w:tcW w:w="3880" w:type="dxa"/>
          </w:tcPr>
          <w:p>
            <w:pPr>
              <w:pStyle w:val="TableParagraph"/>
              <w:spacing w:before="44"/>
              <w:ind w:left="220"/>
              <w:rPr>
                <w:sz w:val="16"/>
              </w:rPr>
            </w:pPr>
            <w:r>
              <w:rPr>
                <w:color w:val="231F20"/>
                <w:sz w:val="16"/>
              </w:rPr>
              <w:t>Total assets at period-end</w:t>
            </w:r>
          </w:p>
        </w:tc>
        <w:tc>
          <w:tcPr>
            <w:tcW w:w="960" w:type="dxa"/>
          </w:tcPr>
          <w:p>
            <w:pPr>
              <w:pStyle w:val="TableParagraph"/>
              <w:tabs>
                <w:tab w:pos="439" w:val="left" w:leader="none"/>
              </w:tabs>
              <w:spacing w:before="44"/>
              <w:ind w:right="77"/>
              <w:jc w:val="right"/>
              <w:rPr>
                <w:sz w:val="16"/>
              </w:rPr>
            </w:pPr>
            <w:r>
              <w:rPr>
                <w:color w:val="231F20"/>
                <w:sz w:val="16"/>
              </w:rPr>
              <w:t>$</w:t>
              <w:tab/>
            </w:r>
            <w:r>
              <w:rPr>
                <w:color w:val="231F20"/>
                <w:spacing w:val="-1"/>
                <w:sz w:val="16"/>
              </w:rPr>
              <w:t>20,200</w:t>
            </w:r>
          </w:p>
        </w:tc>
        <w:tc>
          <w:tcPr>
            <w:tcW w:w="100" w:type="dxa"/>
          </w:tcPr>
          <w:p>
            <w:pPr/>
          </w:p>
        </w:tc>
        <w:tc>
          <w:tcPr>
            <w:tcW w:w="960" w:type="dxa"/>
          </w:tcPr>
          <w:p>
            <w:pPr>
              <w:pStyle w:val="TableParagraph"/>
              <w:tabs>
                <w:tab w:pos="439" w:val="left" w:leader="none"/>
              </w:tabs>
              <w:spacing w:before="44"/>
              <w:ind w:right="77"/>
              <w:jc w:val="right"/>
              <w:rPr>
                <w:sz w:val="16"/>
              </w:rPr>
            </w:pPr>
            <w:r>
              <w:rPr>
                <w:color w:val="231F20"/>
                <w:sz w:val="16"/>
              </w:rPr>
              <w:t>$</w:t>
              <w:tab/>
            </w:r>
            <w:r>
              <w:rPr>
                <w:color w:val="231F20"/>
                <w:spacing w:val="-1"/>
                <w:sz w:val="16"/>
              </w:rPr>
              <w:t>19,345</w:t>
            </w:r>
          </w:p>
        </w:tc>
        <w:tc>
          <w:tcPr>
            <w:tcW w:w="100" w:type="dxa"/>
          </w:tcPr>
          <w:p>
            <w:pPr/>
          </w:p>
        </w:tc>
        <w:tc>
          <w:tcPr>
            <w:tcW w:w="960" w:type="dxa"/>
          </w:tcPr>
          <w:p>
            <w:pPr>
              <w:pStyle w:val="TableParagraph"/>
              <w:tabs>
                <w:tab w:pos="439" w:val="left" w:leader="none"/>
              </w:tabs>
              <w:spacing w:before="44"/>
              <w:ind w:right="77"/>
              <w:jc w:val="right"/>
              <w:rPr>
                <w:sz w:val="16"/>
              </w:rPr>
            </w:pPr>
            <w:r>
              <w:rPr>
                <w:color w:val="231F20"/>
                <w:sz w:val="16"/>
              </w:rPr>
              <w:t>$</w:t>
              <w:tab/>
            </w:r>
            <w:r>
              <w:rPr>
                <w:color w:val="231F20"/>
                <w:spacing w:val="-1"/>
                <w:sz w:val="16"/>
              </w:rPr>
              <w:t>18,596</w:t>
            </w:r>
          </w:p>
        </w:tc>
        <w:tc>
          <w:tcPr>
            <w:tcW w:w="100" w:type="dxa"/>
          </w:tcPr>
          <w:p>
            <w:pPr/>
          </w:p>
        </w:tc>
        <w:tc>
          <w:tcPr>
            <w:tcW w:w="960" w:type="dxa"/>
          </w:tcPr>
          <w:p>
            <w:pPr>
              <w:pStyle w:val="TableParagraph"/>
              <w:tabs>
                <w:tab w:pos="439" w:val="left" w:leader="none"/>
              </w:tabs>
              <w:spacing w:before="44"/>
              <w:ind w:right="77"/>
              <w:jc w:val="right"/>
              <w:rPr>
                <w:sz w:val="16"/>
              </w:rPr>
            </w:pPr>
            <w:r>
              <w:rPr>
                <w:color w:val="231F20"/>
                <w:sz w:val="16"/>
              </w:rPr>
              <w:t>$</w:t>
              <w:tab/>
            </w:r>
            <w:r>
              <w:rPr>
                <w:color w:val="231F20"/>
                <w:spacing w:val="-1"/>
                <w:sz w:val="16"/>
              </w:rPr>
              <w:t>18,068</w:t>
            </w:r>
          </w:p>
        </w:tc>
        <w:tc>
          <w:tcPr>
            <w:tcW w:w="100" w:type="dxa"/>
          </w:tcPr>
          <w:p>
            <w:pPr/>
          </w:p>
        </w:tc>
        <w:tc>
          <w:tcPr>
            <w:tcW w:w="1013" w:type="dxa"/>
          </w:tcPr>
          <w:p>
            <w:pPr>
              <w:pStyle w:val="TableParagraph"/>
              <w:tabs>
                <w:tab w:pos="439" w:val="left" w:leader="none"/>
              </w:tabs>
              <w:spacing w:before="44"/>
              <w:ind w:right="131"/>
              <w:jc w:val="right"/>
              <w:rPr>
                <w:sz w:val="16"/>
              </w:rPr>
            </w:pPr>
            <w:r>
              <w:rPr>
                <w:color w:val="231F20"/>
                <w:sz w:val="16"/>
              </w:rPr>
              <w:t>$</w:t>
              <w:tab/>
            </w:r>
            <w:r>
              <w:rPr>
                <w:color w:val="231F20"/>
                <w:spacing w:val="-1"/>
                <w:sz w:val="16"/>
              </w:rPr>
              <w:t>15,463</w:t>
            </w:r>
          </w:p>
        </w:tc>
      </w:tr>
      <w:tr>
        <w:trPr>
          <w:trHeight w:val="254" w:hRule="exact"/>
        </w:trPr>
        <w:tc>
          <w:tcPr>
            <w:tcW w:w="3880" w:type="dxa"/>
            <w:shd w:val="clear" w:color="auto" w:fill="CCECFC"/>
          </w:tcPr>
          <w:p>
            <w:pPr>
              <w:pStyle w:val="TableParagraph"/>
              <w:spacing w:before="44"/>
              <w:ind w:left="220"/>
              <w:rPr>
                <w:sz w:val="16"/>
              </w:rPr>
            </w:pPr>
            <w:r>
              <w:rPr>
                <w:color w:val="231F20"/>
                <w:sz w:val="16"/>
              </w:rPr>
              <w:t>Long-term obligations at period-end</w:t>
            </w:r>
          </w:p>
        </w:tc>
        <w:tc>
          <w:tcPr>
            <w:tcW w:w="960" w:type="dxa"/>
            <w:shd w:val="clear" w:color="auto" w:fill="CCECFC"/>
          </w:tcPr>
          <w:p>
            <w:pPr>
              <w:pStyle w:val="TableParagraph"/>
              <w:tabs>
                <w:tab w:pos="519" w:val="left" w:leader="none"/>
              </w:tabs>
              <w:spacing w:before="44"/>
              <w:ind w:right="77"/>
              <w:jc w:val="right"/>
              <w:rPr>
                <w:sz w:val="16"/>
              </w:rPr>
            </w:pPr>
            <w:r>
              <w:rPr>
                <w:color w:val="231F20"/>
                <w:sz w:val="16"/>
              </w:rPr>
              <w:t>$</w:t>
              <w:tab/>
            </w:r>
            <w:r>
              <w:rPr>
                <w:color w:val="231F20"/>
                <w:spacing w:val="-1"/>
                <w:sz w:val="16"/>
              </w:rPr>
              <w:t>2,434</w:t>
            </w:r>
          </w:p>
        </w:tc>
        <w:tc>
          <w:tcPr>
            <w:tcW w:w="100" w:type="dxa"/>
            <w:shd w:val="clear" w:color="auto" w:fill="CCECFC"/>
          </w:tcPr>
          <w:p>
            <w:pPr/>
          </w:p>
        </w:tc>
        <w:tc>
          <w:tcPr>
            <w:tcW w:w="960" w:type="dxa"/>
            <w:shd w:val="clear" w:color="auto" w:fill="CCECFC"/>
          </w:tcPr>
          <w:p>
            <w:pPr>
              <w:pStyle w:val="TableParagraph"/>
              <w:tabs>
                <w:tab w:pos="519" w:val="left" w:leader="none"/>
              </w:tabs>
              <w:spacing w:before="44"/>
              <w:ind w:right="77"/>
              <w:jc w:val="right"/>
              <w:rPr>
                <w:sz w:val="16"/>
              </w:rPr>
            </w:pPr>
            <w:r>
              <w:rPr>
                <w:color w:val="231F20"/>
                <w:sz w:val="16"/>
              </w:rPr>
              <w:t>$</w:t>
              <w:tab/>
            </w:r>
            <w:r>
              <w:rPr>
                <w:color w:val="231F20"/>
                <w:spacing w:val="-1"/>
                <w:sz w:val="16"/>
              </w:rPr>
              <w:t>2,191</w:t>
            </w:r>
          </w:p>
        </w:tc>
        <w:tc>
          <w:tcPr>
            <w:tcW w:w="100" w:type="dxa"/>
            <w:shd w:val="clear" w:color="auto" w:fill="CCECFC"/>
          </w:tcPr>
          <w:p>
            <w:pPr/>
          </w:p>
        </w:tc>
        <w:tc>
          <w:tcPr>
            <w:tcW w:w="960" w:type="dxa"/>
            <w:shd w:val="clear" w:color="auto" w:fill="CCECFC"/>
          </w:tcPr>
          <w:p>
            <w:pPr>
              <w:pStyle w:val="TableParagraph"/>
              <w:tabs>
                <w:tab w:pos="519" w:val="left" w:leader="none"/>
              </w:tabs>
              <w:spacing w:before="44"/>
              <w:ind w:right="77"/>
              <w:jc w:val="right"/>
              <w:rPr>
                <w:sz w:val="16"/>
              </w:rPr>
            </w:pPr>
            <w:r>
              <w:rPr>
                <w:color w:val="231F20"/>
                <w:sz w:val="16"/>
              </w:rPr>
              <w:t>$</w:t>
              <w:tab/>
            </w:r>
            <w:r>
              <w:rPr>
                <w:color w:val="231F20"/>
                <w:spacing w:val="-1"/>
                <w:sz w:val="16"/>
              </w:rPr>
              <w:t>2,883</w:t>
            </w:r>
          </w:p>
        </w:tc>
        <w:tc>
          <w:tcPr>
            <w:tcW w:w="100" w:type="dxa"/>
            <w:shd w:val="clear" w:color="auto" w:fill="CCECFC"/>
          </w:tcPr>
          <w:p>
            <w:pPr/>
          </w:p>
        </w:tc>
        <w:tc>
          <w:tcPr>
            <w:tcW w:w="960" w:type="dxa"/>
            <w:shd w:val="clear" w:color="auto" w:fill="CCECFC"/>
          </w:tcPr>
          <w:p>
            <w:pPr>
              <w:pStyle w:val="TableParagraph"/>
              <w:tabs>
                <w:tab w:pos="519" w:val="left" w:leader="none"/>
              </w:tabs>
              <w:spacing w:before="44"/>
              <w:ind w:right="77"/>
              <w:jc w:val="right"/>
              <w:rPr>
                <w:sz w:val="16"/>
              </w:rPr>
            </w:pPr>
            <w:r>
              <w:rPr>
                <w:color w:val="231F20"/>
                <w:sz w:val="16"/>
              </w:rPr>
              <w:t>$</w:t>
              <w:tab/>
            </w:r>
            <w:r>
              <w:rPr>
                <w:color w:val="231F20"/>
                <w:spacing w:val="-1"/>
                <w:sz w:val="16"/>
              </w:rPr>
              <w:t>3,107</w:t>
            </w:r>
          </w:p>
        </w:tc>
        <w:tc>
          <w:tcPr>
            <w:tcW w:w="100" w:type="dxa"/>
            <w:shd w:val="clear" w:color="auto" w:fill="CCECFC"/>
          </w:tcPr>
          <w:p>
            <w:pPr/>
          </w:p>
        </w:tc>
        <w:tc>
          <w:tcPr>
            <w:tcW w:w="1013" w:type="dxa"/>
            <w:shd w:val="clear" w:color="auto" w:fill="CCECFC"/>
          </w:tcPr>
          <w:p>
            <w:pPr>
              <w:pStyle w:val="TableParagraph"/>
              <w:tabs>
                <w:tab w:pos="519" w:val="left" w:leader="none"/>
              </w:tabs>
              <w:spacing w:before="44"/>
              <w:ind w:right="131"/>
              <w:jc w:val="right"/>
              <w:rPr>
                <w:sz w:val="16"/>
              </w:rPr>
            </w:pPr>
            <w:r>
              <w:rPr>
                <w:color w:val="231F20"/>
                <w:sz w:val="16"/>
              </w:rPr>
              <w:t>$</w:t>
              <w:tab/>
            </w:r>
            <w:r>
              <w:rPr>
                <w:color w:val="231F20"/>
                <w:spacing w:val="-1"/>
                <w:sz w:val="16"/>
              </w:rPr>
              <w:t>2,875</w:t>
            </w:r>
          </w:p>
        </w:tc>
      </w:tr>
      <w:tr>
        <w:trPr>
          <w:trHeight w:val="229" w:hRule="exact"/>
        </w:trPr>
        <w:tc>
          <w:tcPr>
            <w:tcW w:w="3880" w:type="dxa"/>
          </w:tcPr>
          <w:p>
            <w:pPr>
              <w:pStyle w:val="TableParagraph"/>
              <w:spacing w:before="44"/>
              <w:ind w:left="220"/>
              <w:rPr>
                <w:sz w:val="16"/>
              </w:rPr>
            </w:pPr>
            <w:r>
              <w:rPr>
                <w:color w:val="231F20"/>
                <w:sz w:val="16"/>
              </w:rPr>
              <w:t>Stockholders’ equity at period-end</w:t>
            </w:r>
          </w:p>
        </w:tc>
        <w:tc>
          <w:tcPr>
            <w:tcW w:w="960" w:type="dxa"/>
          </w:tcPr>
          <w:p>
            <w:pPr>
              <w:pStyle w:val="TableParagraph"/>
              <w:tabs>
                <w:tab w:pos="519" w:val="left" w:leader="none"/>
              </w:tabs>
              <w:spacing w:before="44"/>
              <w:ind w:right="77"/>
              <w:jc w:val="right"/>
              <w:rPr>
                <w:sz w:val="16"/>
              </w:rPr>
            </w:pPr>
            <w:r>
              <w:rPr>
                <w:color w:val="231F20"/>
                <w:sz w:val="16"/>
              </w:rPr>
              <w:t>$</w:t>
              <w:tab/>
            </w:r>
            <w:r>
              <w:rPr>
                <w:color w:val="231F20"/>
                <w:spacing w:val="-1"/>
                <w:sz w:val="16"/>
              </w:rPr>
              <w:t>6,775</w:t>
            </w:r>
          </w:p>
        </w:tc>
        <w:tc>
          <w:tcPr>
            <w:tcW w:w="100" w:type="dxa"/>
          </w:tcPr>
          <w:p>
            <w:pPr/>
          </w:p>
        </w:tc>
        <w:tc>
          <w:tcPr>
            <w:tcW w:w="960" w:type="dxa"/>
          </w:tcPr>
          <w:p>
            <w:pPr>
              <w:pStyle w:val="TableParagraph"/>
              <w:tabs>
                <w:tab w:pos="519" w:val="left" w:leader="none"/>
              </w:tabs>
              <w:spacing w:before="44"/>
              <w:ind w:right="77"/>
              <w:jc w:val="right"/>
              <w:rPr>
                <w:sz w:val="16"/>
              </w:rPr>
            </w:pPr>
            <w:r>
              <w:rPr>
                <w:color w:val="231F20"/>
                <w:sz w:val="16"/>
              </w:rPr>
              <w:t>$</w:t>
              <w:tab/>
            </w:r>
            <w:r>
              <w:rPr>
                <w:color w:val="231F20"/>
                <w:spacing w:val="-1"/>
                <w:sz w:val="16"/>
              </w:rPr>
              <w:t>7,336</w:t>
            </w:r>
          </w:p>
        </w:tc>
        <w:tc>
          <w:tcPr>
            <w:tcW w:w="100" w:type="dxa"/>
          </w:tcPr>
          <w:p>
            <w:pPr/>
          </w:p>
        </w:tc>
        <w:tc>
          <w:tcPr>
            <w:tcW w:w="960" w:type="dxa"/>
          </w:tcPr>
          <w:p>
            <w:pPr>
              <w:pStyle w:val="TableParagraph"/>
              <w:tabs>
                <w:tab w:pos="519" w:val="left" w:leader="none"/>
              </w:tabs>
              <w:spacing w:before="44"/>
              <w:ind w:right="77"/>
              <w:jc w:val="right"/>
              <w:rPr>
                <w:sz w:val="16"/>
              </w:rPr>
            </w:pPr>
            <w:r>
              <w:rPr>
                <w:color w:val="231F20"/>
                <w:sz w:val="16"/>
              </w:rPr>
              <w:t>$</w:t>
              <w:tab/>
            </w:r>
            <w:r>
              <w:rPr>
                <w:color w:val="231F20"/>
                <w:spacing w:val="-1"/>
                <w:sz w:val="16"/>
              </w:rPr>
              <w:t>6,992</w:t>
            </w:r>
          </w:p>
        </w:tc>
        <w:tc>
          <w:tcPr>
            <w:tcW w:w="100" w:type="dxa"/>
          </w:tcPr>
          <w:p>
            <w:pPr/>
          </w:p>
        </w:tc>
        <w:tc>
          <w:tcPr>
            <w:tcW w:w="960" w:type="dxa"/>
          </w:tcPr>
          <w:p>
            <w:pPr>
              <w:pStyle w:val="TableParagraph"/>
              <w:tabs>
                <w:tab w:pos="519" w:val="left" w:leader="none"/>
              </w:tabs>
              <w:spacing w:before="44"/>
              <w:ind w:right="77"/>
              <w:jc w:val="right"/>
              <w:rPr>
                <w:sz w:val="16"/>
              </w:rPr>
            </w:pPr>
            <w:r>
              <w:rPr>
                <w:color w:val="231F20"/>
                <w:sz w:val="16"/>
              </w:rPr>
              <w:t>$</w:t>
              <w:tab/>
            </w:r>
            <w:r>
              <w:rPr>
                <w:color w:val="231F20"/>
                <w:spacing w:val="-1"/>
                <w:sz w:val="16"/>
              </w:rPr>
              <w:t>6,877</w:t>
            </w:r>
          </w:p>
        </w:tc>
        <w:tc>
          <w:tcPr>
            <w:tcW w:w="100" w:type="dxa"/>
          </w:tcPr>
          <w:p>
            <w:pPr/>
          </w:p>
        </w:tc>
        <w:tc>
          <w:tcPr>
            <w:tcW w:w="1013" w:type="dxa"/>
          </w:tcPr>
          <w:p>
            <w:pPr>
              <w:pStyle w:val="TableParagraph"/>
              <w:tabs>
                <w:tab w:pos="519" w:val="left" w:leader="none"/>
              </w:tabs>
              <w:spacing w:before="44"/>
              <w:ind w:right="131"/>
              <w:jc w:val="right"/>
              <w:rPr>
                <w:sz w:val="16"/>
              </w:rPr>
            </w:pPr>
            <w:r>
              <w:rPr>
                <w:color w:val="231F20"/>
                <w:sz w:val="16"/>
              </w:rPr>
              <w:t>$</w:t>
              <w:tab/>
            </w:r>
            <w:r>
              <w:rPr>
                <w:color w:val="231F20"/>
                <w:spacing w:val="-1"/>
                <w:sz w:val="16"/>
              </w:rPr>
              <w:t>6,237</w:t>
            </w:r>
          </w:p>
        </w:tc>
      </w:tr>
      <w:tr>
        <w:trPr>
          <w:trHeight w:val="292" w:hRule="exact"/>
        </w:trPr>
        <w:tc>
          <w:tcPr>
            <w:tcW w:w="9133" w:type="dxa"/>
            <w:gridSpan w:val="10"/>
          </w:tcPr>
          <w:p>
            <w:pPr>
              <w:pStyle w:val="TableParagraph"/>
              <w:tabs>
                <w:tab w:pos="9119" w:val="left" w:leader="none"/>
              </w:tabs>
              <w:spacing w:before="69"/>
              <w:rPr>
                <w:b/>
                <w:sz w:val="16"/>
              </w:rPr>
            </w:pPr>
            <w:r>
              <w:rPr>
                <w:b/>
                <w:color w:val="231F20"/>
                <w:sz w:val="16"/>
                <w:shd w:fill="CCECFC" w:color="auto" w:val="clear"/>
              </w:rPr>
              <w:t> </w:t>
            </w:r>
            <w:r>
              <w:rPr>
                <w:b/>
                <w:color w:val="231F20"/>
                <w:spacing w:val="-20"/>
                <w:sz w:val="16"/>
                <w:shd w:fill="CCECFC" w:color="auto" w:val="clear"/>
              </w:rPr>
              <w:t> </w:t>
            </w:r>
            <w:r>
              <w:rPr>
                <w:b/>
                <w:color w:val="231F20"/>
                <w:sz w:val="16"/>
                <w:shd w:fill="CCECFC" w:color="auto" w:val="clear"/>
              </w:rPr>
              <w:t>Operating</w:t>
            </w:r>
            <w:r>
              <w:rPr>
                <w:b/>
                <w:color w:val="231F20"/>
                <w:spacing w:val="-2"/>
                <w:sz w:val="16"/>
                <w:shd w:fill="CCECFC" w:color="auto" w:val="clear"/>
              </w:rPr>
              <w:t> </w:t>
            </w:r>
            <w:r>
              <w:rPr>
                <w:b/>
                <w:color w:val="231F20"/>
                <w:sz w:val="16"/>
                <w:shd w:fill="CCECFC" w:color="auto" w:val="clear"/>
              </w:rPr>
              <w:t>Data:</w:t>
              <w:tab/>
            </w:r>
          </w:p>
        </w:tc>
      </w:tr>
      <w:tr>
        <w:trPr>
          <w:trHeight w:val="241" w:hRule="exact"/>
        </w:trPr>
        <w:tc>
          <w:tcPr>
            <w:tcW w:w="3880" w:type="dxa"/>
          </w:tcPr>
          <w:p>
            <w:pPr>
              <w:pStyle w:val="TableParagraph"/>
              <w:spacing w:before="32"/>
              <w:ind w:left="220"/>
              <w:rPr>
                <w:sz w:val="16"/>
              </w:rPr>
            </w:pPr>
            <w:r>
              <w:rPr>
                <w:color w:val="231F20"/>
                <w:sz w:val="16"/>
              </w:rPr>
              <w:t>Revenue passengers carried</w:t>
            </w:r>
          </w:p>
        </w:tc>
        <w:tc>
          <w:tcPr>
            <w:tcW w:w="960" w:type="dxa"/>
          </w:tcPr>
          <w:p>
            <w:pPr>
              <w:pStyle w:val="TableParagraph"/>
              <w:spacing w:before="32"/>
              <w:ind w:right="79"/>
              <w:jc w:val="right"/>
              <w:rPr>
                <w:sz w:val="16"/>
              </w:rPr>
            </w:pPr>
            <w:r>
              <w:rPr>
                <w:color w:val="231F20"/>
                <w:sz w:val="16"/>
              </w:rPr>
              <w:t>110,496,912</w:t>
            </w:r>
          </w:p>
        </w:tc>
        <w:tc>
          <w:tcPr>
            <w:tcW w:w="1060" w:type="dxa"/>
            <w:gridSpan w:val="2"/>
          </w:tcPr>
          <w:p>
            <w:pPr>
              <w:pStyle w:val="TableParagraph"/>
              <w:spacing w:before="32"/>
              <w:ind w:left="180"/>
              <w:rPr>
                <w:sz w:val="16"/>
              </w:rPr>
            </w:pPr>
            <w:r>
              <w:rPr>
                <w:color w:val="231F20"/>
                <w:sz w:val="16"/>
              </w:rPr>
              <w:t>108,075,976</w:t>
            </w:r>
          </w:p>
        </w:tc>
        <w:tc>
          <w:tcPr>
            <w:tcW w:w="1060" w:type="dxa"/>
            <w:gridSpan w:val="2"/>
          </w:tcPr>
          <w:p>
            <w:pPr>
              <w:pStyle w:val="TableParagraph"/>
              <w:spacing w:before="32"/>
              <w:ind w:left="180"/>
              <w:rPr>
                <w:sz w:val="16"/>
              </w:rPr>
            </w:pPr>
            <w:r>
              <w:rPr>
                <w:color w:val="231F20"/>
                <w:sz w:val="16"/>
              </w:rPr>
              <w:t>109,346,509</w:t>
            </w:r>
          </w:p>
        </w:tc>
        <w:tc>
          <w:tcPr>
            <w:tcW w:w="1060" w:type="dxa"/>
            <w:gridSpan w:val="2"/>
          </w:tcPr>
          <w:p>
            <w:pPr>
              <w:pStyle w:val="TableParagraph"/>
              <w:spacing w:before="32"/>
              <w:ind w:left="180"/>
              <w:rPr>
                <w:sz w:val="16"/>
              </w:rPr>
            </w:pPr>
            <w:r>
              <w:rPr>
                <w:color w:val="231F20"/>
                <w:sz w:val="16"/>
              </w:rPr>
              <w:t>103,973,759</w:t>
            </w:r>
          </w:p>
        </w:tc>
        <w:tc>
          <w:tcPr>
            <w:tcW w:w="1113" w:type="dxa"/>
            <w:gridSpan w:val="2"/>
          </w:tcPr>
          <w:p>
            <w:pPr>
              <w:pStyle w:val="TableParagraph"/>
              <w:spacing w:before="32"/>
              <w:ind w:left="260"/>
              <w:rPr>
                <w:sz w:val="16"/>
              </w:rPr>
            </w:pPr>
            <w:r>
              <w:rPr>
                <w:color w:val="231F20"/>
                <w:sz w:val="16"/>
              </w:rPr>
              <w:t>88,191,322</w:t>
            </w:r>
          </w:p>
        </w:tc>
      </w:tr>
      <w:tr>
        <w:trPr>
          <w:trHeight w:val="254" w:hRule="exact"/>
        </w:trPr>
        <w:tc>
          <w:tcPr>
            <w:tcW w:w="3880" w:type="dxa"/>
            <w:shd w:val="clear" w:color="auto" w:fill="CCECFC"/>
          </w:tcPr>
          <w:p>
            <w:pPr>
              <w:pStyle w:val="TableParagraph"/>
              <w:spacing w:before="44"/>
              <w:ind w:left="220"/>
              <w:rPr>
                <w:sz w:val="16"/>
              </w:rPr>
            </w:pPr>
            <w:r>
              <w:rPr>
                <w:color w:val="231F20"/>
                <w:sz w:val="16"/>
              </w:rPr>
              <w:t>Enplaned passengers</w:t>
            </w:r>
          </w:p>
        </w:tc>
        <w:tc>
          <w:tcPr>
            <w:tcW w:w="960" w:type="dxa"/>
            <w:shd w:val="clear" w:color="auto" w:fill="CCECFC"/>
          </w:tcPr>
          <w:p>
            <w:pPr>
              <w:pStyle w:val="TableParagraph"/>
              <w:spacing w:before="44"/>
              <w:ind w:right="77"/>
              <w:jc w:val="right"/>
              <w:rPr>
                <w:sz w:val="16"/>
              </w:rPr>
            </w:pPr>
            <w:r>
              <w:rPr>
                <w:color w:val="231F20"/>
                <w:sz w:val="16"/>
              </w:rPr>
              <w:t>135,767,188</w:t>
            </w:r>
          </w:p>
        </w:tc>
        <w:tc>
          <w:tcPr>
            <w:tcW w:w="1060" w:type="dxa"/>
            <w:gridSpan w:val="2"/>
            <w:shd w:val="clear" w:color="auto" w:fill="CCECFC"/>
          </w:tcPr>
          <w:p>
            <w:pPr>
              <w:pStyle w:val="TableParagraph"/>
              <w:spacing w:before="44"/>
              <w:ind w:left="180"/>
              <w:rPr>
                <w:sz w:val="16"/>
              </w:rPr>
            </w:pPr>
            <w:r>
              <w:rPr>
                <w:color w:val="231F20"/>
                <w:sz w:val="16"/>
              </w:rPr>
              <w:t>133,155,030</w:t>
            </w:r>
          </w:p>
        </w:tc>
        <w:tc>
          <w:tcPr>
            <w:tcW w:w="1060" w:type="dxa"/>
            <w:gridSpan w:val="2"/>
            <w:shd w:val="clear" w:color="auto" w:fill="CCECFC"/>
          </w:tcPr>
          <w:p>
            <w:pPr>
              <w:pStyle w:val="TableParagraph"/>
              <w:spacing w:before="44"/>
              <w:ind w:left="180"/>
              <w:rPr>
                <w:sz w:val="16"/>
              </w:rPr>
            </w:pPr>
            <w:r>
              <w:rPr>
                <w:color w:val="231F20"/>
                <w:sz w:val="16"/>
              </w:rPr>
              <w:t>133,978,100</w:t>
            </w:r>
          </w:p>
        </w:tc>
        <w:tc>
          <w:tcPr>
            <w:tcW w:w="1060" w:type="dxa"/>
            <w:gridSpan w:val="2"/>
            <w:shd w:val="clear" w:color="auto" w:fill="CCECFC"/>
          </w:tcPr>
          <w:p>
            <w:pPr>
              <w:pStyle w:val="TableParagraph"/>
              <w:spacing w:before="44"/>
              <w:ind w:left="180"/>
              <w:rPr>
                <w:sz w:val="16"/>
              </w:rPr>
            </w:pPr>
            <w:r>
              <w:rPr>
                <w:color w:val="231F20"/>
                <w:sz w:val="16"/>
              </w:rPr>
              <w:t>127,551,012</w:t>
            </w:r>
          </w:p>
        </w:tc>
        <w:tc>
          <w:tcPr>
            <w:tcW w:w="1113" w:type="dxa"/>
            <w:gridSpan w:val="2"/>
            <w:shd w:val="clear" w:color="auto" w:fill="CCECFC"/>
          </w:tcPr>
          <w:p>
            <w:pPr>
              <w:pStyle w:val="TableParagraph"/>
              <w:spacing w:before="44"/>
              <w:ind w:left="180"/>
              <w:rPr>
                <w:sz w:val="16"/>
              </w:rPr>
            </w:pPr>
            <w:r>
              <w:rPr>
                <w:color w:val="231F20"/>
                <w:sz w:val="16"/>
              </w:rPr>
              <w:t>106,227,521</w:t>
            </w:r>
          </w:p>
        </w:tc>
      </w:tr>
      <w:tr>
        <w:trPr>
          <w:trHeight w:val="254" w:hRule="exact"/>
        </w:trPr>
        <w:tc>
          <w:tcPr>
            <w:tcW w:w="3880" w:type="dxa"/>
          </w:tcPr>
          <w:p>
            <w:pPr>
              <w:pStyle w:val="TableParagraph"/>
              <w:spacing w:before="44"/>
              <w:ind w:left="220"/>
              <w:rPr>
                <w:sz w:val="16"/>
              </w:rPr>
            </w:pPr>
            <w:r>
              <w:rPr>
                <w:color w:val="231F20"/>
                <w:sz w:val="16"/>
              </w:rPr>
              <w:t>Revenue passenger miles (RPMs) (000s) (1)</w:t>
            </w:r>
          </w:p>
        </w:tc>
        <w:tc>
          <w:tcPr>
            <w:tcW w:w="960" w:type="dxa"/>
          </w:tcPr>
          <w:p>
            <w:pPr>
              <w:pStyle w:val="TableParagraph"/>
              <w:spacing w:before="44"/>
              <w:ind w:right="77"/>
              <w:jc w:val="right"/>
              <w:rPr>
                <w:sz w:val="16"/>
              </w:rPr>
            </w:pPr>
            <w:r>
              <w:rPr>
                <w:color w:val="231F20"/>
                <w:sz w:val="16"/>
              </w:rPr>
              <w:t>108,035,133</w:t>
            </w:r>
          </w:p>
        </w:tc>
        <w:tc>
          <w:tcPr>
            <w:tcW w:w="1060" w:type="dxa"/>
            <w:gridSpan w:val="2"/>
          </w:tcPr>
          <w:p>
            <w:pPr>
              <w:pStyle w:val="TableParagraph"/>
              <w:spacing w:before="44"/>
              <w:ind w:left="180"/>
              <w:rPr>
                <w:sz w:val="16"/>
              </w:rPr>
            </w:pPr>
            <w:r>
              <w:rPr>
                <w:color w:val="231F20"/>
                <w:sz w:val="16"/>
              </w:rPr>
              <w:t>104,348,216</w:t>
            </w:r>
          </w:p>
        </w:tc>
        <w:tc>
          <w:tcPr>
            <w:tcW w:w="1060" w:type="dxa"/>
            <w:gridSpan w:val="2"/>
          </w:tcPr>
          <w:p>
            <w:pPr>
              <w:pStyle w:val="TableParagraph"/>
              <w:spacing w:before="44"/>
              <w:ind w:left="180"/>
              <w:rPr>
                <w:sz w:val="16"/>
              </w:rPr>
            </w:pPr>
            <w:r>
              <w:rPr>
                <w:color w:val="231F20"/>
                <w:sz w:val="16"/>
              </w:rPr>
              <w:t>102,874,979</w:t>
            </w:r>
          </w:p>
        </w:tc>
        <w:tc>
          <w:tcPr>
            <w:tcW w:w="1060" w:type="dxa"/>
            <w:gridSpan w:val="2"/>
          </w:tcPr>
          <w:p>
            <w:pPr>
              <w:pStyle w:val="TableParagraph"/>
              <w:spacing w:before="44"/>
              <w:ind w:left="260"/>
              <w:rPr>
                <w:sz w:val="16"/>
              </w:rPr>
            </w:pPr>
            <w:r>
              <w:rPr>
                <w:color w:val="231F20"/>
                <w:sz w:val="16"/>
              </w:rPr>
              <w:t>97,582,530</w:t>
            </w:r>
          </w:p>
        </w:tc>
        <w:tc>
          <w:tcPr>
            <w:tcW w:w="1113" w:type="dxa"/>
            <w:gridSpan w:val="2"/>
          </w:tcPr>
          <w:p>
            <w:pPr>
              <w:pStyle w:val="TableParagraph"/>
              <w:spacing w:before="44"/>
              <w:ind w:left="260"/>
              <w:rPr>
                <w:sz w:val="16"/>
              </w:rPr>
            </w:pPr>
            <w:r>
              <w:rPr>
                <w:color w:val="231F20"/>
                <w:sz w:val="16"/>
              </w:rPr>
              <w:t>78,046,967</w:t>
            </w:r>
          </w:p>
        </w:tc>
      </w:tr>
      <w:tr>
        <w:trPr>
          <w:trHeight w:val="254" w:hRule="exact"/>
        </w:trPr>
        <w:tc>
          <w:tcPr>
            <w:tcW w:w="3880" w:type="dxa"/>
            <w:shd w:val="clear" w:color="auto" w:fill="CCECFC"/>
          </w:tcPr>
          <w:p>
            <w:pPr>
              <w:pStyle w:val="TableParagraph"/>
              <w:spacing w:before="44"/>
              <w:ind w:left="220"/>
              <w:rPr>
                <w:sz w:val="16"/>
              </w:rPr>
            </w:pPr>
            <w:r>
              <w:rPr>
                <w:color w:val="231F20"/>
                <w:sz w:val="16"/>
              </w:rPr>
              <w:t>Available seat miles (ASMs) (000s) (2)</w:t>
            </w:r>
          </w:p>
        </w:tc>
        <w:tc>
          <w:tcPr>
            <w:tcW w:w="960" w:type="dxa"/>
            <w:shd w:val="clear" w:color="auto" w:fill="CCECFC"/>
          </w:tcPr>
          <w:p>
            <w:pPr>
              <w:pStyle w:val="TableParagraph"/>
              <w:spacing w:before="44"/>
              <w:ind w:right="77"/>
              <w:jc w:val="right"/>
              <w:rPr>
                <w:sz w:val="16"/>
              </w:rPr>
            </w:pPr>
            <w:r>
              <w:rPr>
                <w:color w:val="231F20"/>
                <w:sz w:val="16"/>
              </w:rPr>
              <w:t>131,003,957</w:t>
            </w:r>
          </w:p>
        </w:tc>
        <w:tc>
          <w:tcPr>
            <w:tcW w:w="1060" w:type="dxa"/>
            <w:gridSpan w:val="2"/>
            <w:shd w:val="clear" w:color="auto" w:fill="CCECFC"/>
          </w:tcPr>
          <w:p>
            <w:pPr>
              <w:pStyle w:val="TableParagraph"/>
              <w:spacing w:before="44"/>
              <w:ind w:left="180"/>
              <w:rPr>
                <w:sz w:val="16"/>
              </w:rPr>
            </w:pPr>
            <w:r>
              <w:rPr>
                <w:color w:val="231F20"/>
                <w:sz w:val="16"/>
              </w:rPr>
              <w:t>130,344,072</w:t>
            </w:r>
          </w:p>
        </w:tc>
        <w:tc>
          <w:tcPr>
            <w:tcW w:w="1060" w:type="dxa"/>
            <w:gridSpan w:val="2"/>
            <w:shd w:val="clear" w:color="auto" w:fill="CCECFC"/>
          </w:tcPr>
          <w:p>
            <w:pPr>
              <w:pStyle w:val="TableParagraph"/>
              <w:spacing w:before="44"/>
              <w:ind w:left="180"/>
              <w:rPr>
                <w:sz w:val="16"/>
              </w:rPr>
            </w:pPr>
            <w:r>
              <w:rPr>
                <w:color w:val="231F20"/>
                <w:sz w:val="16"/>
              </w:rPr>
              <w:t>128,137,110</w:t>
            </w:r>
          </w:p>
        </w:tc>
        <w:tc>
          <w:tcPr>
            <w:tcW w:w="1060" w:type="dxa"/>
            <w:gridSpan w:val="2"/>
            <w:shd w:val="clear" w:color="auto" w:fill="CCECFC"/>
          </w:tcPr>
          <w:p>
            <w:pPr>
              <w:pStyle w:val="TableParagraph"/>
              <w:spacing w:before="44"/>
              <w:ind w:left="180"/>
              <w:rPr>
                <w:sz w:val="16"/>
              </w:rPr>
            </w:pPr>
            <w:r>
              <w:rPr>
                <w:color w:val="231F20"/>
                <w:sz w:val="16"/>
              </w:rPr>
              <w:t>120,578,736</w:t>
            </w:r>
          </w:p>
        </w:tc>
        <w:tc>
          <w:tcPr>
            <w:tcW w:w="1113" w:type="dxa"/>
            <w:gridSpan w:val="2"/>
            <w:shd w:val="clear" w:color="auto" w:fill="CCECFC"/>
          </w:tcPr>
          <w:p>
            <w:pPr>
              <w:pStyle w:val="TableParagraph"/>
              <w:spacing w:before="44"/>
              <w:ind w:left="260"/>
              <w:rPr>
                <w:sz w:val="16"/>
              </w:rPr>
            </w:pPr>
            <w:r>
              <w:rPr>
                <w:color w:val="231F20"/>
                <w:sz w:val="16"/>
              </w:rPr>
              <w:t>98,437,092</w:t>
            </w:r>
          </w:p>
        </w:tc>
      </w:tr>
      <w:tr>
        <w:trPr>
          <w:trHeight w:val="254" w:hRule="exact"/>
        </w:trPr>
        <w:tc>
          <w:tcPr>
            <w:tcW w:w="3880" w:type="dxa"/>
          </w:tcPr>
          <w:p>
            <w:pPr>
              <w:pStyle w:val="TableParagraph"/>
              <w:spacing w:before="44"/>
              <w:ind w:left="220"/>
              <w:rPr>
                <w:sz w:val="16"/>
              </w:rPr>
            </w:pPr>
            <w:r>
              <w:rPr>
                <w:color w:val="231F20"/>
                <w:sz w:val="16"/>
              </w:rPr>
              <w:t>Load factor (3)</w:t>
            </w:r>
          </w:p>
        </w:tc>
        <w:tc>
          <w:tcPr>
            <w:tcW w:w="5253" w:type="dxa"/>
            <w:gridSpan w:val="9"/>
          </w:tcPr>
          <w:p>
            <w:pPr>
              <w:pStyle w:val="TableParagraph"/>
              <w:tabs>
                <w:tab w:pos="1659" w:val="left" w:leader="none"/>
                <w:tab w:pos="2719" w:val="left" w:leader="none"/>
                <w:tab w:pos="3779" w:val="left" w:leader="none"/>
                <w:tab w:pos="4839" w:val="left" w:leader="none"/>
              </w:tabs>
              <w:spacing w:before="44"/>
              <w:ind w:left="600"/>
              <w:rPr>
                <w:sz w:val="16"/>
              </w:rPr>
            </w:pPr>
            <w:r>
              <w:rPr>
                <w:color w:val="231F20"/>
                <w:sz w:val="16"/>
              </w:rPr>
              <w:t>82.5%</w:t>
              <w:tab/>
              <w:t>80.1%</w:t>
              <w:tab/>
              <w:t>80.3%</w:t>
              <w:tab/>
              <w:t>80.9%</w:t>
              <w:tab/>
              <w:t>79.3%</w:t>
            </w:r>
          </w:p>
        </w:tc>
      </w:tr>
      <w:tr>
        <w:trPr>
          <w:trHeight w:val="254" w:hRule="exact"/>
        </w:trPr>
        <w:tc>
          <w:tcPr>
            <w:tcW w:w="3880" w:type="dxa"/>
            <w:shd w:val="clear" w:color="auto" w:fill="CCECFC"/>
          </w:tcPr>
          <w:p>
            <w:pPr>
              <w:pStyle w:val="TableParagraph"/>
              <w:spacing w:before="44"/>
              <w:ind w:left="220"/>
              <w:rPr>
                <w:sz w:val="16"/>
              </w:rPr>
            </w:pPr>
            <w:r>
              <w:rPr>
                <w:color w:val="231F20"/>
                <w:sz w:val="16"/>
              </w:rPr>
              <w:t>Average length of passenger haul (miles)</w:t>
            </w:r>
          </w:p>
        </w:tc>
        <w:tc>
          <w:tcPr>
            <w:tcW w:w="960" w:type="dxa"/>
            <w:shd w:val="clear" w:color="auto" w:fill="CCECFC"/>
          </w:tcPr>
          <w:p>
            <w:pPr>
              <w:pStyle w:val="TableParagraph"/>
              <w:spacing w:before="44"/>
              <w:ind w:right="77"/>
              <w:jc w:val="right"/>
              <w:rPr>
                <w:sz w:val="16"/>
              </w:rPr>
            </w:pPr>
            <w:r>
              <w:rPr>
                <w:color w:val="231F20"/>
                <w:sz w:val="16"/>
              </w:rPr>
              <w:t>978</w:t>
            </w:r>
          </w:p>
        </w:tc>
        <w:tc>
          <w:tcPr>
            <w:tcW w:w="1060" w:type="dxa"/>
            <w:gridSpan w:val="2"/>
            <w:shd w:val="clear" w:color="auto" w:fill="CCECFC"/>
          </w:tcPr>
          <w:p>
            <w:pPr>
              <w:pStyle w:val="TableParagraph"/>
              <w:spacing w:before="44"/>
              <w:ind w:right="77"/>
              <w:jc w:val="right"/>
              <w:rPr>
                <w:sz w:val="16"/>
              </w:rPr>
            </w:pPr>
            <w:r>
              <w:rPr>
                <w:color w:val="231F20"/>
                <w:sz w:val="16"/>
              </w:rPr>
              <w:t>966</w:t>
            </w:r>
          </w:p>
        </w:tc>
        <w:tc>
          <w:tcPr>
            <w:tcW w:w="1060" w:type="dxa"/>
            <w:gridSpan w:val="2"/>
            <w:shd w:val="clear" w:color="auto" w:fill="CCECFC"/>
          </w:tcPr>
          <w:p>
            <w:pPr>
              <w:pStyle w:val="TableParagraph"/>
              <w:spacing w:before="44"/>
              <w:ind w:right="77"/>
              <w:jc w:val="right"/>
              <w:rPr>
                <w:sz w:val="16"/>
              </w:rPr>
            </w:pPr>
            <w:r>
              <w:rPr>
                <w:color w:val="231F20"/>
                <w:sz w:val="16"/>
              </w:rPr>
              <w:t>941</w:t>
            </w:r>
          </w:p>
        </w:tc>
        <w:tc>
          <w:tcPr>
            <w:tcW w:w="1060" w:type="dxa"/>
            <w:gridSpan w:val="2"/>
            <w:shd w:val="clear" w:color="auto" w:fill="CCECFC"/>
          </w:tcPr>
          <w:p>
            <w:pPr>
              <w:pStyle w:val="TableParagraph"/>
              <w:spacing w:before="44"/>
              <w:ind w:right="77"/>
              <w:jc w:val="right"/>
              <w:rPr>
                <w:sz w:val="16"/>
              </w:rPr>
            </w:pPr>
            <w:r>
              <w:rPr>
                <w:color w:val="231F20"/>
                <w:sz w:val="16"/>
              </w:rPr>
              <w:t>939</w:t>
            </w:r>
          </w:p>
        </w:tc>
        <w:tc>
          <w:tcPr>
            <w:tcW w:w="1113" w:type="dxa"/>
            <w:gridSpan w:val="2"/>
            <w:shd w:val="clear" w:color="auto" w:fill="CCECFC"/>
          </w:tcPr>
          <w:p>
            <w:pPr>
              <w:pStyle w:val="TableParagraph"/>
              <w:spacing w:before="44"/>
              <w:ind w:left="740"/>
              <w:rPr>
                <w:sz w:val="16"/>
              </w:rPr>
            </w:pPr>
            <w:r>
              <w:rPr>
                <w:color w:val="231F20"/>
                <w:sz w:val="16"/>
              </w:rPr>
              <w:t>885</w:t>
            </w:r>
          </w:p>
        </w:tc>
      </w:tr>
      <w:tr>
        <w:trPr>
          <w:trHeight w:val="254" w:hRule="exact"/>
        </w:trPr>
        <w:tc>
          <w:tcPr>
            <w:tcW w:w="3880" w:type="dxa"/>
          </w:tcPr>
          <w:p>
            <w:pPr>
              <w:pStyle w:val="TableParagraph"/>
              <w:spacing w:before="44"/>
              <w:ind w:left="220"/>
              <w:rPr>
                <w:sz w:val="16"/>
              </w:rPr>
            </w:pPr>
            <w:r>
              <w:rPr>
                <w:color w:val="231F20"/>
                <w:sz w:val="16"/>
              </w:rPr>
              <w:t>Average aircraft stage length (miles)</w:t>
            </w:r>
          </w:p>
        </w:tc>
        <w:tc>
          <w:tcPr>
            <w:tcW w:w="960" w:type="dxa"/>
          </w:tcPr>
          <w:p>
            <w:pPr>
              <w:pStyle w:val="TableParagraph"/>
              <w:spacing w:before="44"/>
              <w:ind w:right="79"/>
              <w:jc w:val="right"/>
              <w:rPr>
                <w:sz w:val="16"/>
              </w:rPr>
            </w:pPr>
            <w:r>
              <w:rPr>
                <w:color w:val="231F20"/>
                <w:sz w:val="16"/>
              </w:rPr>
              <w:t>721</w:t>
            </w:r>
          </w:p>
        </w:tc>
        <w:tc>
          <w:tcPr>
            <w:tcW w:w="1060" w:type="dxa"/>
            <w:gridSpan w:val="2"/>
          </w:tcPr>
          <w:p>
            <w:pPr>
              <w:pStyle w:val="TableParagraph"/>
              <w:spacing w:before="44"/>
              <w:ind w:right="79"/>
              <w:jc w:val="right"/>
              <w:rPr>
                <w:sz w:val="16"/>
              </w:rPr>
            </w:pPr>
            <w:r>
              <w:rPr>
                <w:color w:val="231F20"/>
                <w:sz w:val="16"/>
              </w:rPr>
              <w:t>703</w:t>
            </w:r>
          </w:p>
        </w:tc>
        <w:tc>
          <w:tcPr>
            <w:tcW w:w="1060" w:type="dxa"/>
            <w:gridSpan w:val="2"/>
          </w:tcPr>
          <w:p>
            <w:pPr>
              <w:pStyle w:val="TableParagraph"/>
              <w:spacing w:before="44"/>
              <w:ind w:right="79"/>
              <w:jc w:val="right"/>
              <w:rPr>
                <w:sz w:val="16"/>
              </w:rPr>
            </w:pPr>
            <w:r>
              <w:rPr>
                <w:color w:val="231F20"/>
                <w:sz w:val="16"/>
              </w:rPr>
              <w:t>693</w:t>
            </w:r>
          </w:p>
        </w:tc>
        <w:tc>
          <w:tcPr>
            <w:tcW w:w="1060" w:type="dxa"/>
            <w:gridSpan w:val="2"/>
          </w:tcPr>
          <w:p>
            <w:pPr>
              <w:pStyle w:val="TableParagraph"/>
              <w:spacing w:before="44"/>
              <w:ind w:right="79"/>
              <w:jc w:val="right"/>
              <w:rPr>
                <w:sz w:val="16"/>
              </w:rPr>
            </w:pPr>
            <w:r>
              <w:rPr>
                <w:color w:val="231F20"/>
                <w:sz w:val="16"/>
              </w:rPr>
              <w:t>679</w:t>
            </w:r>
          </w:p>
        </w:tc>
        <w:tc>
          <w:tcPr>
            <w:tcW w:w="1113" w:type="dxa"/>
            <w:gridSpan w:val="2"/>
          </w:tcPr>
          <w:p>
            <w:pPr>
              <w:pStyle w:val="TableParagraph"/>
              <w:spacing w:before="44"/>
              <w:ind w:left="740"/>
              <w:rPr>
                <w:sz w:val="16"/>
              </w:rPr>
            </w:pPr>
            <w:r>
              <w:rPr>
                <w:color w:val="231F20"/>
                <w:sz w:val="16"/>
              </w:rPr>
              <w:t>648</w:t>
            </w:r>
          </w:p>
        </w:tc>
      </w:tr>
      <w:tr>
        <w:trPr>
          <w:trHeight w:val="254" w:hRule="exact"/>
        </w:trPr>
        <w:tc>
          <w:tcPr>
            <w:tcW w:w="3880" w:type="dxa"/>
            <w:shd w:val="clear" w:color="auto" w:fill="CCECFC"/>
          </w:tcPr>
          <w:p>
            <w:pPr>
              <w:pStyle w:val="TableParagraph"/>
              <w:spacing w:before="44"/>
              <w:ind w:left="220"/>
              <w:rPr>
                <w:sz w:val="16"/>
              </w:rPr>
            </w:pPr>
            <w:r>
              <w:rPr>
                <w:color w:val="231F20"/>
                <w:sz w:val="16"/>
              </w:rPr>
              <w:t>Trips flown</w:t>
            </w:r>
          </w:p>
        </w:tc>
        <w:tc>
          <w:tcPr>
            <w:tcW w:w="960" w:type="dxa"/>
            <w:shd w:val="clear" w:color="auto" w:fill="CCECFC"/>
          </w:tcPr>
          <w:p>
            <w:pPr>
              <w:pStyle w:val="TableParagraph"/>
              <w:spacing w:before="44"/>
              <w:ind w:right="79"/>
              <w:jc w:val="right"/>
              <w:rPr>
                <w:sz w:val="16"/>
              </w:rPr>
            </w:pPr>
            <w:r>
              <w:rPr>
                <w:color w:val="231F20"/>
                <w:sz w:val="16"/>
              </w:rPr>
              <w:t>1,255,502</w:t>
            </w:r>
          </w:p>
        </w:tc>
        <w:tc>
          <w:tcPr>
            <w:tcW w:w="1060" w:type="dxa"/>
            <w:gridSpan w:val="2"/>
            <w:shd w:val="clear" w:color="auto" w:fill="CCECFC"/>
          </w:tcPr>
          <w:p>
            <w:pPr>
              <w:pStyle w:val="TableParagraph"/>
              <w:spacing w:before="44"/>
              <w:ind w:left="340"/>
              <w:rPr>
                <w:sz w:val="16"/>
              </w:rPr>
            </w:pPr>
            <w:r>
              <w:rPr>
                <w:color w:val="231F20"/>
                <w:sz w:val="16"/>
              </w:rPr>
              <w:t>1,312,785</w:t>
            </w:r>
          </w:p>
        </w:tc>
        <w:tc>
          <w:tcPr>
            <w:tcW w:w="1060" w:type="dxa"/>
            <w:gridSpan w:val="2"/>
            <w:shd w:val="clear" w:color="auto" w:fill="CCECFC"/>
          </w:tcPr>
          <w:p>
            <w:pPr>
              <w:pStyle w:val="TableParagraph"/>
              <w:spacing w:before="44"/>
              <w:ind w:left="340"/>
              <w:rPr>
                <w:sz w:val="16"/>
              </w:rPr>
            </w:pPr>
            <w:r>
              <w:rPr>
                <w:color w:val="231F20"/>
                <w:sz w:val="16"/>
              </w:rPr>
              <w:t>1,361,558</w:t>
            </w:r>
          </w:p>
        </w:tc>
        <w:tc>
          <w:tcPr>
            <w:tcW w:w="1060" w:type="dxa"/>
            <w:gridSpan w:val="2"/>
            <w:shd w:val="clear" w:color="auto" w:fill="CCECFC"/>
          </w:tcPr>
          <w:p>
            <w:pPr>
              <w:pStyle w:val="TableParagraph"/>
              <w:spacing w:before="44"/>
              <w:ind w:left="340"/>
              <w:rPr>
                <w:sz w:val="16"/>
              </w:rPr>
            </w:pPr>
            <w:r>
              <w:rPr>
                <w:color w:val="231F20"/>
                <w:sz w:val="16"/>
              </w:rPr>
              <w:t>1,317,977</w:t>
            </w:r>
          </w:p>
        </w:tc>
        <w:tc>
          <w:tcPr>
            <w:tcW w:w="1113" w:type="dxa"/>
            <w:gridSpan w:val="2"/>
            <w:shd w:val="clear" w:color="auto" w:fill="CCECFC"/>
          </w:tcPr>
          <w:p>
            <w:pPr>
              <w:pStyle w:val="TableParagraph"/>
              <w:spacing w:before="44"/>
              <w:ind w:left="340"/>
              <w:rPr>
                <w:sz w:val="16"/>
              </w:rPr>
            </w:pPr>
            <w:r>
              <w:rPr>
                <w:color w:val="231F20"/>
                <w:sz w:val="16"/>
              </w:rPr>
              <w:t>1,114,451</w:t>
            </w:r>
          </w:p>
        </w:tc>
      </w:tr>
      <w:tr>
        <w:trPr>
          <w:trHeight w:val="254" w:hRule="exact"/>
        </w:trPr>
        <w:tc>
          <w:tcPr>
            <w:tcW w:w="3880" w:type="dxa"/>
          </w:tcPr>
          <w:p>
            <w:pPr>
              <w:pStyle w:val="TableParagraph"/>
              <w:spacing w:before="44"/>
              <w:ind w:left="220"/>
              <w:rPr>
                <w:sz w:val="16"/>
              </w:rPr>
            </w:pPr>
            <w:r>
              <w:rPr>
                <w:color w:val="231F20"/>
                <w:sz w:val="16"/>
              </w:rPr>
              <w:t>Average passenger fare</w:t>
            </w:r>
          </w:p>
        </w:tc>
        <w:tc>
          <w:tcPr>
            <w:tcW w:w="960" w:type="dxa"/>
          </w:tcPr>
          <w:p>
            <w:pPr>
              <w:pStyle w:val="TableParagraph"/>
              <w:tabs>
                <w:tab w:pos="439" w:val="left" w:leader="none"/>
              </w:tabs>
              <w:spacing w:before="44"/>
              <w:ind w:right="79"/>
              <w:jc w:val="right"/>
              <w:rPr>
                <w:sz w:val="16"/>
              </w:rPr>
            </w:pPr>
            <w:r>
              <w:rPr>
                <w:color w:val="231F20"/>
                <w:sz w:val="16"/>
              </w:rPr>
              <w:t>$</w:t>
              <w:tab/>
            </w:r>
            <w:r>
              <w:rPr>
                <w:color w:val="231F20"/>
                <w:spacing w:val="-1"/>
                <w:sz w:val="16"/>
              </w:rPr>
              <w:t>159.80</w:t>
            </w:r>
          </w:p>
        </w:tc>
        <w:tc>
          <w:tcPr>
            <w:tcW w:w="1060" w:type="dxa"/>
            <w:gridSpan w:val="2"/>
          </w:tcPr>
          <w:p>
            <w:pPr>
              <w:pStyle w:val="TableParagraph"/>
              <w:tabs>
                <w:tab w:pos="539" w:val="left" w:leader="none"/>
              </w:tabs>
              <w:spacing w:before="44"/>
              <w:ind w:left="100"/>
              <w:rPr>
                <w:sz w:val="16"/>
              </w:rPr>
            </w:pPr>
            <w:r>
              <w:rPr>
                <w:color w:val="231F20"/>
                <w:sz w:val="16"/>
              </w:rPr>
              <w:t>$</w:t>
              <w:tab/>
              <w:t>154.72</w:t>
            </w:r>
          </w:p>
        </w:tc>
        <w:tc>
          <w:tcPr>
            <w:tcW w:w="1060" w:type="dxa"/>
            <w:gridSpan w:val="2"/>
          </w:tcPr>
          <w:p>
            <w:pPr>
              <w:pStyle w:val="TableParagraph"/>
              <w:tabs>
                <w:tab w:pos="539" w:val="left" w:leader="none"/>
              </w:tabs>
              <w:spacing w:before="44"/>
              <w:ind w:left="100"/>
              <w:rPr>
                <w:sz w:val="16"/>
              </w:rPr>
            </w:pPr>
            <w:r>
              <w:rPr>
                <w:color w:val="231F20"/>
                <w:sz w:val="16"/>
              </w:rPr>
              <w:t>$</w:t>
              <w:tab/>
              <w:t>147.17</w:t>
            </w:r>
          </w:p>
        </w:tc>
        <w:tc>
          <w:tcPr>
            <w:tcW w:w="1060" w:type="dxa"/>
            <w:gridSpan w:val="2"/>
          </w:tcPr>
          <w:p>
            <w:pPr>
              <w:pStyle w:val="TableParagraph"/>
              <w:tabs>
                <w:tab w:pos="539" w:val="left" w:leader="none"/>
              </w:tabs>
              <w:spacing w:before="44"/>
              <w:ind w:left="100"/>
              <w:rPr>
                <w:sz w:val="16"/>
              </w:rPr>
            </w:pPr>
            <w:r>
              <w:rPr>
                <w:color w:val="231F20"/>
                <w:sz w:val="16"/>
              </w:rPr>
              <w:t>$</w:t>
              <w:tab/>
              <w:t>141.90</w:t>
            </w:r>
          </w:p>
        </w:tc>
        <w:tc>
          <w:tcPr>
            <w:tcW w:w="1113" w:type="dxa"/>
            <w:gridSpan w:val="2"/>
          </w:tcPr>
          <w:p>
            <w:pPr>
              <w:pStyle w:val="TableParagraph"/>
              <w:tabs>
                <w:tab w:pos="539" w:val="left" w:leader="none"/>
              </w:tabs>
              <w:spacing w:before="44"/>
              <w:ind w:left="100"/>
              <w:rPr>
                <w:sz w:val="16"/>
              </w:rPr>
            </w:pPr>
            <w:r>
              <w:rPr>
                <w:color w:val="231F20"/>
                <w:sz w:val="16"/>
              </w:rPr>
              <w:t>$</w:t>
              <w:tab/>
              <w:t>130.27</w:t>
            </w:r>
          </w:p>
        </w:tc>
      </w:tr>
      <w:tr>
        <w:trPr>
          <w:trHeight w:val="254" w:hRule="exact"/>
        </w:trPr>
        <w:tc>
          <w:tcPr>
            <w:tcW w:w="3880" w:type="dxa"/>
            <w:shd w:val="clear" w:color="auto" w:fill="CCECFC"/>
          </w:tcPr>
          <w:p>
            <w:pPr>
              <w:pStyle w:val="TableParagraph"/>
              <w:spacing w:before="44"/>
              <w:ind w:left="220"/>
              <w:rPr>
                <w:sz w:val="16"/>
              </w:rPr>
            </w:pPr>
            <w:r>
              <w:rPr>
                <w:color w:val="231F20"/>
                <w:sz w:val="16"/>
              </w:rPr>
              <w:t>Passenger revenue yield per RPM (cents) (4)</w:t>
            </w:r>
          </w:p>
        </w:tc>
        <w:tc>
          <w:tcPr>
            <w:tcW w:w="960" w:type="dxa"/>
            <w:shd w:val="clear" w:color="auto" w:fill="CCECFC"/>
          </w:tcPr>
          <w:p>
            <w:pPr>
              <w:pStyle w:val="TableParagraph"/>
              <w:spacing w:before="44"/>
              <w:ind w:right="79"/>
              <w:jc w:val="right"/>
              <w:rPr>
                <w:sz w:val="16"/>
              </w:rPr>
            </w:pPr>
            <w:r>
              <w:rPr>
                <w:color w:val="231F20"/>
                <w:sz w:val="16"/>
              </w:rPr>
              <w:t>16.34</w:t>
            </w:r>
          </w:p>
        </w:tc>
        <w:tc>
          <w:tcPr>
            <w:tcW w:w="1060" w:type="dxa"/>
            <w:gridSpan w:val="2"/>
            <w:shd w:val="clear" w:color="auto" w:fill="CCECFC"/>
          </w:tcPr>
          <w:p>
            <w:pPr>
              <w:pStyle w:val="TableParagraph"/>
              <w:spacing w:before="44"/>
              <w:ind w:left="620"/>
              <w:rPr>
                <w:sz w:val="16"/>
              </w:rPr>
            </w:pPr>
            <w:r>
              <w:rPr>
                <w:color w:val="231F20"/>
                <w:sz w:val="16"/>
              </w:rPr>
              <w:t>16.02</w:t>
            </w:r>
          </w:p>
        </w:tc>
        <w:tc>
          <w:tcPr>
            <w:tcW w:w="1060" w:type="dxa"/>
            <w:gridSpan w:val="2"/>
            <w:shd w:val="clear" w:color="auto" w:fill="CCECFC"/>
          </w:tcPr>
          <w:p>
            <w:pPr>
              <w:pStyle w:val="TableParagraph"/>
              <w:spacing w:before="44"/>
              <w:ind w:left="620"/>
              <w:rPr>
                <w:sz w:val="16"/>
              </w:rPr>
            </w:pPr>
            <w:r>
              <w:rPr>
                <w:color w:val="231F20"/>
                <w:sz w:val="16"/>
              </w:rPr>
              <w:t>15.64</w:t>
            </w:r>
          </w:p>
        </w:tc>
        <w:tc>
          <w:tcPr>
            <w:tcW w:w="1060" w:type="dxa"/>
            <w:gridSpan w:val="2"/>
            <w:shd w:val="clear" w:color="auto" w:fill="CCECFC"/>
          </w:tcPr>
          <w:p>
            <w:pPr>
              <w:pStyle w:val="TableParagraph"/>
              <w:spacing w:before="44"/>
              <w:ind w:left="620"/>
              <w:rPr>
                <w:sz w:val="16"/>
              </w:rPr>
            </w:pPr>
            <w:r>
              <w:rPr>
                <w:color w:val="231F20"/>
                <w:sz w:val="16"/>
              </w:rPr>
              <w:t>15.12</w:t>
            </w:r>
          </w:p>
        </w:tc>
        <w:tc>
          <w:tcPr>
            <w:tcW w:w="1113" w:type="dxa"/>
            <w:gridSpan w:val="2"/>
            <w:shd w:val="clear" w:color="auto" w:fill="CCECFC"/>
          </w:tcPr>
          <w:p>
            <w:pPr>
              <w:pStyle w:val="TableParagraph"/>
              <w:spacing w:before="44"/>
              <w:ind w:left="620"/>
              <w:rPr>
                <w:sz w:val="16"/>
              </w:rPr>
            </w:pPr>
            <w:r>
              <w:rPr>
                <w:color w:val="231F20"/>
                <w:sz w:val="16"/>
              </w:rPr>
              <w:t>14.72</w:t>
            </w:r>
          </w:p>
        </w:tc>
      </w:tr>
      <w:tr>
        <w:trPr>
          <w:trHeight w:val="254" w:hRule="exact"/>
        </w:trPr>
        <w:tc>
          <w:tcPr>
            <w:tcW w:w="3880" w:type="dxa"/>
          </w:tcPr>
          <w:p>
            <w:pPr>
              <w:pStyle w:val="TableParagraph"/>
              <w:spacing w:before="44"/>
              <w:ind w:left="220"/>
              <w:rPr>
                <w:sz w:val="16"/>
              </w:rPr>
            </w:pPr>
            <w:r>
              <w:rPr>
                <w:color w:val="231F20"/>
                <w:sz w:val="16"/>
              </w:rPr>
              <w:t>Operating revenue per ASM (cents) (5)</w:t>
            </w:r>
          </w:p>
        </w:tc>
        <w:tc>
          <w:tcPr>
            <w:tcW w:w="960" w:type="dxa"/>
          </w:tcPr>
          <w:p>
            <w:pPr>
              <w:pStyle w:val="TableParagraph"/>
              <w:spacing w:before="44"/>
              <w:ind w:right="79"/>
              <w:jc w:val="right"/>
              <w:rPr>
                <w:sz w:val="16"/>
              </w:rPr>
            </w:pPr>
            <w:r>
              <w:rPr>
                <w:color w:val="231F20"/>
                <w:sz w:val="16"/>
              </w:rPr>
              <w:t>14.20</w:t>
            </w:r>
          </w:p>
        </w:tc>
        <w:tc>
          <w:tcPr>
            <w:tcW w:w="1060" w:type="dxa"/>
            <w:gridSpan w:val="2"/>
          </w:tcPr>
          <w:p>
            <w:pPr>
              <w:pStyle w:val="TableParagraph"/>
              <w:spacing w:before="44"/>
              <w:ind w:left="620"/>
              <w:rPr>
                <w:sz w:val="16"/>
              </w:rPr>
            </w:pPr>
            <w:r>
              <w:rPr>
                <w:color w:val="231F20"/>
                <w:sz w:val="16"/>
              </w:rPr>
              <w:t>13.58</w:t>
            </w:r>
          </w:p>
        </w:tc>
        <w:tc>
          <w:tcPr>
            <w:tcW w:w="1060" w:type="dxa"/>
            <w:gridSpan w:val="2"/>
          </w:tcPr>
          <w:p>
            <w:pPr>
              <w:pStyle w:val="TableParagraph"/>
              <w:spacing w:before="44"/>
              <w:ind w:left="620"/>
              <w:rPr>
                <w:sz w:val="16"/>
              </w:rPr>
            </w:pPr>
            <w:r>
              <w:rPr>
                <w:color w:val="231F20"/>
                <w:sz w:val="16"/>
              </w:rPr>
              <w:t>13.34</w:t>
            </w:r>
          </w:p>
        </w:tc>
        <w:tc>
          <w:tcPr>
            <w:tcW w:w="1060" w:type="dxa"/>
            <w:gridSpan w:val="2"/>
          </w:tcPr>
          <w:p>
            <w:pPr>
              <w:pStyle w:val="TableParagraph"/>
              <w:spacing w:before="44"/>
              <w:ind w:left="620"/>
              <w:rPr>
                <w:sz w:val="16"/>
              </w:rPr>
            </w:pPr>
            <w:r>
              <w:rPr>
                <w:color w:val="231F20"/>
                <w:sz w:val="16"/>
              </w:rPr>
              <w:t>12.99</w:t>
            </w:r>
          </w:p>
        </w:tc>
        <w:tc>
          <w:tcPr>
            <w:tcW w:w="1113" w:type="dxa"/>
            <w:gridSpan w:val="2"/>
          </w:tcPr>
          <w:p>
            <w:pPr>
              <w:pStyle w:val="TableParagraph"/>
              <w:spacing w:before="44"/>
              <w:ind w:left="620"/>
              <w:rPr>
                <w:sz w:val="16"/>
              </w:rPr>
            </w:pPr>
            <w:r>
              <w:rPr>
                <w:color w:val="231F20"/>
                <w:sz w:val="16"/>
              </w:rPr>
              <w:t>12.30</w:t>
            </w:r>
          </w:p>
        </w:tc>
      </w:tr>
      <w:tr>
        <w:trPr>
          <w:trHeight w:val="254" w:hRule="exact"/>
        </w:trPr>
        <w:tc>
          <w:tcPr>
            <w:tcW w:w="3880" w:type="dxa"/>
            <w:shd w:val="clear" w:color="auto" w:fill="CCECFC"/>
          </w:tcPr>
          <w:p>
            <w:pPr>
              <w:pStyle w:val="TableParagraph"/>
              <w:spacing w:before="44"/>
              <w:ind w:left="220"/>
              <w:rPr>
                <w:sz w:val="16"/>
              </w:rPr>
            </w:pPr>
            <w:r>
              <w:rPr>
                <w:color w:val="231F20"/>
                <w:sz w:val="16"/>
              </w:rPr>
              <w:t>Passenger revenue per ASM (cents) (6)</w:t>
            </w:r>
          </w:p>
        </w:tc>
        <w:tc>
          <w:tcPr>
            <w:tcW w:w="960" w:type="dxa"/>
            <w:shd w:val="clear" w:color="auto" w:fill="CCECFC"/>
          </w:tcPr>
          <w:p>
            <w:pPr>
              <w:pStyle w:val="TableParagraph"/>
              <w:spacing w:before="44"/>
              <w:ind w:right="79"/>
              <w:jc w:val="right"/>
              <w:rPr>
                <w:sz w:val="16"/>
              </w:rPr>
            </w:pPr>
            <w:r>
              <w:rPr>
                <w:color w:val="231F20"/>
                <w:sz w:val="16"/>
              </w:rPr>
              <w:t>13.48</w:t>
            </w:r>
          </w:p>
        </w:tc>
        <w:tc>
          <w:tcPr>
            <w:tcW w:w="1060" w:type="dxa"/>
            <w:gridSpan w:val="2"/>
            <w:shd w:val="clear" w:color="auto" w:fill="CCECFC"/>
          </w:tcPr>
          <w:p>
            <w:pPr>
              <w:pStyle w:val="TableParagraph"/>
              <w:spacing w:before="44"/>
              <w:ind w:left="620"/>
              <w:rPr>
                <w:sz w:val="16"/>
              </w:rPr>
            </w:pPr>
            <w:r>
              <w:rPr>
                <w:color w:val="231F20"/>
                <w:sz w:val="16"/>
              </w:rPr>
              <w:t>12.83</w:t>
            </w:r>
          </w:p>
        </w:tc>
        <w:tc>
          <w:tcPr>
            <w:tcW w:w="1060" w:type="dxa"/>
            <w:gridSpan w:val="2"/>
            <w:shd w:val="clear" w:color="auto" w:fill="CCECFC"/>
          </w:tcPr>
          <w:p>
            <w:pPr>
              <w:pStyle w:val="TableParagraph"/>
              <w:spacing w:before="44"/>
              <w:ind w:left="620"/>
              <w:rPr>
                <w:sz w:val="16"/>
              </w:rPr>
            </w:pPr>
            <w:r>
              <w:rPr>
                <w:color w:val="231F20"/>
                <w:sz w:val="16"/>
              </w:rPr>
              <w:t>12.56</w:t>
            </w:r>
          </w:p>
        </w:tc>
        <w:tc>
          <w:tcPr>
            <w:tcW w:w="1060" w:type="dxa"/>
            <w:gridSpan w:val="2"/>
            <w:shd w:val="clear" w:color="auto" w:fill="CCECFC"/>
          </w:tcPr>
          <w:p>
            <w:pPr>
              <w:pStyle w:val="TableParagraph"/>
              <w:spacing w:before="44"/>
              <w:ind w:left="620"/>
              <w:rPr>
                <w:sz w:val="16"/>
              </w:rPr>
            </w:pPr>
            <w:r>
              <w:rPr>
                <w:color w:val="231F20"/>
                <w:sz w:val="16"/>
              </w:rPr>
              <w:t>12.24</w:t>
            </w:r>
          </w:p>
        </w:tc>
        <w:tc>
          <w:tcPr>
            <w:tcW w:w="1113" w:type="dxa"/>
            <w:gridSpan w:val="2"/>
            <w:shd w:val="clear" w:color="auto" w:fill="CCECFC"/>
          </w:tcPr>
          <w:p>
            <w:pPr>
              <w:pStyle w:val="TableParagraph"/>
              <w:spacing w:before="44"/>
              <w:ind w:left="620"/>
              <w:rPr>
                <w:sz w:val="16"/>
              </w:rPr>
            </w:pPr>
            <w:r>
              <w:rPr>
                <w:color w:val="231F20"/>
                <w:sz w:val="16"/>
              </w:rPr>
              <w:t>11.67</w:t>
            </w:r>
          </w:p>
        </w:tc>
      </w:tr>
      <w:tr>
        <w:trPr>
          <w:trHeight w:val="254" w:hRule="exact"/>
        </w:trPr>
        <w:tc>
          <w:tcPr>
            <w:tcW w:w="3880" w:type="dxa"/>
          </w:tcPr>
          <w:p>
            <w:pPr>
              <w:pStyle w:val="TableParagraph"/>
              <w:spacing w:before="44"/>
              <w:ind w:left="220"/>
              <w:rPr>
                <w:sz w:val="16"/>
              </w:rPr>
            </w:pPr>
            <w:r>
              <w:rPr>
                <w:color w:val="231F20"/>
                <w:sz w:val="16"/>
              </w:rPr>
              <w:t>Operating expenses per ASM (cents) (7)</w:t>
            </w:r>
          </w:p>
        </w:tc>
        <w:tc>
          <w:tcPr>
            <w:tcW w:w="960" w:type="dxa"/>
          </w:tcPr>
          <w:p>
            <w:pPr>
              <w:pStyle w:val="TableParagraph"/>
              <w:spacing w:before="44"/>
              <w:ind w:right="77"/>
              <w:jc w:val="right"/>
              <w:rPr>
                <w:sz w:val="16"/>
              </w:rPr>
            </w:pPr>
            <w:r>
              <w:rPr>
                <w:color w:val="231F20"/>
                <w:sz w:val="16"/>
              </w:rPr>
              <w:t>12.50</w:t>
            </w:r>
          </w:p>
        </w:tc>
        <w:tc>
          <w:tcPr>
            <w:tcW w:w="1060" w:type="dxa"/>
            <w:gridSpan w:val="2"/>
          </w:tcPr>
          <w:p>
            <w:pPr>
              <w:pStyle w:val="TableParagraph"/>
              <w:spacing w:before="44"/>
              <w:ind w:left="620"/>
              <w:rPr>
                <w:sz w:val="16"/>
              </w:rPr>
            </w:pPr>
            <w:r>
              <w:rPr>
                <w:color w:val="231F20"/>
                <w:sz w:val="16"/>
              </w:rPr>
              <w:t>12.60</w:t>
            </w:r>
          </w:p>
        </w:tc>
        <w:tc>
          <w:tcPr>
            <w:tcW w:w="1060" w:type="dxa"/>
            <w:gridSpan w:val="2"/>
          </w:tcPr>
          <w:p>
            <w:pPr>
              <w:pStyle w:val="TableParagraph"/>
              <w:spacing w:before="44"/>
              <w:ind w:left="620"/>
              <w:rPr>
                <w:sz w:val="16"/>
              </w:rPr>
            </w:pPr>
            <w:r>
              <w:rPr>
                <w:color w:val="231F20"/>
                <w:sz w:val="16"/>
              </w:rPr>
              <w:t>12.85</w:t>
            </w:r>
          </w:p>
        </w:tc>
        <w:tc>
          <w:tcPr>
            <w:tcW w:w="1060" w:type="dxa"/>
            <w:gridSpan w:val="2"/>
          </w:tcPr>
          <w:p>
            <w:pPr>
              <w:pStyle w:val="TableParagraph"/>
              <w:spacing w:before="44"/>
              <w:ind w:left="620"/>
              <w:rPr>
                <w:sz w:val="16"/>
              </w:rPr>
            </w:pPr>
            <w:r>
              <w:rPr>
                <w:color w:val="231F20"/>
                <w:sz w:val="16"/>
              </w:rPr>
              <w:t>12.41</w:t>
            </w:r>
          </w:p>
        </w:tc>
        <w:tc>
          <w:tcPr>
            <w:tcW w:w="1113" w:type="dxa"/>
            <w:gridSpan w:val="2"/>
          </w:tcPr>
          <w:p>
            <w:pPr>
              <w:pStyle w:val="TableParagraph"/>
              <w:spacing w:before="44"/>
              <w:ind w:left="620"/>
              <w:rPr>
                <w:sz w:val="16"/>
              </w:rPr>
            </w:pPr>
            <w:r>
              <w:rPr>
                <w:color w:val="231F20"/>
                <w:sz w:val="16"/>
              </w:rPr>
              <w:t>11.29</w:t>
            </w:r>
          </w:p>
        </w:tc>
      </w:tr>
      <w:tr>
        <w:trPr>
          <w:trHeight w:val="254" w:hRule="exact"/>
        </w:trPr>
        <w:tc>
          <w:tcPr>
            <w:tcW w:w="3880" w:type="dxa"/>
            <w:shd w:val="clear" w:color="auto" w:fill="CCECFC"/>
          </w:tcPr>
          <w:p>
            <w:pPr>
              <w:pStyle w:val="TableParagraph"/>
              <w:spacing w:before="44"/>
              <w:ind w:left="220"/>
              <w:rPr>
                <w:sz w:val="16"/>
              </w:rPr>
            </w:pPr>
            <w:r>
              <w:rPr>
                <w:color w:val="231F20"/>
                <w:sz w:val="16"/>
              </w:rPr>
              <w:t>Operating expenses per ASM, excluding fuel (cents)</w:t>
            </w:r>
          </w:p>
        </w:tc>
        <w:tc>
          <w:tcPr>
            <w:tcW w:w="960" w:type="dxa"/>
            <w:shd w:val="clear" w:color="auto" w:fill="CCECFC"/>
          </w:tcPr>
          <w:p>
            <w:pPr>
              <w:pStyle w:val="TableParagraph"/>
              <w:spacing w:before="44"/>
              <w:ind w:right="77"/>
              <w:jc w:val="right"/>
              <w:rPr>
                <w:sz w:val="16"/>
              </w:rPr>
            </w:pPr>
            <w:r>
              <w:rPr>
                <w:color w:val="231F20"/>
                <w:sz w:val="16"/>
              </w:rPr>
              <w:t>8.46</w:t>
            </w:r>
          </w:p>
        </w:tc>
        <w:tc>
          <w:tcPr>
            <w:tcW w:w="1060" w:type="dxa"/>
            <w:gridSpan w:val="2"/>
            <w:shd w:val="clear" w:color="auto" w:fill="CCECFC"/>
          </w:tcPr>
          <w:p>
            <w:pPr>
              <w:pStyle w:val="TableParagraph"/>
              <w:spacing w:before="44"/>
              <w:ind w:left="700"/>
              <w:rPr>
                <w:sz w:val="16"/>
              </w:rPr>
            </w:pPr>
            <w:r>
              <w:rPr>
                <w:color w:val="231F20"/>
                <w:sz w:val="16"/>
              </w:rPr>
              <w:t>8.18</w:t>
            </w:r>
          </w:p>
        </w:tc>
        <w:tc>
          <w:tcPr>
            <w:tcW w:w="1060" w:type="dxa"/>
            <w:gridSpan w:val="2"/>
            <w:shd w:val="clear" w:color="auto" w:fill="CCECFC"/>
          </w:tcPr>
          <w:p>
            <w:pPr>
              <w:pStyle w:val="TableParagraph"/>
              <w:spacing w:before="44"/>
              <w:ind w:left="700"/>
              <w:rPr>
                <w:sz w:val="16"/>
              </w:rPr>
            </w:pPr>
            <w:r>
              <w:rPr>
                <w:color w:val="231F20"/>
                <w:sz w:val="16"/>
              </w:rPr>
              <w:t>8.07</w:t>
            </w:r>
          </w:p>
        </w:tc>
        <w:tc>
          <w:tcPr>
            <w:tcW w:w="1060" w:type="dxa"/>
            <w:gridSpan w:val="2"/>
            <w:shd w:val="clear" w:color="auto" w:fill="CCECFC"/>
          </w:tcPr>
          <w:p>
            <w:pPr>
              <w:pStyle w:val="TableParagraph"/>
              <w:spacing w:before="44"/>
              <w:ind w:left="700"/>
              <w:rPr>
                <w:sz w:val="16"/>
              </w:rPr>
            </w:pPr>
            <w:r>
              <w:rPr>
                <w:color w:val="231F20"/>
                <w:sz w:val="16"/>
              </w:rPr>
              <w:t>7.73</w:t>
            </w:r>
          </w:p>
        </w:tc>
        <w:tc>
          <w:tcPr>
            <w:tcW w:w="1113" w:type="dxa"/>
            <w:gridSpan w:val="2"/>
            <w:shd w:val="clear" w:color="auto" w:fill="CCECFC"/>
          </w:tcPr>
          <w:p>
            <w:pPr>
              <w:pStyle w:val="TableParagraph"/>
              <w:spacing w:before="44"/>
              <w:ind w:left="700"/>
              <w:rPr>
                <w:sz w:val="16"/>
              </w:rPr>
            </w:pPr>
            <w:r>
              <w:rPr>
                <w:color w:val="231F20"/>
                <w:sz w:val="16"/>
              </w:rPr>
              <w:t>7.61</w:t>
            </w:r>
          </w:p>
        </w:tc>
      </w:tr>
      <w:tr>
        <w:trPr>
          <w:trHeight w:val="237" w:hRule="exact"/>
        </w:trPr>
        <w:tc>
          <w:tcPr>
            <w:tcW w:w="3880" w:type="dxa"/>
          </w:tcPr>
          <w:p>
            <w:pPr>
              <w:pStyle w:val="TableParagraph"/>
              <w:spacing w:before="44"/>
              <w:ind w:left="220"/>
              <w:rPr>
                <w:sz w:val="16"/>
              </w:rPr>
            </w:pPr>
            <w:r>
              <w:rPr>
                <w:color w:val="231F20"/>
                <w:sz w:val="16"/>
              </w:rPr>
              <w:t>Operating expenses per ASM, excluding fuel and</w:t>
            </w:r>
          </w:p>
        </w:tc>
        <w:tc>
          <w:tcPr>
            <w:tcW w:w="960" w:type="dxa"/>
          </w:tcPr>
          <w:p>
            <w:pPr/>
          </w:p>
        </w:tc>
        <w:tc>
          <w:tcPr>
            <w:tcW w:w="1060" w:type="dxa"/>
            <w:gridSpan w:val="2"/>
          </w:tcPr>
          <w:p>
            <w:pPr/>
          </w:p>
        </w:tc>
        <w:tc>
          <w:tcPr>
            <w:tcW w:w="1060" w:type="dxa"/>
            <w:gridSpan w:val="2"/>
          </w:tcPr>
          <w:p>
            <w:pPr/>
          </w:p>
        </w:tc>
        <w:tc>
          <w:tcPr>
            <w:tcW w:w="1060" w:type="dxa"/>
            <w:gridSpan w:val="2"/>
          </w:tcPr>
          <w:p>
            <w:pPr/>
          </w:p>
        </w:tc>
        <w:tc>
          <w:tcPr>
            <w:tcW w:w="1113" w:type="dxa"/>
            <w:gridSpan w:val="2"/>
          </w:tcPr>
          <w:p>
            <w:pPr/>
          </w:p>
        </w:tc>
      </w:tr>
      <w:tr>
        <w:trPr>
          <w:trHeight w:val="211" w:hRule="exact"/>
        </w:trPr>
        <w:tc>
          <w:tcPr>
            <w:tcW w:w="3880" w:type="dxa"/>
          </w:tcPr>
          <w:p>
            <w:pPr>
              <w:pStyle w:val="TableParagraph"/>
              <w:spacing w:before="2"/>
              <w:ind w:left="220"/>
              <w:rPr>
                <w:sz w:val="16"/>
              </w:rPr>
            </w:pPr>
            <w:r>
              <w:rPr>
                <w:color w:val="231F20"/>
                <w:sz w:val="16"/>
              </w:rPr>
              <w:t>profitsharing (cents)</w:t>
            </w:r>
          </w:p>
        </w:tc>
        <w:tc>
          <w:tcPr>
            <w:tcW w:w="960" w:type="dxa"/>
          </w:tcPr>
          <w:p>
            <w:pPr>
              <w:pStyle w:val="TableParagraph"/>
              <w:spacing w:before="2"/>
              <w:ind w:right="79"/>
              <w:jc w:val="right"/>
              <w:rPr>
                <w:sz w:val="16"/>
              </w:rPr>
            </w:pPr>
            <w:r>
              <w:rPr>
                <w:color w:val="231F20"/>
                <w:sz w:val="16"/>
              </w:rPr>
              <w:t>8.19</w:t>
            </w:r>
          </w:p>
        </w:tc>
        <w:tc>
          <w:tcPr>
            <w:tcW w:w="1060" w:type="dxa"/>
            <w:gridSpan w:val="2"/>
          </w:tcPr>
          <w:p>
            <w:pPr>
              <w:pStyle w:val="TableParagraph"/>
              <w:spacing w:before="2"/>
              <w:ind w:left="700"/>
              <w:rPr>
                <w:sz w:val="16"/>
              </w:rPr>
            </w:pPr>
            <w:r>
              <w:rPr>
                <w:color w:val="231F20"/>
                <w:sz w:val="16"/>
              </w:rPr>
              <w:t>8.01</w:t>
            </w:r>
          </w:p>
        </w:tc>
        <w:tc>
          <w:tcPr>
            <w:tcW w:w="1060" w:type="dxa"/>
            <w:gridSpan w:val="2"/>
          </w:tcPr>
          <w:p>
            <w:pPr>
              <w:pStyle w:val="TableParagraph"/>
              <w:spacing w:before="2"/>
              <w:ind w:left="700"/>
              <w:rPr>
                <w:sz w:val="16"/>
              </w:rPr>
            </w:pPr>
            <w:r>
              <w:rPr>
                <w:color w:val="231F20"/>
                <w:sz w:val="16"/>
              </w:rPr>
              <w:t>7.98</w:t>
            </w:r>
          </w:p>
        </w:tc>
        <w:tc>
          <w:tcPr>
            <w:tcW w:w="1060" w:type="dxa"/>
            <w:gridSpan w:val="2"/>
          </w:tcPr>
          <w:p>
            <w:pPr>
              <w:pStyle w:val="TableParagraph"/>
              <w:spacing w:before="2"/>
              <w:ind w:left="700"/>
              <w:rPr>
                <w:sz w:val="16"/>
              </w:rPr>
            </w:pPr>
            <w:r>
              <w:rPr>
                <w:color w:val="231F20"/>
                <w:sz w:val="16"/>
              </w:rPr>
              <w:t>7.65</w:t>
            </w:r>
          </w:p>
        </w:tc>
        <w:tc>
          <w:tcPr>
            <w:tcW w:w="1113" w:type="dxa"/>
            <w:gridSpan w:val="2"/>
          </w:tcPr>
          <w:p>
            <w:pPr>
              <w:pStyle w:val="TableParagraph"/>
              <w:spacing w:before="2"/>
              <w:ind w:left="700"/>
              <w:rPr>
                <w:sz w:val="16"/>
              </w:rPr>
            </w:pPr>
            <w:r>
              <w:rPr>
                <w:color w:val="231F20"/>
                <w:sz w:val="16"/>
              </w:rPr>
              <w:t>7.45</w:t>
            </w:r>
          </w:p>
        </w:tc>
      </w:tr>
      <w:tr>
        <w:trPr>
          <w:trHeight w:val="254" w:hRule="exact"/>
        </w:trPr>
        <w:tc>
          <w:tcPr>
            <w:tcW w:w="3880" w:type="dxa"/>
            <w:shd w:val="clear" w:color="auto" w:fill="CCECFC"/>
          </w:tcPr>
          <w:p>
            <w:pPr>
              <w:pStyle w:val="TableParagraph"/>
              <w:spacing w:before="44"/>
              <w:ind w:left="220"/>
              <w:rPr>
                <w:sz w:val="16"/>
              </w:rPr>
            </w:pPr>
            <w:r>
              <w:rPr>
                <w:color w:val="231F20"/>
                <w:sz w:val="16"/>
              </w:rPr>
              <w:t>Fuel costs per gallon, including fuel tax</w:t>
            </w:r>
          </w:p>
        </w:tc>
        <w:tc>
          <w:tcPr>
            <w:tcW w:w="960" w:type="dxa"/>
            <w:shd w:val="clear" w:color="auto" w:fill="CCECFC"/>
          </w:tcPr>
          <w:p>
            <w:pPr>
              <w:pStyle w:val="TableParagraph"/>
              <w:tabs>
                <w:tab w:pos="599" w:val="left" w:leader="none"/>
              </w:tabs>
              <w:spacing w:before="44"/>
              <w:ind w:right="77"/>
              <w:jc w:val="right"/>
              <w:rPr>
                <w:sz w:val="16"/>
              </w:rPr>
            </w:pPr>
            <w:r>
              <w:rPr>
                <w:color w:val="231F20"/>
                <w:sz w:val="16"/>
              </w:rPr>
              <w:t>$</w:t>
              <w:tab/>
            </w:r>
            <w:r>
              <w:rPr>
                <w:color w:val="231F20"/>
                <w:spacing w:val="-1"/>
                <w:sz w:val="16"/>
              </w:rPr>
              <w:t>2.93</w:t>
            </w:r>
          </w:p>
        </w:tc>
        <w:tc>
          <w:tcPr>
            <w:tcW w:w="1060" w:type="dxa"/>
            <w:gridSpan w:val="2"/>
            <w:shd w:val="clear" w:color="auto" w:fill="CCECFC"/>
          </w:tcPr>
          <w:p>
            <w:pPr>
              <w:pStyle w:val="TableParagraph"/>
              <w:tabs>
                <w:tab w:pos="699" w:val="left" w:leader="none"/>
              </w:tabs>
              <w:spacing w:before="44"/>
              <w:ind w:left="100"/>
              <w:rPr>
                <w:sz w:val="16"/>
              </w:rPr>
            </w:pPr>
            <w:r>
              <w:rPr>
                <w:color w:val="231F20"/>
                <w:sz w:val="16"/>
              </w:rPr>
              <w:t>$</w:t>
              <w:tab/>
              <w:t>3.16</w:t>
            </w:r>
          </w:p>
        </w:tc>
        <w:tc>
          <w:tcPr>
            <w:tcW w:w="1060" w:type="dxa"/>
            <w:gridSpan w:val="2"/>
            <w:shd w:val="clear" w:color="auto" w:fill="CCECFC"/>
          </w:tcPr>
          <w:p>
            <w:pPr>
              <w:pStyle w:val="TableParagraph"/>
              <w:tabs>
                <w:tab w:pos="699" w:val="left" w:leader="none"/>
              </w:tabs>
              <w:spacing w:before="44"/>
              <w:ind w:left="100"/>
              <w:rPr>
                <w:sz w:val="16"/>
              </w:rPr>
            </w:pPr>
            <w:r>
              <w:rPr>
                <w:color w:val="231F20"/>
                <w:sz w:val="16"/>
              </w:rPr>
              <w:t>$</w:t>
              <w:tab/>
              <w:t>3.30</w:t>
            </w:r>
          </w:p>
        </w:tc>
        <w:tc>
          <w:tcPr>
            <w:tcW w:w="1060" w:type="dxa"/>
            <w:gridSpan w:val="2"/>
            <w:shd w:val="clear" w:color="auto" w:fill="CCECFC"/>
          </w:tcPr>
          <w:p>
            <w:pPr>
              <w:pStyle w:val="TableParagraph"/>
              <w:tabs>
                <w:tab w:pos="699" w:val="left" w:leader="none"/>
              </w:tabs>
              <w:spacing w:before="44"/>
              <w:ind w:left="100"/>
              <w:rPr>
                <w:sz w:val="16"/>
              </w:rPr>
            </w:pPr>
            <w:r>
              <w:rPr>
                <w:color w:val="231F20"/>
                <w:sz w:val="16"/>
              </w:rPr>
              <w:t>$</w:t>
              <w:tab/>
              <w:t>3.19</w:t>
            </w:r>
          </w:p>
        </w:tc>
        <w:tc>
          <w:tcPr>
            <w:tcW w:w="1113" w:type="dxa"/>
            <w:gridSpan w:val="2"/>
            <w:shd w:val="clear" w:color="auto" w:fill="CCECFC"/>
          </w:tcPr>
          <w:p>
            <w:pPr>
              <w:pStyle w:val="TableParagraph"/>
              <w:tabs>
                <w:tab w:pos="699" w:val="left" w:leader="none"/>
              </w:tabs>
              <w:spacing w:before="44"/>
              <w:ind w:left="100"/>
              <w:rPr>
                <w:sz w:val="16"/>
              </w:rPr>
            </w:pPr>
            <w:r>
              <w:rPr>
                <w:color w:val="231F20"/>
                <w:sz w:val="16"/>
              </w:rPr>
              <w:t>$</w:t>
              <w:tab/>
              <w:t>2.51</w:t>
            </w:r>
          </w:p>
        </w:tc>
      </w:tr>
      <w:tr>
        <w:trPr>
          <w:trHeight w:val="254" w:hRule="exact"/>
        </w:trPr>
        <w:tc>
          <w:tcPr>
            <w:tcW w:w="3880" w:type="dxa"/>
          </w:tcPr>
          <w:p>
            <w:pPr>
              <w:pStyle w:val="TableParagraph"/>
              <w:spacing w:before="44"/>
              <w:ind w:left="220"/>
              <w:rPr>
                <w:sz w:val="16"/>
              </w:rPr>
            </w:pPr>
            <w:r>
              <w:rPr>
                <w:color w:val="231F20"/>
                <w:sz w:val="16"/>
              </w:rPr>
              <w:t>Fuel costs per gallon, including fuel tax, economic</w:t>
            </w:r>
          </w:p>
        </w:tc>
        <w:tc>
          <w:tcPr>
            <w:tcW w:w="960" w:type="dxa"/>
          </w:tcPr>
          <w:p>
            <w:pPr>
              <w:pStyle w:val="TableParagraph"/>
              <w:tabs>
                <w:tab w:pos="599" w:val="left" w:leader="none"/>
              </w:tabs>
              <w:spacing w:before="44"/>
              <w:ind w:right="77"/>
              <w:jc w:val="right"/>
              <w:rPr>
                <w:sz w:val="16"/>
              </w:rPr>
            </w:pPr>
            <w:r>
              <w:rPr>
                <w:color w:val="231F20"/>
                <w:sz w:val="16"/>
              </w:rPr>
              <w:t>$</w:t>
              <w:tab/>
            </w:r>
            <w:r>
              <w:rPr>
                <w:color w:val="231F20"/>
                <w:spacing w:val="-1"/>
                <w:sz w:val="16"/>
              </w:rPr>
              <w:t>2.92</w:t>
            </w:r>
          </w:p>
        </w:tc>
        <w:tc>
          <w:tcPr>
            <w:tcW w:w="1060" w:type="dxa"/>
            <w:gridSpan w:val="2"/>
          </w:tcPr>
          <w:p>
            <w:pPr>
              <w:pStyle w:val="TableParagraph"/>
              <w:tabs>
                <w:tab w:pos="699" w:val="left" w:leader="none"/>
              </w:tabs>
              <w:spacing w:before="44"/>
              <w:ind w:left="100"/>
              <w:rPr>
                <w:sz w:val="16"/>
              </w:rPr>
            </w:pPr>
            <w:r>
              <w:rPr>
                <w:color w:val="231F20"/>
                <w:sz w:val="16"/>
              </w:rPr>
              <w:t>$</w:t>
              <w:tab/>
              <w:t>3.12</w:t>
            </w:r>
          </w:p>
        </w:tc>
        <w:tc>
          <w:tcPr>
            <w:tcW w:w="1060" w:type="dxa"/>
            <w:gridSpan w:val="2"/>
          </w:tcPr>
          <w:p>
            <w:pPr>
              <w:pStyle w:val="TableParagraph"/>
              <w:tabs>
                <w:tab w:pos="699" w:val="left" w:leader="none"/>
              </w:tabs>
              <w:spacing w:before="44"/>
              <w:ind w:left="100"/>
              <w:rPr>
                <w:sz w:val="16"/>
              </w:rPr>
            </w:pPr>
            <w:r>
              <w:rPr>
                <w:color w:val="231F20"/>
                <w:sz w:val="16"/>
              </w:rPr>
              <w:t>$</w:t>
              <w:tab/>
              <w:t>3.28</w:t>
            </w:r>
          </w:p>
        </w:tc>
        <w:tc>
          <w:tcPr>
            <w:tcW w:w="1060" w:type="dxa"/>
            <w:gridSpan w:val="2"/>
          </w:tcPr>
          <w:p>
            <w:pPr>
              <w:pStyle w:val="TableParagraph"/>
              <w:tabs>
                <w:tab w:pos="699" w:val="left" w:leader="none"/>
              </w:tabs>
              <w:spacing w:before="44"/>
              <w:ind w:left="100"/>
              <w:rPr>
                <w:sz w:val="16"/>
              </w:rPr>
            </w:pPr>
            <w:r>
              <w:rPr>
                <w:color w:val="231F20"/>
                <w:sz w:val="16"/>
              </w:rPr>
              <w:t>$</w:t>
              <w:tab/>
              <w:t>3.19</w:t>
            </w:r>
          </w:p>
        </w:tc>
        <w:tc>
          <w:tcPr>
            <w:tcW w:w="1113" w:type="dxa"/>
            <w:gridSpan w:val="2"/>
          </w:tcPr>
          <w:p>
            <w:pPr>
              <w:pStyle w:val="TableParagraph"/>
              <w:tabs>
                <w:tab w:pos="699" w:val="left" w:leader="none"/>
              </w:tabs>
              <w:spacing w:before="44"/>
              <w:ind w:left="100"/>
              <w:rPr>
                <w:sz w:val="16"/>
              </w:rPr>
            </w:pPr>
            <w:r>
              <w:rPr>
                <w:color w:val="231F20"/>
                <w:sz w:val="16"/>
              </w:rPr>
              <w:t>$</w:t>
              <w:tab/>
              <w:t>2.39</w:t>
            </w:r>
          </w:p>
        </w:tc>
      </w:tr>
      <w:tr>
        <w:trPr>
          <w:trHeight w:val="254" w:hRule="exact"/>
        </w:trPr>
        <w:tc>
          <w:tcPr>
            <w:tcW w:w="3880" w:type="dxa"/>
            <w:shd w:val="clear" w:color="auto" w:fill="CCECFC"/>
          </w:tcPr>
          <w:p>
            <w:pPr>
              <w:pStyle w:val="TableParagraph"/>
              <w:spacing w:before="44"/>
              <w:ind w:left="220"/>
              <w:rPr>
                <w:sz w:val="16"/>
              </w:rPr>
            </w:pPr>
            <w:r>
              <w:rPr>
                <w:color w:val="231F20"/>
                <w:sz w:val="16"/>
              </w:rPr>
              <w:t>Fuel consumed, in gallons (millions)</w:t>
            </w:r>
          </w:p>
        </w:tc>
        <w:tc>
          <w:tcPr>
            <w:tcW w:w="960" w:type="dxa"/>
            <w:shd w:val="clear" w:color="auto" w:fill="CCECFC"/>
          </w:tcPr>
          <w:p>
            <w:pPr>
              <w:pStyle w:val="TableParagraph"/>
              <w:spacing w:before="44"/>
              <w:ind w:right="77"/>
              <w:jc w:val="right"/>
              <w:rPr>
                <w:sz w:val="16"/>
              </w:rPr>
            </w:pPr>
            <w:r>
              <w:rPr>
                <w:color w:val="231F20"/>
                <w:sz w:val="16"/>
              </w:rPr>
              <w:t>1,801</w:t>
            </w:r>
          </w:p>
        </w:tc>
        <w:tc>
          <w:tcPr>
            <w:tcW w:w="1060" w:type="dxa"/>
            <w:gridSpan w:val="2"/>
            <w:shd w:val="clear" w:color="auto" w:fill="CCECFC"/>
          </w:tcPr>
          <w:p>
            <w:pPr>
              <w:pStyle w:val="TableParagraph"/>
              <w:spacing w:before="44"/>
              <w:ind w:left="620"/>
              <w:rPr>
                <w:sz w:val="16"/>
              </w:rPr>
            </w:pPr>
            <w:r>
              <w:rPr>
                <w:color w:val="231F20"/>
                <w:sz w:val="16"/>
              </w:rPr>
              <w:t>1,818</w:t>
            </w:r>
          </w:p>
        </w:tc>
        <w:tc>
          <w:tcPr>
            <w:tcW w:w="1060" w:type="dxa"/>
            <w:gridSpan w:val="2"/>
            <w:shd w:val="clear" w:color="auto" w:fill="CCECFC"/>
          </w:tcPr>
          <w:p>
            <w:pPr>
              <w:pStyle w:val="TableParagraph"/>
              <w:spacing w:before="44"/>
              <w:ind w:left="620"/>
              <w:rPr>
                <w:sz w:val="16"/>
              </w:rPr>
            </w:pPr>
            <w:r>
              <w:rPr>
                <w:color w:val="231F20"/>
                <w:sz w:val="16"/>
              </w:rPr>
              <w:t>1,847</w:t>
            </w:r>
          </w:p>
        </w:tc>
        <w:tc>
          <w:tcPr>
            <w:tcW w:w="1060" w:type="dxa"/>
            <w:gridSpan w:val="2"/>
            <w:shd w:val="clear" w:color="auto" w:fill="CCECFC"/>
          </w:tcPr>
          <w:p>
            <w:pPr>
              <w:pStyle w:val="TableParagraph"/>
              <w:spacing w:before="44"/>
              <w:ind w:left="620"/>
              <w:rPr>
                <w:sz w:val="16"/>
              </w:rPr>
            </w:pPr>
            <w:r>
              <w:rPr>
                <w:color w:val="231F20"/>
                <w:sz w:val="16"/>
              </w:rPr>
              <w:t>1,764</w:t>
            </w:r>
          </w:p>
        </w:tc>
        <w:tc>
          <w:tcPr>
            <w:tcW w:w="1113" w:type="dxa"/>
            <w:gridSpan w:val="2"/>
            <w:shd w:val="clear" w:color="auto" w:fill="CCECFC"/>
          </w:tcPr>
          <w:p>
            <w:pPr>
              <w:pStyle w:val="TableParagraph"/>
              <w:spacing w:before="44"/>
              <w:ind w:left="620"/>
              <w:rPr>
                <w:sz w:val="16"/>
              </w:rPr>
            </w:pPr>
            <w:r>
              <w:rPr>
                <w:color w:val="231F20"/>
                <w:sz w:val="16"/>
              </w:rPr>
              <w:t>1,437</w:t>
            </w:r>
          </w:p>
        </w:tc>
      </w:tr>
      <w:tr>
        <w:trPr>
          <w:trHeight w:val="254" w:hRule="exact"/>
        </w:trPr>
        <w:tc>
          <w:tcPr>
            <w:tcW w:w="3880" w:type="dxa"/>
          </w:tcPr>
          <w:p>
            <w:pPr>
              <w:pStyle w:val="TableParagraph"/>
              <w:spacing w:before="44"/>
              <w:ind w:left="220"/>
              <w:rPr>
                <w:sz w:val="16"/>
              </w:rPr>
            </w:pPr>
            <w:r>
              <w:rPr>
                <w:color w:val="231F20"/>
                <w:sz w:val="16"/>
              </w:rPr>
              <w:t>Active fulltime equivalent Employees</w:t>
            </w:r>
          </w:p>
        </w:tc>
        <w:tc>
          <w:tcPr>
            <w:tcW w:w="960" w:type="dxa"/>
          </w:tcPr>
          <w:p>
            <w:pPr>
              <w:pStyle w:val="TableParagraph"/>
              <w:spacing w:before="44"/>
              <w:ind w:right="79"/>
              <w:jc w:val="right"/>
              <w:rPr>
                <w:sz w:val="16"/>
              </w:rPr>
            </w:pPr>
            <w:r>
              <w:rPr>
                <w:color w:val="231F20"/>
                <w:sz w:val="16"/>
              </w:rPr>
              <w:t>46,278</w:t>
            </w:r>
          </w:p>
        </w:tc>
        <w:tc>
          <w:tcPr>
            <w:tcW w:w="1060" w:type="dxa"/>
            <w:gridSpan w:val="2"/>
          </w:tcPr>
          <w:p>
            <w:pPr>
              <w:pStyle w:val="TableParagraph"/>
              <w:spacing w:before="44"/>
              <w:ind w:left="540"/>
              <w:rPr>
                <w:sz w:val="16"/>
              </w:rPr>
            </w:pPr>
            <w:r>
              <w:rPr>
                <w:color w:val="231F20"/>
                <w:sz w:val="16"/>
              </w:rPr>
              <w:t>44,831</w:t>
            </w:r>
          </w:p>
        </w:tc>
        <w:tc>
          <w:tcPr>
            <w:tcW w:w="1060" w:type="dxa"/>
            <w:gridSpan w:val="2"/>
          </w:tcPr>
          <w:p>
            <w:pPr>
              <w:pStyle w:val="TableParagraph"/>
              <w:spacing w:before="44"/>
              <w:ind w:left="540"/>
              <w:rPr>
                <w:sz w:val="16"/>
              </w:rPr>
            </w:pPr>
            <w:r>
              <w:rPr>
                <w:color w:val="231F20"/>
                <w:sz w:val="16"/>
              </w:rPr>
              <w:t>45,861</w:t>
            </w:r>
          </w:p>
        </w:tc>
        <w:tc>
          <w:tcPr>
            <w:tcW w:w="1060" w:type="dxa"/>
            <w:gridSpan w:val="2"/>
          </w:tcPr>
          <w:p>
            <w:pPr>
              <w:pStyle w:val="TableParagraph"/>
              <w:spacing w:before="44"/>
              <w:ind w:left="540"/>
              <w:rPr>
                <w:sz w:val="16"/>
              </w:rPr>
            </w:pPr>
            <w:r>
              <w:rPr>
                <w:color w:val="231F20"/>
                <w:sz w:val="16"/>
              </w:rPr>
              <w:t>45,392</w:t>
            </w:r>
          </w:p>
        </w:tc>
        <w:tc>
          <w:tcPr>
            <w:tcW w:w="1113" w:type="dxa"/>
            <w:gridSpan w:val="2"/>
          </w:tcPr>
          <w:p>
            <w:pPr>
              <w:pStyle w:val="TableParagraph"/>
              <w:spacing w:before="44"/>
              <w:ind w:left="540"/>
              <w:rPr>
                <w:sz w:val="16"/>
              </w:rPr>
            </w:pPr>
            <w:r>
              <w:rPr>
                <w:color w:val="231F20"/>
                <w:sz w:val="16"/>
              </w:rPr>
              <w:t>34,901</w:t>
            </w:r>
          </w:p>
        </w:tc>
      </w:tr>
      <w:tr>
        <w:trPr>
          <w:trHeight w:val="254" w:hRule="exact"/>
        </w:trPr>
        <w:tc>
          <w:tcPr>
            <w:tcW w:w="3880" w:type="dxa"/>
            <w:shd w:val="clear" w:color="auto" w:fill="CCECFC"/>
          </w:tcPr>
          <w:p>
            <w:pPr>
              <w:pStyle w:val="TableParagraph"/>
              <w:spacing w:before="44"/>
              <w:ind w:left="220"/>
              <w:rPr>
                <w:sz w:val="16"/>
              </w:rPr>
            </w:pPr>
            <w:r>
              <w:rPr>
                <w:color w:val="231F20"/>
                <w:sz w:val="16"/>
              </w:rPr>
              <w:t>Aircraft at end of period (8)</w:t>
            </w:r>
          </w:p>
        </w:tc>
        <w:tc>
          <w:tcPr>
            <w:tcW w:w="960" w:type="dxa"/>
            <w:shd w:val="clear" w:color="auto" w:fill="CCECFC"/>
          </w:tcPr>
          <w:p>
            <w:pPr>
              <w:pStyle w:val="TableParagraph"/>
              <w:spacing w:before="44"/>
              <w:ind w:right="77"/>
              <w:jc w:val="right"/>
              <w:rPr>
                <w:sz w:val="16"/>
              </w:rPr>
            </w:pPr>
            <w:r>
              <w:rPr>
                <w:color w:val="231F20"/>
                <w:sz w:val="16"/>
              </w:rPr>
              <w:t>665</w:t>
            </w:r>
          </w:p>
        </w:tc>
        <w:tc>
          <w:tcPr>
            <w:tcW w:w="1060" w:type="dxa"/>
            <w:gridSpan w:val="2"/>
            <w:shd w:val="clear" w:color="auto" w:fill="CCECFC"/>
          </w:tcPr>
          <w:p>
            <w:pPr>
              <w:pStyle w:val="TableParagraph"/>
              <w:spacing w:before="44"/>
              <w:ind w:right="77"/>
              <w:jc w:val="right"/>
              <w:rPr>
                <w:sz w:val="16"/>
              </w:rPr>
            </w:pPr>
            <w:r>
              <w:rPr>
                <w:color w:val="231F20"/>
                <w:sz w:val="16"/>
              </w:rPr>
              <w:t>681</w:t>
            </w:r>
          </w:p>
        </w:tc>
        <w:tc>
          <w:tcPr>
            <w:tcW w:w="1060" w:type="dxa"/>
            <w:gridSpan w:val="2"/>
            <w:shd w:val="clear" w:color="auto" w:fill="CCECFC"/>
          </w:tcPr>
          <w:p>
            <w:pPr>
              <w:pStyle w:val="TableParagraph"/>
              <w:spacing w:before="44"/>
              <w:ind w:right="77"/>
              <w:jc w:val="right"/>
              <w:rPr>
                <w:sz w:val="16"/>
              </w:rPr>
            </w:pPr>
            <w:r>
              <w:rPr>
                <w:color w:val="231F20"/>
                <w:sz w:val="16"/>
              </w:rPr>
              <w:t>694</w:t>
            </w:r>
          </w:p>
        </w:tc>
        <w:tc>
          <w:tcPr>
            <w:tcW w:w="1060" w:type="dxa"/>
            <w:gridSpan w:val="2"/>
            <w:shd w:val="clear" w:color="auto" w:fill="CCECFC"/>
          </w:tcPr>
          <w:p>
            <w:pPr>
              <w:pStyle w:val="TableParagraph"/>
              <w:spacing w:before="44"/>
              <w:ind w:right="77"/>
              <w:jc w:val="right"/>
              <w:rPr>
                <w:sz w:val="16"/>
              </w:rPr>
            </w:pPr>
            <w:r>
              <w:rPr>
                <w:color w:val="231F20"/>
                <w:sz w:val="16"/>
              </w:rPr>
              <w:t>698</w:t>
            </w:r>
          </w:p>
        </w:tc>
        <w:tc>
          <w:tcPr>
            <w:tcW w:w="1113" w:type="dxa"/>
            <w:gridSpan w:val="2"/>
            <w:shd w:val="clear" w:color="auto" w:fill="CCECFC"/>
          </w:tcPr>
          <w:p>
            <w:pPr>
              <w:pStyle w:val="TableParagraph"/>
              <w:spacing w:before="44"/>
              <w:ind w:left="740"/>
              <w:rPr>
                <w:sz w:val="16"/>
              </w:rPr>
            </w:pPr>
            <w:r>
              <w:rPr>
                <w:color w:val="231F20"/>
                <w:sz w:val="16"/>
              </w:rPr>
              <w:t>548</w:t>
            </w:r>
          </w:p>
        </w:tc>
      </w:tr>
    </w:tbl>
    <w:p>
      <w:pPr>
        <w:pStyle w:val="ListParagraph"/>
        <w:numPr>
          <w:ilvl w:val="0"/>
          <w:numId w:val="8"/>
        </w:numPr>
        <w:tabs>
          <w:tab w:pos="500" w:val="left" w:leader="none"/>
        </w:tabs>
        <w:spacing w:line="261" w:lineRule="auto" w:before="200" w:after="0"/>
        <w:ind w:left="500" w:right="117" w:hanging="320"/>
        <w:jc w:val="left"/>
        <w:rPr>
          <w:sz w:val="16"/>
        </w:rPr>
      </w:pPr>
      <w:r>
        <w:rPr>
          <w:color w:val="231F20"/>
          <w:sz w:val="16"/>
        </w:rPr>
        <w:t>A revenue passenger mile is one paying passenger flown one mile. Also referred to as “traffic,” which is a measure of demand for a given</w:t>
      </w:r>
      <w:r>
        <w:rPr>
          <w:color w:val="231F20"/>
          <w:spacing w:val="-1"/>
          <w:sz w:val="16"/>
        </w:rPr>
        <w:t> </w:t>
      </w:r>
      <w:r>
        <w:rPr>
          <w:color w:val="231F20"/>
          <w:sz w:val="16"/>
        </w:rPr>
        <w:t>period.</w:t>
      </w:r>
    </w:p>
    <w:p>
      <w:pPr>
        <w:pStyle w:val="ListParagraph"/>
        <w:numPr>
          <w:ilvl w:val="0"/>
          <w:numId w:val="8"/>
        </w:numPr>
        <w:tabs>
          <w:tab w:pos="500" w:val="left" w:leader="none"/>
        </w:tabs>
        <w:spacing w:line="261" w:lineRule="auto" w:before="0" w:after="0"/>
        <w:ind w:left="500" w:right="117" w:hanging="320"/>
        <w:jc w:val="left"/>
        <w:rPr>
          <w:sz w:val="16"/>
        </w:rPr>
      </w:pPr>
      <w:r>
        <w:rPr>
          <w:color w:val="231F20"/>
          <w:sz w:val="16"/>
        </w:rPr>
        <w:t>An available seat mile is one seat (empty or full) flown one mile. Also referred to as “capacity,” which is a measure of the space available to carry passengers in a given</w:t>
      </w:r>
      <w:r>
        <w:rPr>
          <w:color w:val="231F20"/>
          <w:spacing w:val="-9"/>
          <w:sz w:val="16"/>
        </w:rPr>
        <w:t> </w:t>
      </w:r>
      <w:r>
        <w:rPr>
          <w:color w:val="231F20"/>
          <w:sz w:val="16"/>
        </w:rPr>
        <w:t>period.</w:t>
      </w:r>
    </w:p>
    <w:p>
      <w:pPr>
        <w:pStyle w:val="ListParagraph"/>
        <w:numPr>
          <w:ilvl w:val="0"/>
          <w:numId w:val="8"/>
        </w:numPr>
        <w:tabs>
          <w:tab w:pos="500" w:val="left" w:leader="none"/>
        </w:tabs>
        <w:spacing w:line="240" w:lineRule="auto" w:before="0" w:after="0"/>
        <w:ind w:left="50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spacing w:after="0" w:line="240" w:lineRule="auto"/>
        <w:jc w:val="left"/>
        <w:rPr>
          <w:sz w:val="16"/>
        </w:rPr>
        <w:sectPr>
          <w:pgSz w:w="11880" w:h="15480"/>
          <w:pgMar w:header="0" w:footer="1240" w:top="1240" w:bottom="1420" w:left="1280" w:right="1260"/>
        </w:sectPr>
      </w:pPr>
    </w:p>
    <w:p>
      <w:pPr>
        <w:pStyle w:val="ListParagraph"/>
        <w:numPr>
          <w:ilvl w:val="0"/>
          <w:numId w:val="8"/>
        </w:numPr>
        <w:tabs>
          <w:tab w:pos="420" w:val="left" w:leader="none"/>
        </w:tabs>
        <w:spacing w:line="261" w:lineRule="auto" w:before="70" w:after="0"/>
        <w:ind w:left="420" w:right="117" w:hanging="320"/>
        <w:jc w:val="left"/>
        <w:rPr>
          <w:sz w:val="16"/>
        </w:rPr>
      </w:pPr>
      <w:r>
        <w:rPr>
          <w:color w:val="231F20"/>
          <w:sz w:val="16"/>
        </w:rPr>
        <w:t>Calculated as passenger revenue divided by revenue passenger miles. Also referred to as “yield,” this is the average cost paid by a paying passenger to fly one mile, which is a measure of revenue production and</w:t>
      </w:r>
      <w:r>
        <w:rPr>
          <w:color w:val="231F20"/>
          <w:spacing w:val="-17"/>
          <w:sz w:val="16"/>
        </w:rPr>
        <w:t> </w:t>
      </w:r>
      <w:r>
        <w:rPr>
          <w:color w:val="231F20"/>
          <w:sz w:val="16"/>
        </w:rPr>
        <w:t>fares.</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operating revenue divided by available seat miles. Also referred to as “operating unit revenues,” this is a measure of operating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passenger revenue divided by available seat miles. Also referred to as “passenger unit revenues,” this is a measure of passenger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operating expenses divided by available seat miles. Also referred to as “unit costs” or “cost per available seat mile,” this</w:t>
      </w:r>
      <w:r>
        <w:rPr>
          <w:color w:val="231F20"/>
          <w:spacing w:val="-25"/>
          <w:sz w:val="16"/>
        </w:rPr>
        <w:t> </w:t>
      </w:r>
      <w:r>
        <w:rPr>
          <w:color w:val="231F20"/>
          <w:sz w:val="16"/>
        </w:rPr>
        <w:t>is the average cost to fly an aircraft seat (empty or full) one mile, which is a measure of cost</w:t>
      </w:r>
      <w:r>
        <w:rPr>
          <w:color w:val="231F20"/>
          <w:spacing w:val="-23"/>
          <w:sz w:val="16"/>
        </w:rPr>
        <w:t> </w:t>
      </w:r>
      <w:r>
        <w:rPr>
          <w:color w:val="231F20"/>
          <w:sz w:val="16"/>
        </w:rPr>
        <w:t>efficiencies.</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Aircraft in the Company’s fleet at end of period, less Boeing 717-200s removed from service in preparation for transition out of the fleet.</w:t>
      </w:r>
    </w:p>
    <w:p>
      <w:pPr>
        <w:spacing w:after="0" w:line="261" w:lineRule="auto"/>
        <w:jc w:val="left"/>
        <w:rPr>
          <w:sz w:val="16"/>
        </w:rPr>
        <w:sectPr>
          <w:pgSz w:w="11880" w:h="15480"/>
          <w:pgMar w:header="0" w:footer="1240" w:top="1240" w:bottom="1420" w:left="1360" w:right="1260"/>
        </w:sectPr>
      </w:pPr>
    </w:p>
    <w:p>
      <w:pPr>
        <w:pStyle w:val="Heading2"/>
        <w:tabs>
          <w:tab w:pos="1432" w:val="left" w:leader="none"/>
        </w:tabs>
        <w:spacing w:before="74"/>
        <w:ind w:left="100"/>
        <w:rPr>
          <w:i/>
        </w:rPr>
      </w:pPr>
      <w:bookmarkStart w:name="Item 7. Management's Discussion and Anal" w:id="12"/>
      <w:bookmarkEnd w:id="12"/>
      <w:r>
        <w:rPr>
          <w:b w:val="0"/>
          <w:i w:val="0"/>
        </w:rPr>
      </w:r>
      <w:r>
        <w:rPr>
          <w:i w:val="0"/>
          <w:color w:val="231F20"/>
          <w:spacing w:val="-5"/>
        </w:rPr>
        <w:t>Item</w:t>
      </w:r>
      <w:r>
        <w:rPr>
          <w:i w:val="0"/>
          <w:color w:val="231F20"/>
          <w:spacing w:val="-7"/>
        </w:rPr>
        <w:t> </w:t>
      </w:r>
      <w:r>
        <w:rPr>
          <w:i w:val="0"/>
          <w:color w:val="231F20"/>
          <w:spacing w:val="-3"/>
        </w:rPr>
        <w:t>7.</w:t>
        <w:tab/>
      </w:r>
      <w:r>
        <w:rPr>
          <w:i/>
          <w:color w:val="231F20"/>
          <w:spacing w:val="-7"/>
        </w:rPr>
        <w:t>Management’s Discussion </w:t>
      </w:r>
      <w:r>
        <w:rPr>
          <w:i/>
          <w:color w:val="231F20"/>
          <w:spacing w:val="-5"/>
        </w:rPr>
        <w:t>and </w:t>
      </w:r>
      <w:r>
        <w:rPr>
          <w:i/>
          <w:color w:val="231F20"/>
          <w:spacing w:val="-6"/>
        </w:rPr>
        <w:t>Analysis </w:t>
      </w:r>
      <w:r>
        <w:rPr>
          <w:i/>
          <w:color w:val="231F20"/>
          <w:spacing w:val="-3"/>
        </w:rPr>
        <w:t>of </w:t>
      </w:r>
      <w:r>
        <w:rPr>
          <w:i/>
          <w:color w:val="231F20"/>
          <w:spacing w:val="-7"/>
        </w:rPr>
        <w:t>Financial Condition </w:t>
      </w:r>
      <w:r>
        <w:rPr>
          <w:i/>
          <w:color w:val="231F20"/>
          <w:spacing w:val="-5"/>
        </w:rPr>
        <w:t>and </w:t>
      </w:r>
      <w:r>
        <w:rPr>
          <w:i/>
          <w:color w:val="231F20"/>
          <w:spacing w:val="-6"/>
        </w:rPr>
        <w:t>Results </w:t>
      </w:r>
      <w:r>
        <w:rPr>
          <w:i/>
          <w:color w:val="231F20"/>
          <w:spacing w:val="-4"/>
        </w:rPr>
        <w:t>of</w:t>
      </w:r>
      <w:r>
        <w:rPr>
          <w:i/>
          <w:color w:val="231F20"/>
          <w:spacing w:val="-39"/>
        </w:rPr>
        <w:t> </w:t>
      </w:r>
      <w:r>
        <w:rPr>
          <w:i/>
          <w:color w:val="231F20"/>
          <w:spacing w:val="-7"/>
        </w:rPr>
        <w:t>Operations</w:t>
      </w:r>
    </w:p>
    <w:p>
      <w:pPr>
        <w:spacing w:line="247" w:lineRule="auto" w:before="112"/>
        <w:ind w:left="100" w:right="0" w:firstLine="0"/>
        <w:jc w:val="left"/>
        <w:rPr>
          <w:b/>
          <w:sz w:val="22"/>
        </w:rPr>
      </w:pPr>
      <w:r>
        <w:rPr>
          <w:b/>
          <w:color w:val="231F20"/>
          <w:sz w:val="22"/>
        </w:rPr>
        <w:t>Reconciliation of Reported Amounts to non-GAAP Financial Measures (unaudited) (in millions, except per share and per ASM amounts)</w:t>
      </w:r>
    </w:p>
    <w:p>
      <w:pPr>
        <w:tabs>
          <w:tab w:pos="7399" w:val="left" w:leader="none"/>
          <w:tab w:pos="8444" w:val="left" w:leader="none"/>
        </w:tabs>
        <w:spacing w:line="302" w:lineRule="auto" w:before="169"/>
        <w:ind w:left="6240" w:right="322" w:hanging="230"/>
        <w:jc w:val="left"/>
        <w:rPr>
          <w:b/>
          <w:sz w:val="18"/>
        </w:rPr>
      </w:pPr>
      <w:r>
        <w:rPr/>
        <w:pict>
          <v:line style="position:absolute;mso-position-horizontal-relative:page;mso-position-vertical-relative:paragraph;z-index:-407800" from="361pt,20.352331pt" to="467pt,20.352331pt" stroked="true" strokeweight="1pt" strokecolor="#231f20">
            <v:stroke dashstyle="solid"/>
            <w10:wrap type="none"/>
          </v:line>
        </w:pict>
      </w:r>
      <w:r>
        <w:rPr/>
        <w:pict>
          <v:shape style="position:absolute;margin-left:69pt;margin-top:33.352333pt;width:458pt;height:496.75pt;mso-position-horizontal-relative:page;mso-position-vertical-relative:paragraph;z-index:20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960"/>
                    <w:gridCol w:w="200"/>
                    <w:gridCol w:w="960"/>
                    <w:gridCol w:w="200"/>
                    <w:gridCol w:w="990"/>
                  </w:tblGrid>
                  <w:tr>
                    <w:trPr>
                      <w:trHeight w:val="240" w:hRule="exact"/>
                    </w:trPr>
                    <w:tc>
                      <w:tcPr>
                        <w:tcW w:w="5840" w:type="dxa"/>
                        <w:shd w:val="clear" w:color="auto" w:fill="CCECFC"/>
                      </w:tcPr>
                      <w:p>
                        <w:pPr>
                          <w:pStyle w:val="TableParagraph"/>
                          <w:spacing w:before="2"/>
                          <w:ind w:left="60"/>
                          <w:rPr>
                            <w:b/>
                            <w:sz w:val="18"/>
                          </w:rPr>
                        </w:pPr>
                        <w:r>
                          <w:rPr>
                            <w:b/>
                            <w:color w:val="231F20"/>
                            <w:sz w:val="18"/>
                          </w:rPr>
                          <w:t>Fuel and oil expense, unhedged</w:t>
                        </w:r>
                      </w:p>
                    </w:tc>
                    <w:tc>
                      <w:tcPr>
                        <w:tcW w:w="960" w:type="dxa"/>
                        <w:tcBorders>
                          <w:top w:val="single" w:sz="8" w:space="0" w:color="231F20"/>
                        </w:tcBorders>
                        <w:shd w:val="clear" w:color="auto" w:fill="CCECFC"/>
                      </w:tcPr>
                      <w:p>
                        <w:pPr>
                          <w:pStyle w:val="TableParagraph"/>
                          <w:tabs>
                            <w:tab w:pos="474" w:val="left" w:leader="none"/>
                          </w:tabs>
                          <w:spacing w:before="2"/>
                          <w:rPr>
                            <w:sz w:val="18"/>
                          </w:rPr>
                        </w:pPr>
                        <w:r>
                          <w:rPr>
                            <w:color w:val="231F20"/>
                            <w:sz w:val="18"/>
                          </w:rPr>
                          <w:t>$</w:t>
                          <w:tab/>
                          <w:t>5,321</w:t>
                        </w:r>
                      </w:p>
                    </w:tc>
                    <w:tc>
                      <w:tcPr>
                        <w:tcW w:w="200" w:type="dxa"/>
                        <w:shd w:val="clear" w:color="auto" w:fill="CCECFC"/>
                      </w:tcPr>
                      <w:p>
                        <w:pPr/>
                      </w:p>
                    </w:tc>
                    <w:tc>
                      <w:tcPr>
                        <w:tcW w:w="960" w:type="dxa"/>
                        <w:tcBorders>
                          <w:top w:val="single" w:sz="8" w:space="0" w:color="231F20"/>
                        </w:tcBorders>
                        <w:shd w:val="clear" w:color="auto" w:fill="CCECFC"/>
                      </w:tcPr>
                      <w:p>
                        <w:pPr>
                          <w:pStyle w:val="TableParagraph"/>
                          <w:tabs>
                            <w:tab w:pos="474" w:val="left" w:leader="none"/>
                          </w:tabs>
                          <w:spacing w:before="2"/>
                          <w:ind w:right="78"/>
                          <w:jc w:val="right"/>
                          <w:rPr>
                            <w:sz w:val="18"/>
                          </w:rPr>
                        </w:pPr>
                        <w:r>
                          <w:rPr>
                            <w:color w:val="231F20"/>
                            <w:sz w:val="18"/>
                          </w:rPr>
                          <w:t>$</w:t>
                          <w:tab/>
                        </w:r>
                        <w:r>
                          <w:rPr>
                            <w:color w:val="231F20"/>
                            <w:spacing w:val="-1"/>
                            <w:sz w:val="18"/>
                          </w:rPr>
                          <w:t>5,645</w:t>
                        </w:r>
                      </w:p>
                    </w:tc>
                    <w:tc>
                      <w:tcPr>
                        <w:tcW w:w="1190" w:type="dxa"/>
                        <w:gridSpan w:val="2"/>
                        <w:shd w:val="clear" w:color="auto" w:fill="CCECFC"/>
                      </w:tcPr>
                      <w:p>
                        <w:pPr/>
                      </w:p>
                    </w:tc>
                  </w:tr>
                  <w:tr>
                    <w:trPr>
                      <w:trHeight w:val="245" w:hRule="exact"/>
                    </w:trPr>
                    <w:tc>
                      <w:tcPr>
                        <w:tcW w:w="5840" w:type="dxa"/>
                      </w:tcPr>
                      <w:p>
                        <w:pPr>
                          <w:pStyle w:val="TableParagraph"/>
                          <w:spacing w:before="2"/>
                          <w:ind w:left="60"/>
                          <w:rPr>
                            <w:sz w:val="18"/>
                          </w:rPr>
                        </w:pPr>
                        <w:r>
                          <w:rPr>
                            <w:color w:val="231F20"/>
                            <w:sz w:val="18"/>
                          </w:rPr>
                          <w:t>Add (Deduct): Fuel hedge losses (gains) included in Fuel and oil expense</w:t>
                        </w:r>
                      </w:p>
                    </w:tc>
                    <w:tc>
                      <w:tcPr>
                        <w:tcW w:w="960" w:type="dxa"/>
                        <w:tcBorders>
                          <w:bottom w:val="single" w:sz="4" w:space="0" w:color="231F20"/>
                        </w:tcBorders>
                      </w:tcPr>
                      <w:p>
                        <w:pPr>
                          <w:pStyle w:val="TableParagraph"/>
                          <w:spacing w:before="2"/>
                          <w:ind w:right="18"/>
                          <w:jc w:val="right"/>
                          <w:rPr>
                            <w:sz w:val="18"/>
                          </w:rPr>
                        </w:pPr>
                        <w:r>
                          <w:rPr>
                            <w:color w:val="231F20"/>
                            <w:sz w:val="18"/>
                          </w:rPr>
                          <w:t>(28)</w:t>
                        </w:r>
                      </w:p>
                    </w:tc>
                    <w:tc>
                      <w:tcPr>
                        <w:tcW w:w="200" w:type="dxa"/>
                      </w:tcPr>
                      <w:p>
                        <w:pPr/>
                      </w:p>
                    </w:tc>
                    <w:tc>
                      <w:tcPr>
                        <w:tcW w:w="960" w:type="dxa"/>
                        <w:tcBorders>
                          <w:bottom w:val="single" w:sz="4" w:space="0" w:color="231F20"/>
                        </w:tcBorders>
                      </w:tcPr>
                      <w:p>
                        <w:pPr>
                          <w:pStyle w:val="TableParagraph"/>
                          <w:spacing w:before="2"/>
                          <w:ind w:right="78"/>
                          <w:jc w:val="right"/>
                          <w:rPr>
                            <w:sz w:val="18"/>
                          </w:rPr>
                        </w:pPr>
                        <w:r>
                          <w:rPr>
                            <w:color w:val="231F20"/>
                            <w:sz w:val="18"/>
                          </w:rPr>
                          <w:t>118</w:t>
                        </w:r>
                      </w:p>
                    </w:tc>
                    <w:tc>
                      <w:tcPr>
                        <w:tcW w:w="200" w:type="dxa"/>
                      </w:tcPr>
                      <w:p>
                        <w:pPr/>
                      </w:p>
                    </w:tc>
                    <w:tc>
                      <w:tcPr>
                        <w:tcW w:w="990" w:type="dxa"/>
                      </w:tcPr>
                      <w:p>
                        <w:pPr/>
                      </w:p>
                    </w:tc>
                  </w:tr>
                  <w:tr>
                    <w:trPr>
                      <w:trHeight w:val="235" w:hRule="exact"/>
                    </w:trPr>
                    <w:tc>
                      <w:tcPr>
                        <w:tcW w:w="5840" w:type="dxa"/>
                        <w:shd w:val="clear" w:color="auto" w:fill="CCECFC"/>
                      </w:tcPr>
                      <w:p>
                        <w:pPr>
                          <w:pStyle w:val="TableParagraph"/>
                          <w:spacing w:before="2"/>
                          <w:ind w:left="60"/>
                          <w:rPr>
                            <w:b/>
                            <w:sz w:val="18"/>
                          </w:rPr>
                        </w:pPr>
                        <w:r>
                          <w:rPr>
                            <w:b/>
                            <w:color w:val="231F20"/>
                            <w:sz w:val="18"/>
                          </w:rPr>
                          <w:t>Fuel and oil expense, as reported</w:t>
                        </w:r>
                      </w:p>
                    </w:tc>
                    <w:tc>
                      <w:tcPr>
                        <w:tcW w:w="960" w:type="dxa"/>
                        <w:tcBorders>
                          <w:top w:val="single" w:sz="4" w:space="0" w:color="231F20"/>
                        </w:tcBorders>
                        <w:shd w:val="clear" w:color="auto" w:fill="CCECFC"/>
                      </w:tcPr>
                      <w:p>
                        <w:pPr>
                          <w:pStyle w:val="TableParagraph"/>
                          <w:tabs>
                            <w:tab w:pos="474" w:val="left" w:leader="none"/>
                          </w:tabs>
                          <w:spacing w:before="2"/>
                          <w:rPr>
                            <w:sz w:val="18"/>
                          </w:rPr>
                        </w:pPr>
                        <w:r>
                          <w:rPr>
                            <w:color w:val="231F20"/>
                            <w:sz w:val="18"/>
                          </w:rPr>
                          <w:t>$</w:t>
                          <w:tab/>
                          <w:t>5,293</w:t>
                        </w:r>
                      </w:p>
                    </w:tc>
                    <w:tc>
                      <w:tcPr>
                        <w:tcW w:w="200" w:type="dxa"/>
                        <w:shd w:val="clear" w:color="auto" w:fill="CCECFC"/>
                      </w:tcPr>
                      <w:p>
                        <w:pPr/>
                      </w:p>
                    </w:tc>
                    <w:tc>
                      <w:tcPr>
                        <w:tcW w:w="960" w:type="dxa"/>
                        <w:tcBorders>
                          <w:top w:val="single" w:sz="4" w:space="0" w:color="231F20"/>
                        </w:tcBorders>
                        <w:shd w:val="clear" w:color="auto" w:fill="CCECFC"/>
                      </w:tcPr>
                      <w:p>
                        <w:pPr>
                          <w:pStyle w:val="TableParagraph"/>
                          <w:tabs>
                            <w:tab w:pos="474" w:val="left" w:leader="none"/>
                          </w:tabs>
                          <w:spacing w:before="2"/>
                          <w:ind w:right="78"/>
                          <w:jc w:val="right"/>
                          <w:rPr>
                            <w:sz w:val="18"/>
                          </w:rPr>
                        </w:pPr>
                        <w:r>
                          <w:rPr>
                            <w:color w:val="231F20"/>
                            <w:sz w:val="18"/>
                          </w:rPr>
                          <w:t>$</w:t>
                          <w:tab/>
                        </w:r>
                        <w:r>
                          <w:rPr>
                            <w:color w:val="231F20"/>
                            <w:spacing w:val="-1"/>
                            <w:sz w:val="18"/>
                          </w:rPr>
                          <w:t>5,763</w:t>
                        </w:r>
                      </w:p>
                    </w:tc>
                    <w:tc>
                      <w:tcPr>
                        <w:tcW w:w="200" w:type="dxa"/>
                        <w:shd w:val="clear" w:color="auto" w:fill="CCECFC"/>
                      </w:tcPr>
                      <w:p>
                        <w:pPr/>
                      </w:p>
                    </w:tc>
                    <w:tc>
                      <w:tcPr>
                        <w:tcW w:w="990" w:type="dxa"/>
                        <w:shd w:val="clear" w:color="auto" w:fill="CCECFC"/>
                      </w:tcPr>
                      <w:p>
                        <w:pPr/>
                      </w:p>
                    </w:tc>
                  </w:tr>
                  <w:tr>
                    <w:trPr>
                      <w:trHeight w:val="245" w:hRule="exact"/>
                    </w:trPr>
                    <w:tc>
                      <w:tcPr>
                        <w:tcW w:w="5840" w:type="dxa"/>
                      </w:tcPr>
                      <w:p>
                        <w:pPr>
                          <w:pStyle w:val="TableParagraph"/>
                          <w:spacing w:before="2"/>
                          <w:ind w:left="60"/>
                          <w:rPr>
                            <w:sz w:val="18"/>
                          </w:rPr>
                        </w:pPr>
                        <w:r>
                          <w:rPr>
                            <w:color w:val="231F20"/>
                            <w:sz w:val="18"/>
                          </w:rPr>
                          <w:t>Deduct: Net impact from fuel contracts</w:t>
                        </w:r>
                      </w:p>
                    </w:tc>
                    <w:tc>
                      <w:tcPr>
                        <w:tcW w:w="960" w:type="dxa"/>
                        <w:tcBorders>
                          <w:bottom w:val="single" w:sz="4" w:space="0" w:color="231F20"/>
                        </w:tcBorders>
                      </w:tcPr>
                      <w:p>
                        <w:pPr>
                          <w:pStyle w:val="TableParagraph"/>
                          <w:spacing w:before="2"/>
                          <w:ind w:right="18"/>
                          <w:jc w:val="right"/>
                          <w:rPr>
                            <w:sz w:val="18"/>
                          </w:rPr>
                        </w:pPr>
                        <w:r>
                          <w:rPr>
                            <w:color w:val="231F20"/>
                            <w:sz w:val="18"/>
                          </w:rPr>
                          <w:t>(28)</w:t>
                        </w:r>
                      </w:p>
                    </w:tc>
                    <w:tc>
                      <w:tcPr>
                        <w:tcW w:w="200" w:type="dxa"/>
                      </w:tcPr>
                      <w:p>
                        <w:pPr/>
                      </w:p>
                    </w:tc>
                    <w:tc>
                      <w:tcPr>
                        <w:tcW w:w="960" w:type="dxa"/>
                        <w:tcBorders>
                          <w:bottom w:val="single" w:sz="4" w:space="0" w:color="231F20"/>
                        </w:tcBorders>
                      </w:tcPr>
                      <w:p>
                        <w:pPr>
                          <w:pStyle w:val="TableParagraph"/>
                          <w:spacing w:before="2"/>
                          <w:ind w:right="18"/>
                          <w:jc w:val="right"/>
                          <w:rPr>
                            <w:sz w:val="18"/>
                          </w:rPr>
                        </w:pPr>
                        <w:r>
                          <w:rPr>
                            <w:color w:val="231F20"/>
                            <w:sz w:val="18"/>
                          </w:rPr>
                          <w:t>(84)</w:t>
                        </w:r>
                      </w:p>
                    </w:tc>
                    <w:tc>
                      <w:tcPr>
                        <w:tcW w:w="200" w:type="dxa"/>
                      </w:tcPr>
                      <w:p>
                        <w:pPr/>
                      </w:p>
                    </w:tc>
                    <w:tc>
                      <w:tcPr>
                        <w:tcW w:w="990" w:type="dxa"/>
                      </w:tcPr>
                      <w:p>
                        <w:pPr/>
                      </w:p>
                    </w:tc>
                  </w:tr>
                  <w:tr>
                    <w:trPr>
                      <w:trHeight w:val="290" w:hRule="exact"/>
                    </w:trPr>
                    <w:tc>
                      <w:tcPr>
                        <w:tcW w:w="5840" w:type="dxa"/>
                        <w:shd w:val="clear" w:color="auto" w:fill="CCECFC"/>
                      </w:tcPr>
                      <w:p>
                        <w:pPr>
                          <w:pStyle w:val="TableParagraph"/>
                          <w:spacing w:before="2"/>
                          <w:ind w:left="60"/>
                          <w:rPr>
                            <w:b/>
                            <w:sz w:val="18"/>
                          </w:rPr>
                        </w:pPr>
                        <w:r>
                          <w:rPr>
                            <w:b/>
                            <w:color w:val="231F20"/>
                            <w:sz w:val="18"/>
                          </w:rPr>
                          <w:t>Fuel and oil expense, non-GAAP</w:t>
                        </w:r>
                      </w:p>
                    </w:tc>
                    <w:tc>
                      <w:tcPr>
                        <w:tcW w:w="960" w:type="dxa"/>
                        <w:tcBorders>
                          <w:top w:val="single" w:sz="4" w:space="0" w:color="231F20"/>
                          <w:bottom w:val="single" w:sz="4" w:space="0" w:color="231F20"/>
                        </w:tcBorders>
                        <w:shd w:val="clear" w:color="auto" w:fill="CCECFC"/>
                      </w:tcPr>
                      <w:p>
                        <w:pPr>
                          <w:pStyle w:val="TableParagraph"/>
                          <w:tabs>
                            <w:tab w:pos="474" w:val="left" w:leader="none"/>
                          </w:tabs>
                          <w:spacing w:before="2"/>
                          <w:rPr>
                            <w:sz w:val="18"/>
                          </w:rPr>
                        </w:pPr>
                        <w:r>
                          <w:rPr>
                            <w:color w:val="231F20"/>
                            <w:sz w:val="18"/>
                          </w:rPr>
                          <w:t>$</w:t>
                          <w:tab/>
                          <w:t>5,265</w:t>
                        </w:r>
                      </w:p>
                    </w:tc>
                    <w:tc>
                      <w:tcPr>
                        <w:tcW w:w="200" w:type="dxa"/>
                        <w:shd w:val="clear" w:color="auto" w:fill="CCECFC"/>
                      </w:tcPr>
                      <w:p>
                        <w:pPr/>
                      </w:p>
                    </w:tc>
                    <w:tc>
                      <w:tcPr>
                        <w:tcW w:w="960" w:type="dxa"/>
                        <w:tcBorders>
                          <w:top w:val="single" w:sz="4" w:space="0" w:color="231F20"/>
                          <w:bottom w:val="single" w:sz="4" w:space="0" w:color="231F20"/>
                        </w:tcBorders>
                        <w:shd w:val="clear" w:color="auto" w:fill="CCECFC"/>
                      </w:tcPr>
                      <w:p>
                        <w:pPr>
                          <w:pStyle w:val="TableParagraph"/>
                          <w:tabs>
                            <w:tab w:pos="474" w:val="left" w:leader="none"/>
                          </w:tabs>
                          <w:spacing w:before="2"/>
                          <w:ind w:right="78"/>
                          <w:jc w:val="right"/>
                          <w:rPr>
                            <w:sz w:val="18"/>
                          </w:rPr>
                        </w:pPr>
                        <w:r>
                          <w:rPr>
                            <w:color w:val="231F20"/>
                            <w:sz w:val="18"/>
                          </w:rPr>
                          <w:t>$</w:t>
                          <w:tab/>
                        </w:r>
                        <w:r>
                          <w:rPr>
                            <w:color w:val="231F20"/>
                            <w:spacing w:val="-1"/>
                            <w:sz w:val="18"/>
                          </w:rPr>
                          <w:t>5,679</w:t>
                        </w:r>
                      </w:p>
                    </w:tc>
                    <w:tc>
                      <w:tcPr>
                        <w:tcW w:w="200" w:type="dxa"/>
                        <w:shd w:val="clear" w:color="auto" w:fill="CCECFC"/>
                      </w:tcPr>
                      <w:p>
                        <w:pPr/>
                      </w:p>
                    </w:tc>
                    <w:tc>
                      <w:tcPr>
                        <w:tcW w:w="990" w:type="dxa"/>
                        <w:shd w:val="clear" w:color="auto" w:fill="CCECFC"/>
                      </w:tcPr>
                      <w:p>
                        <w:pPr>
                          <w:pStyle w:val="TableParagraph"/>
                          <w:spacing w:before="2"/>
                          <w:ind w:left="494"/>
                          <w:rPr>
                            <w:sz w:val="18"/>
                          </w:rPr>
                        </w:pPr>
                        <w:r>
                          <w:rPr>
                            <w:color w:val="231F20"/>
                            <w:sz w:val="18"/>
                          </w:rPr>
                          <w:t>(7.3)%</w:t>
                        </w:r>
                      </w:p>
                    </w:tc>
                  </w:tr>
                  <w:tr>
                    <w:trPr>
                      <w:trHeight w:val="334" w:hRule="exact"/>
                    </w:trPr>
                    <w:tc>
                      <w:tcPr>
                        <w:tcW w:w="5840" w:type="dxa"/>
                      </w:tcPr>
                      <w:p>
                        <w:pPr>
                          <w:pStyle w:val="TableParagraph"/>
                          <w:spacing w:before="9"/>
                          <w:rPr>
                            <w:sz w:val="15"/>
                          </w:rPr>
                        </w:pPr>
                      </w:p>
                      <w:p>
                        <w:pPr>
                          <w:pStyle w:val="TableParagraph"/>
                          <w:spacing w:before="0"/>
                          <w:ind w:left="60"/>
                          <w:rPr>
                            <w:b/>
                            <w:sz w:val="18"/>
                          </w:rPr>
                        </w:pPr>
                        <w:r>
                          <w:rPr>
                            <w:b/>
                            <w:color w:val="231F20"/>
                            <w:sz w:val="18"/>
                          </w:rPr>
                          <w:t>Total operating expenses, as reported</w:t>
                        </w:r>
                      </w:p>
                    </w:tc>
                    <w:tc>
                      <w:tcPr>
                        <w:tcW w:w="960" w:type="dxa"/>
                        <w:tcBorders>
                          <w:top w:val="single" w:sz="4" w:space="0" w:color="231F20"/>
                        </w:tcBorders>
                      </w:tcPr>
                      <w:p>
                        <w:pPr>
                          <w:pStyle w:val="TableParagraph"/>
                          <w:tabs>
                            <w:tab w:pos="384" w:val="left" w:leader="none"/>
                          </w:tabs>
                          <w:spacing w:before="122"/>
                          <w:rPr>
                            <w:sz w:val="18"/>
                          </w:rPr>
                        </w:pPr>
                        <w:r>
                          <w:rPr>
                            <w:color w:val="231F20"/>
                            <w:sz w:val="18"/>
                          </w:rPr>
                          <w:t>$</w:t>
                          <w:tab/>
                          <w:t>16,380</w:t>
                        </w:r>
                      </w:p>
                    </w:tc>
                    <w:tc>
                      <w:tcPr>
                        <w:tcW w:w="200" w:type="dxa"/>
                      </w:tcPr>
                      <w:p>
                        <w:pPr/>
                      </w:p>
                    </w:tc>
                    <w:tc>
                      <w:tcPr>
                        <w:tcW w:w="960" w:type="dxa"/>
                        <w:tcBorders>
                          <w:top w:val="single" w:sz="4" w:space="0" w:color="231F20"/>
                        </w:tcBorders>
                      </w:tcPr>
                      <w:p>
                        <w:pPr>
                          <w:pStyle w:val="TableParagraph"/>
                          <w:tabs>
                            <w:tab w:pos="384" w:val="left" w:leader="none"/>
                          </w:tabs>
                          <w:spacing w:before="122"/>
                          <w:ind w:right="78"/>
                          <w:jc w:val="right"/>
                          <w:rPr>
                            <w:sz w:val="18"/>
                          </w:rPr>
                        </w:pPr>
                        <w:r>
                          <w:rPr>
                            <w:color w:val="231F20"/>
                            <w:sz w:val="18"/>
                          </w:rPr>
                          <w:t>$</w:t>
                          <w:tab/>
                        </w:r>
                        <w:r>
                          <w:rPr>
                            <w:color w:val="231F20"/>
                            <w:spacing w:val="-1"/>
                            <w:sz w:val="18"/>
                          </w:rPr>
                          <w:t>16,421</w:t>
                        </w:r>
                      </w:p>
                    </w:tc>
                    <w:tc>
                      <w:tcPr>
                        <w:tcW w:w="200" w:type="dxa"/>
                      </w:tcPr>
                      <w:p>
                        <w:pPr/>
                      </w:p>
                    </w:tc>
                    <w:tc>
                      <w:tcPr>
                        <w:tcW w:w="990" w:type="dxa"/>
                      </w:tcPr>
                      <w:p>
                        <w:pPr/>
                      </w:p>
                    </w:tc>
                  </w:tr>
                  <w:tr>
                    <w:trPr>
                      <w:trHeight w:val="421" w:hRule="exact"/>
                    </w:trPr>
                    <w:tc>
                      <w:tcPr>
                        <w:tcW w:w="9150" w:type="dxa"/>
                        <w:gridSpan w:val="6"/>
                        <w:shd w:val="clear" w:color="auto" w:fill="CCECFC"/>
                      </w:tcPr>
                      <w:p>
                        <w:pPr>
                          <w:pStyle w:val="TableParagraph"/>
                          <w:spacing w:line="188" w:lineRule="exact" w:before="22"/>
                          <w:ind w:left="60"/>
                          <w:rPr>
                            <w:sz w:val="18"/>
                          </w:rPr>
                        </w:pPr>
                        <w:r>
                          <w:rPr>
                            <w:color w:val="231F20"/>
                            <w:sz w:val="18"/>
                          </w:rPr>
                          <w:t>Add (Deduct): Reclassification between Fuel and oil and Other (gains)</w:t>
                        </w:r>
                      </w:p>
                      <w:p>
                        <w:pPr>
                          <w:pStyle w:val="TableParagraph"/>
                          <w:tabs>
                            <w:tab w:pos="6569" w:val="left" w:leader="none"/>
                            <w:tab w:pos="7879" w:val="right" w:leader="none"/>
                          </w:tabs>
                          <w:spacing w:line="188" w:lineRule="exact" w:before="0"/>
                          <w:ind w:left="240"/>
                          <w:rPr>
                            <w:sz w:val="18"/>
                          </w:rPr>
                        </w:pPr>
                        <w:r>
                          <w:rPr>
                            <w:color w:val="231F20"/>
                            <w:sz w:val="18"/>
                          </w:rPr>
                          <w:t>losses, net, associated with current period</w:t>
                        </w:r>
                        <w:r>
                          <w:rPr>
                            <w:color w:val="231F20"/>
                            <w:spacing w:val="-1"/>
                            <w:sz w:val="18"/>
                          </w:rPr>
                          <w:t> </w:t>
                        </w:r>
                        <w:r>
                          <w:rPr>
                            <w:color w:val="231F20"/>
                            <w:sz w:val="18"/>
                          </w:rPr>
                          <w:t>settled contracts</w:t>
                          <w:tab/>
                          <w:t>(4)</w:t>
                          <w:tab/>
                          <w:t>3</w:t>
                        </w:r>
                      </w:p>
                    </w:tc>
                  </w:tr>
                  <w:tr>
                    <w:trPr>
                      <w:trHeight w:val="194" w:hRule="exact"/>
                    </w:trPr>
                    <w:tc>
                      <w:tcPr>
                        <w:tcW w:w="5840" w:type="dxa"/>
                      </w:tcPr>
                      <w:p>
                        <w:pPr>
                          <w:pStyle w:val="TableParagraph"/>
                          <w:spacing w:before="2"/>
                          <w:ind w:left="60"/>
                          <w:rPr>
                            <w:sz w:val="18"/>
                          </w:rPr>
                        </w:pPr>
                        <w:r>
                          <w:rPr>
                            <w:color w:val="231F20"/>
                            <w:sz w:val="18"/>
                          </w:rPr>
                          <w:t>Deduct: Contracts settling in the current period, but for which gains have</w:t>
                        </w:r>
                      </w:p>
                    </w:tc>
                    <w:tc>
                      <w:tcPr>
                        <w:tcW w:w="960" w:type="dxa"/>
                      </w:tcPr>
                      <w:p>
                        <w:pPr/>
                      </w:p>
                    </w:tc>
                    <w:tc>
                      <w:tcPr>
                        <w:tcW w:w="200" w:type="dxa"/>
                      </w:tcPr>
                      <w:p>
                        <w:pPr/>
                      </w:p>
                    </w:tc>
                    <w:tc>
                      <w:tcPr>
                        <w:tcW w:w="960" w:type="dxa"/>
                      </w:tcPr>
                      <w:p>
                        <w:pPr/>
                      </w:p>
                    </w:tc>
                    <w:tc>
                      <w:tcPr>
                        <w:tcW w:w="200" w:type="dxa"/>
                      </w:tcPr>
                      <w:p>
                        <w:pPr/>
                      </w:p>
                    </w:tc>
                    <w:tc>
                      <w:tcPr>
                        <w:tcW w:w="990" w:type="dxa"/>
                      </w:tcPr>
                      <w:p>
                        <w:pPr/>
                      </w:p>
                    </w:tc>
                  </w:tr>
                  <w:tr>
                    <w:trPr>
                      <w:trHeight w:val="206" w:hRule="exact"/>
                    </w:trPr>
                    <w:tc>
                      <w:tcPr>
                        <w:tcW w:w="5840" w:type="dxa"/>
                      </w:tcPr>
                      <w:p>
                        <w:pPr>
                          <w:pStyle w:val="TableParagraph"/>
                          <w:spacing w:line="201" w:lineRule="exact" w:before="0"/>
                          <w:ind w:left="240"/>
                          <w:rPr>
                            <w:sz w:val="18"/>
                          </w:rPr>
                        </w:pPr>
                        <w:r>
                          <w:rPr>
                            <w:color w:val="231F20"/>
                            <w:sz w:val="18"/>
                          </w:rPr>
                          <w:t>been recognized in a prior period*</w:t>
                        </w:r>
                      </w:p>
                    </w:tc>
                    <w:tc>
                      <w:tcPr>
                        <w:tcW w:w="960" w:type="dxa"/>
                      </w:tcPr>
                      <w:p>
                        <w:pPr>
                          <w:pStyle w:val="TableParagraph"/>
                          <w:spacing w:line="201" w:lineRule="exact" w:before="0"/>
                          <w:ind w:right="18"/>
                          <w:jc w:val="right"/>
                          <w:rPr>
                            <w:sz w:val="18"/>
                          </w:rPr>
                        </w:pPr>
                        <w:r>
                          <w:rPr>
                            <w:color w:val="231F20"/>
                            <w:sz w:val="18"/>
                          </w:rPr>
                          <w:t>(24)</w:t>
                        </w:r>
                      </w:p>
                    </w:tc>
                    <w:tc>
                      <w:tcPr>
                        <w:tcW w:w="200" w:type="dxa"/>
                      </w:tcPr>
                      <w:p>
                        <w:pPr/>
                      </w:p>
                    </w:tc>
                    <w:tc>
                      <w:tcPr>
                        <w:tcW w:w="960" w:type="dxa"/>
                      </w:tcPr>
                      <w:p>
                        <w:pPr>
                          <w:pStyle w:val="TableParagraph"/>
                          <w:spacing w:line="201" w:lineRule="exact" w:before="0"/>
                          <w:ind w:right="18"/>
                          <w:jc w:val="right"/>
                          <w:rPr>
                            <w:sz w:val="18"/>
                          </w:rPr>
                        </w:pPr>
                        <w:r>
                          <w:rPr>
                            <w:color w:val="231F20"/>
                            <w:sz w:val="18"/>
                          </w:rPr>
                          <w:t>(87)</w:t>
                        </w:r>
                      </w:p>
                    </w:tc>
                    <w:tc>
                      <w:tcPr>
                        <w:tcW w:w="1190" w:type="dxa"/>
                        <w:gridSpan w:val="2"/>
                      </w:tcPr>
                      <w:p>
                        <w:pPr/>
                      </w:p>
                    </w:tc>
                  </w:tr>
                  <w:tr>
                    <w:trPr>
                      <w:trHeight w:val="230" w:hRule="exact"/>
                    </w:trPr>
                    <w:tc>
                      <w:tcPr>
                        <w:tcW w:w="5840" w:type="dxa"/>
                        <w:shd w:val="clear" w:color="auto" w:fill="CCECFC"/>
                      </w:tcPr>
                      <w:p>
                        <w:pPr>
                          <w:pStyle w:val="TableParagraph"/>
                          <w:spacing w:before="2"/>
                          <w:ind w:left="60"/>
                          <w:rPr>
                            <w:sz w:val="18"/>
                          </w:rPr>
                        </w:pPr>
                        <w:r>
                          <w:rPr>
                            <w:color w:val="231F20"/>
                            <w:sz w:val="18"/>
                          </w:rPr>
                          <w:t>Deduct: Acquisition and integration costs</w:t>
                        </w:r>
                      </w:p>
                    </w:tc>
                    <w:tc>
                      <w:tcPr>
                        <w:tcW w:w="960" w:type="dxa"/>
                        <w:shd w:val="clear" w:color="auto" w:fill="CCECFC"/>
                      </w:tcPr>
                      <w:p>
                        <w:pPr>
                          <w:pStyle w:val="TableParagraph"/>
                          <w:spacing w:before="2"/>
                          <w:ind w:right="18"/>
                          <w:jc w:val="right"/>
                          <w:rPr>
                            <w:sz w:val="18"/>
                          </w:rPr>
                        </w:pPr>
                        <w:r>
                          <w:rPr>
                            <w:color w:val="231F20"/>
                            <w:sz w:val="18"/>
                          </w:rPr>
                          <w:t>(126)</w:t>
                        </w:r>
                      </w:p>
                    </w:tc>
                    <w:tc>
                      <w:tcPr>
                        <w:tcW w:w="200" w:type="dxa"/>
                        <w:shd w:val="clear" w:color="auto" w:fill="CCECFC"/>
                      </w:tcPr>
                      <w:p>
                        <w:pPr/>
                      </w:p>
                    </w:tc>
                    <w:tc>
                      <w:tcPr>
                        <w:tcW w:w="960" w:type="dxa"/>
                        <w:shd w:val="clear" w:color="auto" w:fill="CCECFC"/>
                      </w:tcPr>
                      <w:p>
                        <w:pPr>
                          <w:pStyle w:val="TableParagraph"/>
                          <w:spacing w:before="2"/>
                          <w:ind w:right="18"/>
                          <w:jc w:val="right"/>
                          <w:rPr>
                            <w:sz w:val="18"/>
                          </w:rPr>
                        </w:pPr>
                        <w:r>
                          <w:rPr>
                            <w:color w:val="231F20"/>
                            <w:sz w:val="18"/>
                          </w:rPr>
                          <w:t>(86)</w:t>
                        </w:r>
                      </w:p>
                    </w:tc>
                    <w:tc>
                      <w:tcPr>
                        <w:tcW w:w="1190" w:type="dxa"/>
                        <w:gridSpan w:val="2"/>
                        <w:shd w:val="clear" w:color="auto" w:fill="CCECFC"/>
                      </w:tcPr>
                      <w:p>
                        <w:pPr/>
                      </w:p>
                    </w:tc>
                  </w:tr>
                  <w:tr>
                    <w:trPr>
                      <w:trHeight w:val="245" w:hRule="exact"/>
                    </w:trPr>
                    <w:tc>
                      <w:tcPr>
                        <w:tcW w:w="5840" w:type="dxa"/>
                      </w:tcPr>
                      <w:p>
                        <w:pPr>
                          <w:pStyle w:val="TableParagraph"/>
                          <w:spacing w:before="2"/>
                          <w:ind w:left="60"/>
                          <w:rPr>
                            <w:sz w:val="18"/>
                          </w:rPr>
                        </w:pPr>
                        <w:r>
                          <w:rPr>
                            <w:color w:val="231F20"/>
                            <w:sz w:val="18"/>
                          </w:rPr>
                          <w:t>Deduct: Labor ratification bonus</w:t>
                        </w:r>
                      </w:p>
                    </w:tc>
                    <w:tc>
                      <w:tcPr>
                        <w:tcW w:w="960" w:type="dxa"/>
                        <w:tcBorders>
                          <w:bottom w:val="single" w:sz="4" w:space="0" w:color="231F20"/>
                        </w:tcBorders>
                      </w:tcPr>
                      <w:p>
                        <w:pPr>
                          <w:pStyle w:val="TableParagraph"/>
                          <w:spacing w:before="2"/>
                          <w:ind w:right="18"/>
                          <w:jc w:val="right"/>
                          <w:rPr>
                            <w:sz w:val="18"/>
                          </w:rPr>
                        </w:pPr>
                        <w:r>
                          <w:rPr>
                            <w:color w:val="231F20"/>
                            <w:sz w:val="18"/>
                          </w:rPr>
                          <w:t>(9)</w:t>
                        </w:r>
                      </w:p>
                    </w:tc>
                    <w:tc>
                      <w:tcPr>
                        <w:tcW w:w="200" w:type="dxa"/>
                      </w:tcPr>
                      <w:p>
                        <w:pPr/>
                      </w:p>
                    </w:tc>
                    <w:tc>
                      <w:tcPr>
                        <w:tcW w:w="960" w:type="dxa"/>
                        <w:tcBorders>
                          <w:bottom w:val="single" w:sz="4" w:space="0" w:color="231F20"/>
                        </w:tcBorders>
                      </w:tcPr>
                      <w:p>
                        <w:pPr>
                          <w:pStyle w:val="TableParagraph"/>
                          <w:spacing w:before="2"/>
                          <w:ind w:right="78"/>
                          <w:jc w:val="right"/>
                          <w:rPr>
                            <w:sz w:val="18"/>
                          </w:rPr>
                        </w:pPr>
                        <w:r>
                          <w:rPr>
                            <w:color w:val="231F20"/>
                            <w:sz w:val="18"/>
                          </w:rPr>
                          <w:t>—</w:t>
                        </w:r>
                      </w:p>
                    </w:tc>
                    <w:tc>
                      <w:tcPr>
                        <w:tcW w:w="1190" w:type="dxa"/>
                        <w:gridSpan w:val="2"/>
                      </w:tcPr>
                      <w:p>
                        <w:pPr/>
                      </w:p>
                    </w:tc>
                  </w:tr>
                  <w:tr>
                    <w:trPr>
                      <w:trHeight w:val="290" w:hRule="exact"/>
                    </w:trPr>
                    <w:tc>
                      <w:tcPr>
                        <w:tcW w:w="5840" w:type="dxa"/>
                        <w:shd w:val="clear" w:color="auto" w:fill="CCECFC"/>
                      </w:tcPr>
                      <w:p>
                        <w:pPr>
                          <w:pStyle w:val="TableParagraph"/>
                          <w:spacing w:before="2"/>
                          <w:ind w:left="60"/>
                          <w:rPr>
                            <w:b/>
                            <w:sz w:val="18"/>
                          </w:rPr>
                        </w:pPr>
                        <w:r>
                          <w:rPr>
                            <w:b/>
                            <w:color w:val="231F20"/>
                            <w:sz w:val="18"/>
                          </w:rPr>
                          <w:t>Total operating expenses, non-GAAP</w:t>
                        </w:r>
                      </w:p>
                    </w:tc>
                    <w:tc>
                      <w:tcPr>
                        <w:tcW w:w="960" w:type="dxa"/>
                        <w:tcBorders>
                          <w:top w:val="single" w:sz="4" w:space="0" w:color="231F20"/>
                          <w:bottom w:val="single" w:sz="4" w:space="0" w:color="231F20"/>
                        </w:tcBorders>
                        <w:shd w:val="clear" w:color="auto" w:fill="CCECFC"/>
                      </w:tcPr>
                      <w:p>
                        <w:pPr>
                          <w:pStyle w:val="TableParagraph"/>
                          <w:tabs>
                            <w:tab w:pos="384" w:val="left" w:leader="none"/>
                          </w:tabs>
                          <w:spacing w:before="2"/>
                          <w:rPr>
                            <w:sz w:val="18"/>
                          </w:rPr>
                        </w:pPr>
                        <w:r>
                          <w:rPr>
                            <w:color w:val="231F20"/>
                            <w:sz w:val="18"/>
                          </w:rPr>
                          <w:t>$</w:t>
                          <w:tab/>
                          <w:t>16,217</w:t>
                        </w:r>
                      </w:p>
                    </w:tc>
                    <w:tc>
                      <w:tcPr>
                        <w:tcW w:w="200" w:type="dxa"/>
                        <w:shd w:val="clear" w:color="auto" w:fill="CCECFC"/>
                      </w:tcPr>
                      <w:p>
                        <w:pPr/>
                      </w:p>
                    </w:tc>
                    <w:tc>
                      <w:tcPr>
                        <w:tcW w:w="960" w:type="dxa"/>
                        <w:tcBorders>
                          <w:top w:val="single" w:sz="4" w:space="0" w:color="231F20"/>
                          <w:bottom w:val="single" w:sz="4" w:space="0" w:color="231F20"/>
                        </w:tcBorders>
                        <w:shd w:val="clear" w:color="auto" w:fill="CCECFC"/>
                      </w:tcPr>
                      <w:p>
                        <w:pPr>
                          <w:pStyle w:val="TableParagraph"/>
                          <w:tabs>
                            <w:tab w:pos="384" w:val="left" w:leader="none"/>
                          </w:tabs>
                          <w:spacing w:before="2"/>
                          <w:ind w:right="78"/>
                          <w:jc w:val="right"/>
                          <w:rPr>
                            <w:sz w:val="18"/>
                          </w:rPr>
                        </w:pPr>
                        <w:r>
                          <w:rPr>
                            <w:color w:val="231F20"/>
                            <w:sz w:val="18"/>
                          </w:rPr>
                          <w:t>$</w:t>
                          <w:tab/>
                        </w:r>
                        <w:r>
                          <w:rPr>
                            <w:color w:val="231F20"/>
                            <w:spacing w:val="-1"/>
                            <w:sz w:val="18"/>
                          </w:rPr>
                          <w:t>16,251</w:t>
                        </w:r>
                      </w:p>
                    </w:tc>
                    <w:tc>
                      <w:tcPr>
                        <w:tcW w:w="1190" w:type="dxa"/>
                        <w:gridSpan w:val="2"/>
                        <w:shd w:val="clear" w:color="auto" w:fill="CCECFC"/>
                      </w:tcPr>
                      <w:p>
                        <w:pPr>
                          <w:pStyle w:val="TableParagraph"/>
                          <w:spacing w:before="2"/>
                          <w:ind w:left="694"/>
                          <w:rPr>
                            <w:sz w:val="18"/>
                          </w:rPr>
                        </w:pPr>
                        <w:r>
                          <w:rPr>
                            <w:color w:val="231F20"/>
                            <w:sz w:val="18"/>
                          </w:rPr>
                          <w:t>(0.2)%</w:t>
                        </w:r>
                      </w:p>
                    </w:tc>
                  </w:tr>
                  <w:tr>
                    <w:trPr>
                      <w:trHeight w:val="334" w:hRule="exact"/>
                    </w:trPr>
                    <w:tc>
                      <w:tcPr>
                        <w:tcW w:w="5840" w:type="dxa"/>
                      </w:tcPr>
                      <w:p>
                        <w:pPr>
                          <w:pStyle w:val="TableParagraph"/>
                          <w:spacing w:before="9"/>
                          <w:rPr>
                            <w:sz w:val="15"/>
                          </w:rPr>
                        </w:pPr>
                      </w:p>
                      <w:p>
                        <w:pPr>
                          <w:pStyle w:val="TableParagraph"/>
                          <w:spacing w:before="0"/>
                          <w:ind w:left="60"/>
                          <w:rPr>
                            <w:b/>
                            <w:sz w:val="18"/>
                          </w:rPr>
                        </w:pPr>
                        <w:r>
                          <w:rPr>
                            <w:b/>
                            <w:color w:val="231F20"/>
                            <w:sz w:val="18"/>
                          </w:rPr>
                          <w:t>Operating income, as reported</w:t>
                        </w:r>
                      </w:p>
                    </w:tc>
                    <w:tc>
                      <w:tcPr>
                        <w:tcW w:w="960" w:type="dxa"/>
                        <w:tcBorders>
                          <w:top w:val="single" w:sz="4" w:space="0" w:color="231F20"/>
                        </w:tcBorders>
                      </w:tcPr>
                      <w:p>
                        <w:pPr>
                          <w:pStyle w:val="TableParagraph"/>
                          <w:tabs>
                            <w:tab w:pos="474" w:val="left" w:leader="none"/>
                          </w:tabs>
                          <w:spacing w:before="122"/>
                          <w:rPr>
                            <w:sz w:val="18"/>
                          </w:rPr>
                        </w:pPr>
                        <w:r>
                          <w:rPr>
                            <w:color w:val="231F20"/>
                            <w:sz w:val="18"/>
                          </w:rPr>
                          <w:t>$</w:t>
                          <w:tab/>
                          <w:t>2,225</w:t>
                        </w:r>
                      </w:p>
                    </w:tc>
                    <w:tc>
                      <w:tcPr>
                        <w:tcW w:w="200" w:type="dxa"/>
                      </w:tcPr>
                      <w:p>
                        <w:pPr/>
                      </w:p>
                    </w:tc>
                    <w:tc>
                      <w:tcPr>
                        <w:tcW w:w="960" w:type="dxa"/>
                        <w:tcBorders>
                          <w:top w:val="single" w:sz="4" w:space="0" w:color="231F20"/>
                        </w:tcBorders>
                      </w:tcPr>
                      <w:p>
                        <w:pPr>
                          <w:pStyle w:val="TableParagraph"/>
                          <w:tabs>
                            <w:tab w:pos="474" w:val="left" w:leader="none"/>
                          </w:tabs>
                          <w:spacing w:before="122"/>
                          <w:ind w:right="78"/>
                          <w:jc w:val="right"/>
                          <w:rPr>
                            <w:sz w:val="18"/>
                          </w:rPr>
                        </w:pPr>
                        <w:r>
                          <w:rPr>
                            <w:color w:val="231F20"/>
                            <w:sz w:val="18"/>
                          </w:rPr>
                          <w:t>$</w:t>
                          <w:tab/>
                        </w:r>
                        <w:r>
                          <w:rPr>
                            <w:color w:val="231F20"/>
                            <w:spacing w:val="-1"/>
                            <w:sz w:val="18"/>
                          </w:rPr>
                          <w:t>1,278</w:t>
                        </w:r>
                      </w:p>
                    </w:tc>
                    <w:tc>
                      <w:tcPr>
                        <w:tcW w:w="1190" w:type="dxa"/>
                        <w:gridSpan w:val="2"/>
                      </w:tcPr>
                      <w:p>
                        <w:pPr/>
                      </w:p>
                    </w:tc>
                  </w:tr>
                  <w:tr>
                    <w:trPr>
                      <w:trHeight w:val="421" w:hRule="exact"/>
                    </w:trPr>
                    <w:tc>
                      <w:tcPr>
                        <w:tcW w:w="9150" w:type="dxa"/>
                        <w:gridSpan w:val="6"/>
                        <w:shd w:val="clear" w:color="auto" w:fill="CCECFC"/>
                      </w:tcPr>
                      <w:p>
                        <w:pPr>
                          <w:pStyle w:val="TableParagraph"/>
                          <w:spacing w:line="188" w:lineRule="exact" w:before="22"/>
                          <w:ind w:left="60"/>
                          <w:rPr>
                            <w:sz w:val="18"/>
                          </w:rPr>
                        </w:pPr>
                        <w:r>
                          <w:rPr>
                            <w:color w:val="231F20"/>
                            <w:sz w:val="18"/>
                          </w:rPr>
                          <w:t>Add (Deduct): Reclassification between Fuel and oil and Other (gains)</w:t>
                        </w:r>
                      </w:p>
                      <w:p>
                        <w:pPr>
                          <w:pStyle w:val="TableParagraph"/>
                          <w:tabs>
                            <w:tab w:pos="6629" w:val="left" w:leader="none"/>
                            <w:tab w:pos="7729" w:val="left" w:leader="none"/>
                          </w:tabs>
                          <w:spacing w:line="188" w:lineRule="exact" w:before="0"/>
                          <w:ind w:left="240"/>
                          <w:rPr>
                            <w:sz w:val="18"/>
                          </w:rPr>
                        </w:pPr>
                        <w:r>
                          <w:rPr>
                            <w:color w:val="231F20"/>
                            <w:sz w:val="18"/>
                          </w:rPr>
                          <w:t>losses, net, associated with current period</w:t>
                        </w:r>
                        <w:r>
                          <w:rPr>
                            <w:color w:val="231F20"/>
                            <w:spacing w:val="-1"/>
                            <w:sz w:val="18"/>
                          </w:rPr>
                          <w:t> </w:t>
                        </w:r>
                        <w:r>
                          <w:rPr>
                            <w:color w:val="231F20"/>
                            <w:sz w:val="18"/>
                          </w:rPr>
                          <w:t>settled contracts</w:t>
                          <w:tab/>
                          <w:t>4</w:t>
                          <w:tab/>
                          <w:t>(3)</w:t>
                        </w:r>
                      </w:p>
                    </w:tc>
                  </w:tr>
                  <w:tr>
                    <w:trPr>
                      <w:trHeight w:val="194" w:hRule="exact"/>
                    </w:trPr>
                    <w:tc>
                      <w:tcPr>
                        <w:tcW w:w="5840" w:type="dxa"/>
                      </w:tcPr>
                      <w:p>
                        <w:pPr>
                          <w:pStyle w:val="TableParagraph"/>
                          <w:spacing w:before="2"/>
                          <w:ind w:left="60"/>
                          <w:rPr>
                            <w:sz w:val="18"/>
                          </w:rPr>
                        </w:pPr>
                        <w:r>
                          <w:rPr>
                            <w:color w:val="231F20"/>
                            <w:sz w:val="18"/>
                          </w:rPr>
                          <w:t>Add: Contracts settling in the current period, but for which gains have been</w:t>
                        </w:r>
                      </w:p>
                    </w:tc>
                    <w:tc>
                      <w:tcPr>
                        <w:tcW w:w="960" w:type="dxa"/>
                      </w:tcPr>
                      <w:p>
                        <w:pPr/>
                      </w:p>
                    </w:tc>
                    <w:tc>
                      <w:tcPr>
                        <w:tcW w:w="200" w:type="dxa"/>
                      </w:tcPr>
                      <w:p>
                        <w:pPr/>
                      </w:p>
                    </w:tc>
                    <w:tc>
                      <w:tcPr>
                        <w:tcW w:w="960" w:type="dxa"/>
                      </w:tcPr>
                      <w:p>
                        <w:pPr/>
                      </w:p>
                    </w:tc>
                    <w:tc>
                      <w:tcPr>
                        <w:tcW w:w="200" w:type="dxa"/>
                      </w:tcPr>
                      <w:p>
                        <w:pPr/>
                      </w:p>
                    </w:tc>
                    <w:tc>
                      <w:tcPr>
                        <w:tcW w:w="990" w:type="dxa"/>
                      </w:tcPr>
                      <w:p>
                        <w:pPr/>
                      </w:p>
                    </w:tc>
                  </w:tr>
                  <w:tr>
                    <w:trPr>
                      <w:trHeight w:val="206" w:hRule="exact"/>
                    </w:trPr>
                    <w:tc>
                      <w:tcPr>
                        <w:tcW w:w="5840" w:type="dxa"/>
                      </w:tcPr>
                      <w:p>
                        <w:pPr>
                          <w:pStyle w:val="TableParagraph"/>
                          <w:spacing w:line="201" w:lineRule="exact" w:before="0"/>
                          <w:ind w:left="240"/>
                          <w:rPr>
                            <w:sz w:val="18"/>
                          </w:rPr>
                        </w:pPr>
                        <w:r>
                          <w:rPr>
                            <w:color w:val="231F20"/>
                            <w:sz w:val="18"/>
                          </w:rPr>
                          <w:t>recognized in a prior period*</w:t>
                        </w:r>
                      </w:p>
                    </w:tc>
                    <w:tc>
                      <w:tcPr>
                        <w:tcW w:w="960" w:type="dxa"/>
                      </w:tcPr>
                      <w:p>
                        <w:pPr>
                          <w:pStyle w:val="TableParagraph"/>
                          <w:spacing w:line="201" w:lineRule="exact" w:before="0"/>
                          <w:ind w:right="78"/>
                          <w:jc w:val="right"/>
                          <w:rPr>
                            <w:sz w:val="18"/>
                          </w:rPr>
                        </w:pPr>
                        <w:r>
                          <w:rPr>
                            <w:color w:val="231F20"/>
                            <w:sz w:val="18"/>
                          </w:rPr>
                          <w:t>24</w:t>
                        </w:r>
                      </w:p>
                    </w:tc>
                    <w:tc>
                      <w:tcPr>
                        <w:tcW w:w="200" w:type="dxa"/>
                      </w:tcPr>
                      <w:p>
                        <w:pPr/>
                      </w:p>
                    </w:tc>
                    <w:tc>
                      <w:tcPr>
                        <w:tcW w:w="960" w:type="dxa"/>
                      </w:tcPr>
                      <w:p>
                        <w:pPr>
                          <w:pStyle w:val="TableParagraph"/>
                          <w:spacing w:line="201" w:lineRule="exact" w:before="0"/>
                          <w:ind w:right="78"/>
                          <w:jc w:val="right"/>
                          <w:rPr>
                            <w:sz w:val="18"/>
                          </w:rPr>
                        </w:pPr>
                        <w:r>
                          <w:rPr>
                            <w:color w:val="231F20"/>
                            <w:sz w:val="18"/>
                          </w:rPr>
                          <w:t>87</w:t>
                        </w:r>
                      </w:p>
                    </w:tc>
                    <w:tc>
                      <w:tcPr>
                        <w:tcW w:w="1190" w:type="dxa"/>
                        <w:gridSpan w:val="2"/>
                      </w:tcPr>
                      <w:p>
                        <w:pPr/>
                      </w:p>
                    </w:tc>
                  </w:tr>
                  <w:tr>
                    <w:trPr>
                      <w:trHeight w:val="230" w:hRule="exact"/>
                    </w:trPr>
                    <w:tc>
                      <w:tcPr>
                        <w:tcW w:w="5840" w:type="dxa"/>
                        <w:shd w:val="clear" w:color="auto" w:fill="CCECFC"/>
                      </w:tcPr>
                      <w:p>
                        <w:pPr>
                          <w:pStyle w:val="TableParagraph"/>
                          <w:spacing w:before="2"/>
                          <w:ind w:left="60"/>
                          <w:rPr>
                            <w:sz w:val="18"/>
                          </w:rPr>
                        </w:pPr>
                        <w:r>
                          <w:rPr>
                            <w:color w:val="231F20"/>
                            <w:sz w:val="18"/>
                          </w:rPr>
                          <w:t>Add: Acquisition and integration costs</w:t>
                        </w:r>
                      </w:p>
                    </w:tc>
                    <w:tc>
                      <w:tcPr>
                        <w:tcW w:w="960" w:type="dxa"/>
                        <w:shd w:val="clear" w:color="auto" w:fill="CCECFC"/>
                      </w:tcPr>
                      <w:p>
                        <w:pPr>
                          <w:pStyle w:val="TableParagraph"/>
                          <w:spacing w:before="2"/>
                          <w:ind w:right="78"/>
                          <w:jc w:val="right"/>
                          <w:rPr>
                            <w:sz w:val="18"/>
                          </w:rPr>
                        </w:pPr>
                        <w:r>
                          <w:rPr>
                            <w:color w:val="231F20"/>
                            <w:sz w:val="18"/>
                          </w:rPr>
                          <w:t>126</w:t>
                        </w:r>
                      </w:p>
                    </w:tc>
                    <w:tc>
                      <w:tcPr>
                        <w:tcW w:w="200" w:type="dxa"/>
                        <w:shd w:val="clear" w:color="auto" w:fill="CCECFC"/>
                      </w:tcPr>
                      <w:p>
                        <w:pPr/>
                      </w:p>
                    </w:tc>
                    <w:tc>
                      <w:tcPr>
                        <w:tcW w:w="960" w:type="dxa"/>
                        <w:shd w:val="clear" w:color="auto" w:fill="CCECFC"/>
                      </w:tcPr>
                      <w:p>
                        <w:pPr>
                          <w:pStyle w:val="TableParagraph"/>
                          <w:spacing w:before="2"/>
                          <w:ind w:right="78"/>
                          <w:jc w:val="right"/>
                          <w:rPr>
                            <w:sz w:val="18"/>
                          </w:rPr>
                        </w:pPr>
                        <w:r>
                          <w:rPr>
                            <w:color w:val="231F20"/>
                            <w:sz w:val="18"/>
                          </w:rPr>
                          <w:t>86</w:t>
                        </w:r>
                      </w:p>
                    </w:tc>
                    <w:tc>
                      <w:tcPr>
                        <w:tcW w:w="1190" w:type="dxa"/>
                        <w:gridSpan w:val="2"/>
                        <w:shd w:val="clear" w:color="auto" w:fill="CCECFC"/>
                      </w:tcPr>
                      <w:p>
                        <w:pPr/>
                      </w:p>
                    </w:tc>
                  </w:tr>
                  <w:tr>
                    <w:trPr>
                      <w:trHeight w:val="245" w:hRule="exact"/>
                    </w:trPr>
                    <w:tc>
                      <w:tcPr>
                        <w:tcW w:w="5840" w:type="dxa"/>
                      </w:tcPr>
                      <w:p>
                        <w:pPr>
                          <w:pStyle w:val="TableParagraph"/>
                          <w:spacing w:before="2"/>
                          <w:ind w:left="60"/>
                          <w:rPr>
                            <w:sz w:val="18"/>
                          </w:rPr>
                        </w:pPr>
                        <w:r>
                          <w:rPr>
                            <w:color w:val="231F20"/>
                            <w:sz w:val="18"/>
                          </w:rPr>
                          <w:t>Add: Labor ratification bonus</w:t>
                        </w:r>
                      </w:p>
                    </w:tc>
                    <w:tc>
                      <w:tcPr>
                        <w:tcW w:w="960" w:type="dxa"/>
                        <w:tcBorders>
                          <w:bottom w:val="single" w:sz="4" w:space="0" w:color="231F20"/>
                        </w:tcBorders>
                      </w:tcPr>
                      <w:p>
                        <w:pPr>
                          <w:pStyle w:val="TableParagraph"/>
                          <w:spacing w:before="2"/>
                          <w:ind w:right="79"/>
                          <w:jc w:val="right"/>
                          <w:rPr>
                            <w:sz w:val="18"/>
                          </w:rPr>
                        </w:pPr>
                        <w:r>
                          <w:rPr>
                            <w:color w:val="231F20"/>
                            <w:sz w:val="18"/>
                          </w:rPr>
                          <w:t>9</w:t>
                        </w:r>
                      </w:p>
                    </w:tc>
                    <w:tc>
                      <w:tcPr>
                        <w:tcW w:w="200" w:type="dxa"/>
                      </w:tcPr>
                      <w:p>
                        <w:pPr/>
                      </w:p>
                    </w:tc>
                    <w:tc>
                      <w:tcPr>
                        <w:tcW w:w="960" w:type="dxa"/>
                        <w:tcBorders>
                          <w:bottom w:val="single" w:sz="4" w:space="0" w:color="231F20"/>
                        </w:tcBorders>
                      </w:tcPr>
                      <w:p>
                        <w:pPr>
                          <w:pStyle w:val="TableParagraph"/>
                          <w:spacing w:before="2"/>
                          <w:ind w:right="78"/>
                          <w:jc w:val="right"/>
                          <w:rPr>
                            <w:sz w:val="18"/>
                          </w:rPr>
                        </w:pPr>
                        <w:r>
                          <w:rPr>
                            <w:color w:val="231F20"/>
                            <w:sz w:val="18"/>
                          </w:rPr>
                          <w:t>—</w:t>
                        </w:r>
                      </w:p>
                    </w:tc>
                    <w:tc>
                      <w:tcPr>
                        <w:tcW w:w="1190" w:type="dxa"/>
                        <w:gridSpan w:val="2"/>
                      </w:tcPr>
                      <w:p>
                        <w:pPr/>
                      </w:p>
                    </w:tc>
                  </w:tr>
                  <w:tr>
                    <w:trPr>
                      <w:trHeight w:val="266" w:hRule="exact"/>
                    </w:trPr>
                    <w:tc>
                      <w:tcPr>
                        <w:tcW w:w="5840" w:type="dxa"/>
                        <w:shd w:val="clear" w:color="auto" w:fill="CCECFC"/>
                      </w:tcPr>
                      <w:p>
                        <w:pPr>
                          <w:pStyle w:val="TableParagraph"/>
                          <w:spacing w:before="2"/>
                          <w:ind w:left="60"/>
                          <w:rPr>
                            <w:b/>
                            <w:sz w:val="18"/>
                          </w:rPr>
                        </w:pPr>
                        <w:r>
                          <w:rPr>
                            <w:b/>
                            <w:color w:val="231F20"/>
                            <w:sz w:val="18"/>
                          </w:rPr>
                          <w:t>Operating income, non-GAAP</w:t>
                        </w:r>
                      </w:p>
                    </w:tc>
                    <w:tc>
                      <w:tcPr>
                        <w:tcW w:w="960" w:type="dxa"/>
                        <w:tcBorders>
                          <w:top w:val="single" w:sz="4" w:space="0" w:color="231F20"/>
                        </w:tcBorders>
                        <w:shd w:val="clear" w:color="auto" w:fill="CCECFC"/>
                      </w:tcPr>
                      <w:p>
                        <w:pPr>
                          <w:pStyle w:val="TableParagraph"/>
                          <w:tabs>
                            <w:tab w:pos="474" w:val="left" w:leader="none"/>
                          </w:tabs>
                          <w:spacing w:before="2"/>
                          <w:rPr>
                            <w:sz w:val="18"/>
                          </w:rPr>
                        </w:pPr>
                        <w:r>
                          <w:rPr>
                            <w:color w:val="231F20"/>
                            <w:sz w:val="18"/>
                          </w:rPr>
                          <w:t>$</w:t>
                          <w:tab/>
                          <w:t>2,388</w:t>
                        </w:r>
                      </w:p>
                    </w:tc>
                    <w:tc>
                      <w:tcPr>
                        <w:tcW w:w="200" w:type="dxa"/>
                        <w:shd w:val="clear" w:color="auto" w:fill="CCECFC"/>
                      </w:tcPr>
                      <w:p>
                        <w:pPr/>
                      </w:p>
                    </w:tc>
                    <w:tc>
                      <w:tcPr>
                        <w:tcW w:w="960" w:type="dxa"/>
                        <w:tcBorders>
                          <w:top w:val="single" w:sz="4" w:space="0" w:color="231F20"/>
                        </w:tcBorders>
                        <w:shd w:val="clear" w:color="auto" w:fill="CCECFC"/>
                      </w:tcPr>
                      <w:p>
                        <w:pPr>
                          <w:pStyle w:val="TableParagraph"/>
                          <w:tabs>
                            <w:tab w:pos="474" w:val="left" w:leader="none"/>
                          </w:tabs>
                          <w:spacing w:before="2"/>
                          <w:ind w:right="78"/>
                          <w:jc w:val="right"/>
                          <w:rPr>
                            <w:sz w:val="18"/>
                          </w:rPr>
                        </w:pPr>
                        <w:r>
                          <w:rPr>
                            <w:color w:val="231F20"/>
                            <w:sz w:val="18"/>
                          </w:rPr>
                          <w:t>$</w:t>
                          <w:tab/>
                        </w:r>
                        <w:r>
                          <w:rPr>
                            <w:color w:val="231F20"/>
                            <w:spacing w:val="-1"/>
                            <w:sz w:val="18"/>
                          </w:rPr>
                          <w:t>1,448</w:t>
                        </w:r>
                      </w:p>
                    </w:tc>
                    <w:tc>
                      <w:tcPr>
                        <w:tcW w:w="1190" w:type="dxa"/>
                        <w:gridSpan w:val="2"/>
                        <w:shd w:val="clear" w:color="auto" w:fill="CCECFC"/>
                      </w:tcPr>
                      <w:p>
                        <w:pPr>
                          <w:pStyle w:val="TableParagraph"/>
                          <w:spacing w:before="2"/>
                          <w:ind w:left="664"/>
                          <w:rPr>
                            <w:sz w:val="18"/>
                          </w:rPr>
                        </w:pPr>
                        <w:r>
                          <w:rPr>
                            <w:color w:val="231F20"/>
                            <w:sz w:val="18"/>
                          </w:rPr>
                          <w:t>64.9%</w:t>
                        </w:r>
                      </w:p>
                    </w:tc>
                  </w:tr>
                  <w:tr>
                    <w:trPr>
                      <w:trHeight w:val="259" w:hRule="exact"/>
                    </w:trPr>
                    <w:tc>
                      <w:tcPr>
                        <w:tcW w:w="5840" w:type="dxa"/>
                      </w:tcPr>
                      <w:p>
                        <w:pPr/>
                      </w:p>
                    </w:tc>
                    <w:tc>
                      <w:tcPr>
                        <w:tcW w:w="960" w:type="dxa"/>
                      </w:tcPr>
                      <w:p>
                        <w:pPr/>
                      </w:p>
                    </w:tc>
                    <w:tc>
                      <w:tcPr>
                        <w:tcW w:w="200" w:type="dxa"/>
                      </w:tcPr>
                      <w:p>
                        <w:pPr/>
                      </w:p>
                    </w:tc>
                    <w:tc>
                      <w:tcPr>
                        <w:tcW w:w="960" w:type="dxa"/>
                      </w:tcPr>
                      <w:p>
                        <w:pPr/>
                      </w:p>
                    </w:tc>
                    <w:tc>
                      <w:tcPr>
                        <w:tcW w:w="1190" w:type="dxa"/>
                        <w:gridSpan w:val="2"/>
                      </w:tcPr>
                      <w:p>
                        <w:pPr/>
                      </w:p>
                    </w:tc>
                  </w:tr>
                  <w:tr>
                    <w:trPr>
                      <w:trHeight w:val="230" w:hRule="exact"/>
                    </w:trPr>
                    <w:tc>
                      <w:tcPr>
                        <w:tcW w:w="5840" w:type="dxa"/>
                        <w:shd w:val="clear" w:color="auto" w:fill="CCECFC"/>
                      </w:tcPr>
                      <w:p>
                        <w:pPr>
                          <w:pStyle w:val="TableParagraph"/>
                          <w:spacing w:before="2"/>
                          <w:ind w:left="60"/>
                          <w:rPr>
                            <w:b/>
                            <w:sz w:val="18"/>
                          </w:rPr>
                        </w:pPr>
                        <w:r>
                          <w:rPr>
                            <w:b/>
                            <w:color w:val="231F20"/>
                            <w:sz w:val="18"/>
                          </w:rPr>
                          <w:t>Net income, as reported</w:t>
                        </w:r>
                      </w:p>
                    </w:tc>
                    <w:tc>
                      <w:tcPr>
                        <w:tcW w:w="960" w:type="dxa"/>
                        <w:shd w:val="clear" w:color="auto" w:fill="CCECFC"/>
                      </w:tcPr>
                      <w:p>
                        <w:pPr>
                          <w:pStyle w:val="TableParagraph"/>
                          <w:tabs>
                            <w:tab w:pos="474" w:val="left" w:leader="none"/>
                          </w:tabs>
                          <w:spacing w:before="2"/>
                          <w:rPr>
                            <w:sz w:val="18"/>
                          </w:rPr>
                        </w:pPr>
                        <w:r>
                          <w:rPr>
                            <w:color w:val="231F20"/>
                            <w:sz w:val="18"/>
                          </w:rPr>
                          <w:t>$</w:t>
                          <w:tab/>
                          <w:t>1,136</w:t>
                        </w:r>
                      </w:p>
                    </w:tc>
                    <w:tc>
                      <w:tcPr>
                        <w:tcW w:w="200" w:type="dxa"/>
                        <w:shd w:val="clear" w:color="auto" w:fill="CCECFC"/>
                      </w:tcPr>
                      <w:p>
                        <w:pPr/>
                      </w:p>
                    </w:tc>
                    <w:tc>
                      <w:tcPr>
                        <w:tcW w:w="960" w:type="dxa"/>
                        <w:shd w:val="clear" w:color="auto" w:fill="CCECFC"/>
                      </w:tcPr>
                      <w:p>
                        <w:pPr>
                          <w:pStyle w:val="TableParagraph"/>
                          <w:tabs>
                            <w:tab w:pos="609" w:val="left" w:leader="none"/>
                          </w:tabs>
                          <w:spacing w:before="2"/>
                          <w:ind w:right="78"/>
                          <w:jc w:val="right"/>
                          <w:rPr>
                            <w:sz w:val="18"/>
                          </w:rPr>
                        </w:pPr>
                        <w:r>
                          <w:rPr>
                            <w:color w:val="231F20"/>
                            <w:sz w:val="18"/>
                          </w:rPr>
                          <w:t>$</w:t>
                          <w:tab/>
                        </w:r>
                        <w:r>
                          <w:rPr>
                            <w:color w:val="231F20"/>
                            <w:spacing w:val="-1"/>
                            <w:sz w:val="18"/>
                          </w:rPr>
                          <w:t>754</w:t>
                        </w:r>
                      </w:p>
                    </w:tc>
                    <w:tc>
                      <w:tcPr>
                        <w:tcW w:w="1190" w:type="dxa"/>
                        <w:gridSpan w:val="2"/>
                        <w:shd w:val="clear" w:color="auto" w:fill="CCECFC"/>
                      </w:tcPr>
                      <w:p>
                        <w:pPr/>
                      </w:p>
                    </w:tc>
                  </w:tr>
                  <w:tr>
                    <w:trPr>
                      <w:trHeight w:val="194" w:hRule="exact"/>
                    </w:trPr>
                    <w:tc>
                      <w:tcPr>
                        <w:tcW w:w="5840" w:type="dxa"/>
                      </w:tcPr>
                      <w:p>
                        <w:pPr>
                          <w:pStyle w:val="TableParagraph"/>
                          <w:spacing w:before="2"/>
                          <w:ind w:left="60"/>
                          <w:rPr>
                            <w:sz w:val="18"/>
                          </w:rPr>
                        </w:pPr>
                        <w:r>
                          <w:rPr>
                            <w:color w:val="231F20"/>
                            <w:sz w:val="18"/>
                          </w:rPr>
                          <w:t>Add (Deduct): Mark-to-market impact from fuel contracts settling in future</w:t>
                        </w:r>
                      </w:p>
                    </w:tc>
                    <w:tc>
                      <w:tcPr>
                        <w:tcW w:w="960" w:type="dxa"/>
                      </w:tcPr>
                      <w:p>
                        <w:pPr/>
                      </w:p>
                    </w:tc>
                    <w:tc>
                      <w:tcPr>
                        <w:tcW w:w="200" w:type="dxa"/>
                      </w:tcPr>
                      <w:p>
                        <w:pPr/>
                      </w:p>
                    </w:tc>
                    <w:tc>
                      <w:tcPr>
                        <w:tcW w:w="960" w:type="dxa"/>
                      </w:tcPr>
                      <w:p>
                        <w:pPr/>
                      </w:p>
                    </w:tc>
                    <w:tc>
                      <w:tcPr>
                        <w:tcW w:w="200" w:type="dxa"/>
                      </w:tcPr>
                      <w:p>
                        <w:pPr/>
                      </w:p>
                    </w:tc>
                    <w:tc>
                      <w:tcPr>
                        <w:tcW w:w="990" w:type="dxa"/>
                      </w:tcPr>
                      <w:p>
                        <w:pPr/>
                      </w:p>
                    </w:tc>
                  </w:tr>
                  <w:tr>
                    <w:trPr>
                      <w:trHeight w:val="206" w:hRule="exact"/>
                    </w:trPr>
                    <w:tc>
                      <w:tcPr>
                        <w:tcW w:w="5840" w:type="dxa"/>
                      </w:tcPr>
                      <w:p>
                        <w:pPr>
                          <w:pStyle w:val="TableParagraph"/>
                          <w:spacing w:line="201" w:lineRule="exact" w:before="0"/>
                          <w:ind w:left="240"/>
                          <w:rPr>
                            <w:sz w:val="18"/>
                          </w:rPr>
                        </w:pPr>
                        <w:r>
                          <w:rPr>
                            <w:color w:val="231F20"/>
                            <w:sz w:val="18"/>
                          </w:rPr>
                          <w:t>periods</w:t>
                        </w:r>
                      </w:p>
                    </w:tc>
                    <w:tc>
                      <w:tcPr>
                        <w:tcW w:w="960" w:type="dxa"/>
                      </w:tcPr>
                      <w:p>
                        <w:pPr>
                          <w:pStyle w:val="TableParagraph"/>
                          <w:spacing w:line="201" w:lineRule="exact" w:before="0"/>
                          <w:ind w:right="79"/>
                          <w:jc w:val="right"/>
                          <w:rPr>
                            <w:sz w:val="18"/>
                          </w:rPr>
                        </w:pPr>
                        <w:r>
                          <w:rPr>
                            <w:color w:val="231F20"/>
                            <w:sz w:val="18"/>
                          </w:rPr>
                          <w:t>251</w:t>
                        </w:r>
                      </w:p>
                    </w:tc>
                    <w:tc>
                      <w:tcPr>
                        <w:tcW w:w="2350" w:type="dxa"/>
                        <w:gridSpan w:val="4"/>
                      </w:tcPr>
                      <w:p>
                        <w:pPr>
                          <w:pStyle w:val="TableParagraph"/>
                          <w:spacing w:line="201" w:lineRule="exact" w:before="0"/>
                          <w:ind w:left="749"/>
                          <w:rPr>
                            <w:sz w:val="18"/>
                          </w:rPr>
                        </w:pPr>
                        <w:r>
                          <w:rPr>
                            <w:color w:val="231F20"/>
                            <w:sz w:val="18"/>
                          </w:rPr>
                          <w:t>(103)</w:t>
                        </w:r>
                      </w:p>
                    </w:tc>
                  </w:tr>
                  <w:tr>
                    <w:trPr>
                      <w:trHeight w:val="230" w:hRule="exact"/>
                    </w:trPr>
                    <w:tc>
                      <w:tcPr>
                        <w:tcW w:w="5840" w:type="dxa"/>
                        <w:shd w:val="clear" w:color="auto" w:fill="CCECFC"/>
                      </w:tcPr>
                      <w:p>
                        <w:pPr>
                          <w:pStyle w:val="TableParagraph"/>
                          <w:spacing w:before="2"/>
                          <w:ind w:left="60"/>
                          <w:rPr>
                            <w:sz w:val="18"/>
                          </w:rPr>
                        </w:pPr>
                        <w:r>
                          <w:rPr>
                            <w:color w:val="231F20"/>
                            <w:sz w:val="18"/>
                          </w:rPr>
                          <w:t>Add: Ineffectiveness from fuel hedges settling in future periods</w:t>
                        </w:r>
                      </w:p>
                    </w:tc>
                    <w:tc>
                      <w:tcPr>
                        <w:tcW w:w="960" w:type="dxa"/>
                        <w:shd w:val="clear" w:color="auto" w:fill="CCECFC"/>
                      </w:tcPr>
                      <w:p>
                        <w:pPr>
                          <w:pStyle w:val="TableParagraph"/>
                          <w:spacing w:before="2"/>
                          <w:ind w:right="78"/>
                          <w:jc w:val="right"/>
                          <w:rPr>
                            <w:sz w:val="18"/>
                          </w:rPr>
                        </w:pPr>
                        <w:r>
                          <w:rPr>
                            <w:color w:val="231F20"/>
                            <w:sz w:val="18"/>
                          </w:rPr>
                          <w:t>5</w:t>
                        </w:r>
                      </w:p>
                    </w:tc>
                    <w:tc>
                      <w:tcPr>
                        <w:tcW w:w="2350" w:type="dxa"/>
                        <w:gridSpan w:val="4"/>
                        <w:shd w:val="clear" w:color="auto" w:fill="CCECFC"/>
                      </w:tcPr>
                      <w:p>
                        <w:pPr>
                          <w:pStyle w:val="TableParagraph"/>
                          <w:spacing w:before="2"/>
                          <w:ind w:left="881" w:right="1248"/>
                          <w:jc w:val="center"/>
                          <w:rPr>
                            <w:sz w:val="18"/>
                          </w:rPr>
                        </w:pPr>
                        <w:r>
                          <w:rPr>
                            <w:color w:val="231F20"/>
                            <w:sz w:val="18"/>
                          </w:rPr>
                          <w:t>11</w:t>
                        </w:r>
                      </w:p>
                    </w:tc>
                  </w:tr>
                  <w:tr>
                    <w:trPr>
                      <w:trHeight w:val="194" w:hRule="exact"/>
                    </w:trPr>
                    <w:tc>
                      <w:tcPr>
                        <w:tcW w:w="5840" w:type="dxa"/>
                      </w:tcPr>
                      <w:p>
                        <w:pPr>
                          <w:pStyle w:val="TableParagraph"/>
                          <w:spacing w:before="2"/>
                          <w:ind w:left="60"/>
                          <w:rPr>
                            <w:sz w:val="18"/>
                          </w:rPr>
                        </w:pPr>
                        <w:r>
                          <w:rPr>
                            <w:color w:val="231F20"/>
                            <w:sz w:val="18"/>
                          </w:rPr>
                          <w:t>Add: Other net impact of fuel contracts settling in the current or a prior</w:t>
                        </w:r>
                      </w:p>
                    </w:tc>
                    <w:tc>
                      <w:tcPr>
                        <w:tcW w:w="960" w:type="dxa"/>
                      </w:tcPr>
                      <w:p>
                        <w:pPr/>
                      </w:p>
                    </w:tc>
                    <w:tc>
                      <w:tcPr>
                        <w:tcW w:w="200" w:type="dxa"/>
                      </w:tcPr>
                      <w:p>
                        <w:pPr/>
                      </w:p>
                    </w:tc>
                    <w:tc>
                      <w:tcPr>
                        <w:tcW w:w="960" w:type="dxa"/>
                      </w:tcPr>
                      <w:p>
                        <w:pPr/>
                      </w:p>
                    </w:tc>
                    <w:tc>
                      <w:tcPr>
                        <w:tcW w:w="200" w:type="dxa"/>
                      </w:tcPr>
                      <w:p>
                        <w:pPr/>
                      </w:p>
                    </w:tc>
                    <w:tc>
                      <w:tcPr>
                        <w:tcW w:w="990" w:type="dxa"/>
                      </w:tcPr>
                      <w:p>
                        <w:pPr/>
                      </w:p>
                    </w:tc>
                  </w:tr>
                  <w:tr>
                    <w:trPr>
                      <w:trHeight w:val="206" w:hRule="exact"/>
                    </w:trPr>
                    <w:tc>
                      <w:tcPr>
                        <w:tcW w:w="5840" w:type="dxa"/>
                      </w:tcPr>
                      <w:p>
                        <w:pPr>
                          <w:pStyle w:val="TableParagraph"/>
                          <w:spacing w:line="201" w:lineRule="exact" w:before="0"/>
                          <w:ind w:left="240"/>
                          <w:rPr>
                            <w:sz w:val="18"/>
                          </w:rPr>
                        </w:pPr>
                        <w:r>
                          <w:rPr>
                            <w:color w:val="231F20"/>
                            <w:sz w:val="18"/>
                          </w:rPr>
                          <w:t>period (excluding reclassifications)</w:t>
                        </w:r>
                      </w:p>
                    </w:tc>
                    <w:tc>
                      <w:tcPr>
                        <w:tcW w:w="960" w:type="dxa"/>
                      </w:tcPr>
                      <w:p>
                        <w:pPr>
                          <w:pStyle w:val="TableParagraph"/>
                          <w:spacing w:line="201" w:lineRule="exact" w:before="0"/>
                          <w:ind w:right="78"/>
                          <w:jc w:val="right"/>
                          <w:rPr>
                            <w:sz w:val="18"/>
                          </w:rPr>
                        </w:pPr>
                        <w:r>
                          <w:rPr>
                            <w:color w:val="231F20"/>
                            <w:sz w:val="18"/>
                          </w:rPr>
                          <w:t>24</w:t>
                        </w:r>
                      </w:p>
                    </w:tc>
                    <w:tc>
                      <w:tcPr>
                        <w:tcW w:w="200" w:type="dxa"/>
                      </w:tcPr>
                      <w:p>
                        <w:pPr/>
                      </w:p>
                    </w:tc>
                    <w:tc>
                      <w:tcPr>
                        <w:tcW w:w="960" w:type="dxa"/>
                      </w:tcPr>
                      <w:p>
                        <w:pPr>
                          <w:pStyle w:val="TableParagraph"/>
                          <w:spacing w:line="201" w:lineRule="exact" w:before="0"/>
                          <w:ind w:right="78"/>
                          <w:jc w:val="right"/>
                          <w:rPr>
                            <w:sz w:val="18"/>
                          </w:rPr>
                        </w:pPr>
                        <w:r>
                          <w:rPr>
                            <w:color w:val="231F20"/>
                            <w:sz w:val="18"/>
                          </w:rPr>
                          <w:t>87</w:t>
                        </w:r>
                      </w:p>
                    </w:tc>
                    <w:tc>
                      <w:tcPr>
                        <w:tcW w:w="1190" w:type="dxa"/>
                        <w:gridSpan w:val="2"/>
                      </w:tcPr>
                      <w:p>
                        <w:pPr/>
                      </w:p>
                    </w:tc>
                  </w:tr>
                  <w:tr>
                    <w:trPr>
                      <w:trHeight w:val="230" w:hRule="exact"/>
                    </w:trPr>
                    <w:tc>
                      <w:tcPr>
                        <w:tcW w:w="5840" w:type="dxa"/>
                        <w:shd w:val="clear" w:color="auto" w:fill="CCECFC"/>
                      </w:tcPr>
                      <w:p>
                        <w:pPr>
                          <w:pStyle w:val="TableParagraph"/>
                          <w:spacing w:before="2"/>
                          <w:ind w:left="60"/>
                          <w:rPr>
                            <w:sz w:val="18"/>
                          </w:rPr>
                        </w:pPr>
                        <w:r>
                          <w:rPr>
                            <w:color w:val="231F20"/>
                            <w:sz w:val="18"/>
                          </w:rPr>
                          <w:t>Income tax impact of fuel contracts</w:t>
                        </w:r>
                      </w:p>
                    </w:tc>
                    <w:tc>
                      <w:tcPr>
                        <w:tcW w:w="960" w:type="dxa"/>
                        <w:shd w:val="clear" w:color="auto" w:fill="CCECFC"/>
                      </w:tcPr>
                      <w:p>
                        <w:pPr>
                          <w:pStyle w:val="TableParagraph"/>
                          <w:spacing w:before="2"/>
                          <w:ind w:right="18"/>
                          <w:jc w:val="right"/>
                          <w:rPr>
                            <w:sz w:val="18"/>
                          </w:rPr>
                        </w:pPr>
                        <w:r>
                          <w:rPr>
                            <w:color w:val="231F20"/>
                            <w:sz w:val="18"/>
                          </w:rPr>
                          <w:t>(104)</w:t>
                        </w:r>
                      </w:p>
                    </w:tc>
                    <w:tc>
                      <w:tcPr>
                        <w:tcW w:w="200" w:type="dxa"/>
                        <w:shd w:val="clear" w:color="auto" w:fill="CCECFC"/>
                      </w:tcPr>
                      <w:p>
                        <w:pPr/>
                      </w:p>
                    </w:tc>
                    <w:tc>
                      <w:tcPr>
                        <w:tcW w:w="960" w:type="dxa"/>
                        <w:shd w:val="clear" w:color="auto" w:fill="CCECFC"/>
                      </w:tcPr>
                      <w:p>
                        <w:pPr>
                          <w:pStyle w:val="TableParagraph"/>
                          <w:spacing w:before="2"/>
                          <w:ind w:right="78"/>
                          <w:jc w:val="right"/>
                          <w:rPr>
                            <w:sz w:val="18"/>
                          </w:rPr>
                        </w:pPr>
                        <w:r>
                          <w:rPr>
                            <w:color w:val="231F20"/>
                            <w:sz w:val="18"/>
                          </w:rPr>
                          <w:t>2</w:t>
                        </w:r>
                      </w:p>
                    </w:tc>
                    <w:tc>
                      <w:tcPr>
                        <w:tcW w:w="1190" w:type="dxa"/>
                        <w:gridSpan w:val="2"/>
                        <w:shd w:val="clear" w:color="auto" w:fill="CCECFC"/>
                      </w:tcPr>
                      <w:p>
                        <w:pPr/>
                      </w:p>
                    </w:tc>
                  </w:tr>
                  <w:tr>
                    <w:trPr>
                      <w:trHeight w:val="230" w:hRule="exact"/>
                    </w:trPr>
                    <w:tc>
                      <w:tcPr>
                        <w:tcW w:w="5840" w:type="dxa"/>
                      </w:tcPr>
                      <w:p>
                        <w:pPr>
                          <w:pStyle w:val="TableParagraph"/>
                          <w:spacing w:before="2"/>
                          <w:ind w:left="60"/>
                          <w:rPr>
                            <w:sz w:val="18"/>
                          </w:rPr>
                        </w:pPr>
                        <w:r>
                          <w:rPr>
                            <w:color w:val="231F20"/>
                            <w:sz w:val="18"/>
                          </w:rPr>
                          <w:t>Add: Acquisition and integration costs (a)</w:t>
                        </w:r>
                      </w:p>
                    </w:tc>
                    <w:tc>
                      <w:tcPr>
                        <w:tcW w:w="960" w:type="dxa"/>
                      </w:tcPr>
                      <w:p>
                        <w:pPr>
                          <w:pStyle w:val="TableParagraph"/>
                          <w:spacing w:before="2"/>
                          <w:ind w:right="78"/>
                          <w:jc w:val="right"/>
                          <w:rPr>
                            <w:sz w:val="18"/>
                          </w:rPr>
                        </w:pPr>
                        <w:r>
                          <w:rPr>
                            <w:color w:val="231F20"/>
                            <w:sz w:val="18"/>
                          </w:rPr>
                          <w:t>79</w:t>
                        </w:r>
                      </w:p>
                    </w:tc>
                    <w:tc>
                      <w:tcPr>
                        <w:tcW w:w="200" w:type="dxa"/>
                      </w:tcPr>
                      <w:p>
                        <w:pPr/>
                      </w:p>
                    </w:tc>
                    <w:tc>
                      <w:tcPr>
                        <w:tcW w:w="960" w:type="dxa"/>
                      </w:tcPr>
                      <w:p>
                        <w:pPr>
                          <w:pStyle w:val="TableParagraph"/>
                          <w:spacing w:before="2"/>
                          <w:ind w:right="78"/>
                          <w:jc w:val="right"/>
                          <w:rPr>
                            <w:sz w:val="18"/>
                          </w:rPr>
                        </w:pPr>
                        <w:r>
                          <w:rPr>
                            <w:color w:val="231F20"/>
                            <w:sz w:val="18"/>
                          </w:rPr>
                          <w:t>54</w:t>
                        </w:r>
                      </w:p>
                    </w:tc>
                    <w:tc>
                      <w:tcPr>
                        <w:tcW w:w="1190" w:type="dxa"/>
                        <w:gridSpan w:val="2"/>
                      </w:tcPr>
                      <w:p>
                        <w:pPr/>
                      </w:p>
                    </w:tc>
                  </w:tr>
                  <w:tr>
                    <w:trPr>
                      <w:trHeight w:val="245" w:hRule="exact"/>
                    </w:trPr>
                    <w:tc>
                      <w:tcPr>
                        <w:tcW w:w="5840" w:type="dxa"/>
                        <w:shd w:val="clear" w:color="auto" w:fill="CCECFC"/>
                      </w:tcPr>
                      <w:p>
                        <w:pPr>
                          <w:pStyle w:val="TableParagraph"/>
                          <w:spacing w:before="2"/>
                          <w:ind w:left="60"/>
                          <w:rPr>
                            <w:sz w:val="18"/>
                          </w:rPr>
                        </w:pPr>
                        <w:r>
                          <w:rPr>
                            <w:color w:val="231F20"/>
                            <w:sz w:val="18"/>
                          </w:rPr>
                          <w:t>Add: Labor ratification bonus (a)</w:t>
                        </w:r>
                      </w:p>
                    </w:tc>
                    <w:tc>
                      <w:tcPr>
                        <w:tcW w:w="960" w:type="dxa"/>
                        <w:tcBorders>
                          <w:bottom w:val="single" w:sz="4" w:space="0" w:color="231F20"/>
                        </w:tcBorders>
                        <w:shd w:val="clear" w:color="auto" w:fill="CCECFC"/>
                      </w:tcPr>
                      <w:p>
                        <w:pPr>
                          <w:pStyle w:val="TableParagraph"/>
                          <w:spacing w:before="2"/>
                          <w:ind w:right="79"/>
                          <w:jc w:val="right"/>
                          <w:rPr>
                            <w:sz w:val="18"/>
                          </w:rPr>
                        </w:pPr>
                        <w:r>
                          <w:rPr>
                            <w:color w:val="231F20"/>
                            <w:sz w:val="18"/>
                          </w:rPr>
                          <w:t>6</w:t>
                        </w:r>
                      </w:p>
                    </w:tc>
                    <w:tc>
                      <w:tcPr>
                        <w:tcW w:w="200" w:type="dxa"/>
                        <w:shd w:val="clear" w:color="auto" w:fill="CCECFC"/>
                      </w:tcPr>
                      <w:p>
                        <w:pPr/>
                      </w:p>
                    </w:tc>
                    <w:tc>
                      <w:tcPr>
                        <w:tcW w:w="960" w:type="dxa"/>
                        <w:tcBorders>
                          <w:bottom w:val="single" w:sz="4" w:space="0" w:color="231F20"/>
                        </w:tcBorders>
                        <w:shd w:val="clear" w:color="auto" w:fill="CCECFC"/>
                      </w:tcPr>
                      <w:p>
                        <w:pPr>
                          <w:pStyle w:val="TableParagraph"/>
                          <w:spacing w:before="2"/>
                          <w:ind w:right="78"/>
                          <w:jc w:val="right"/>
                          <w:rPr>
                            <w:sz w:val="18"/>
                          </w:rPr>
                        </w:pPr>
                        <w:r>
                          <w:rPr>
                            <w:color w:val="231F20"/>
                            <w:sz w:val="18"/>
                          </w:rPr>
                          <w:t>—</w:t>
                        </w:r>
                      </w:p>
                    </w:tc>
                    <w:tc>
                      <w:tcPr>
                        <w:tcW w:w="1190" w:type="dxa"/>
                        <w:gridSpan w:val="2"/>
                        <w:shd w:val="clear" w:color="auto" w:fill="CCECFC"/>
                      </w:tcPr>
                      <w:p>
                        <w:pPr/>
                      </w:p>
                    </w:tc>
                  </w:tr>
                  <w:tr>
                    <w:trPr>
                      <w:trHeight w:val="283" w:hRule="exact"/>
                    </w:trPr>
                    <w:tc>
                      <w:tcPr>
                        <w:tcW w:w="5840" w:type="dxa"/>
                      </w:tcPr>
                      <w:p>
                        <w:pPr>
                          <w:pStyle w:val="TableParagraph"/>
                          <w:spacing w:before="22"/>
                          <w:ind w:left="60"/>
                          <w:rPr>
                            <w:b/>
                            <w:sz w:val="18"/>
                          </w:rPr>
                        </w:pPr>
                        <w:r>
                          <w:rPr>
                            <w:b/>
                            <w:color w:val="231F20"/>
                            <w:sz w:val="18"/>
                          </w:rPr>
                          <w:t>Net income, non-GAAP</w:t>
                        </w:r>
                      </w:p>
                    </w:tc>
                    <w:tc>
                      <w:tcPr>
                        <w:tcW w:w="960" w:type="dxa"/>
                        <w:tcBorders>
                          <w:top w:val="single" w:sz="4" w:space="0" w:color="231F20"/>
                        </w:tcBorders>
                      </w:tcPr>
                      <w:p>
                        <w:pPr>
                          <w:pStyle w:val="TableParagraph"/>
                          <w:tabs>
                            <w:tab w:pos="474" w:val="left" w:leader="none"/>
                          </w:tabs>
                          <w:spacing w:before="2"/>
                          <w:rPr>
                            <w:sz w:val="18"/>
                          </w:rPr>
                        </w:pPr>
                        <w:r>
                          <w:rPr>
                            <w:color w:val="231F20"/>
                            <w:sz w:val="18"/>
                          </w:rPr>
                          <w:t>$</w:t>
                          <w:tab/>
                          <w:t>1,397</w:t>
                        </w:r>
                      </w:p>
                    </w:tc>
                    <w:tc>
                      <w:tcPr>
                        <w:tcW w:w="200" w:type="dxa"/>
                      </w:tcPr>
                      <w:p>
                        <w:pPr/>
                      </w:p>
                    </w:tc>
                    <w:tc>
                      <w:tcPr>
                        <w:tcW w:w="960" w:type="dxa"/>
                        <w:tcBorders>
                          <w:top w:val="single" w:sz="4" w:space="0" w:color="231F20"/>
                        </w:tcBorders>
                      </w:tcPr>
                      <w:p>
                        <w:pPr>
                          <w:pStyle w:val="TableParagraph"/>
                          <w:tabs>
                            <w:tab w:pos="609" w:val="left" w:leader="none"/>
                          </w:tabs>
                          <w:spacing w:before="2"/>
                          <w:ind w:right="78"/>
                          <w:jc w:val="right"/>
                          <w:rPr>
                            <w:sz w:val="18"/>
                          </w:rPr>
                        </w:pPr>
                        <w:r>
                          <w:rPr>
                            <w:color w:val="231F20"/>
                            <w:sz w:val="18"/>
                          </w:rPr>
                          <w:t>$</w:t>
                          <w:tab/>
                        </w:r>
                        <w:r>
                          <w:rPr>
                            <w:color w:val="231F20"/>
                            <w:spacing w:val="-1"/>
                            <w:sz w:val="18"/>
                          </w:rPr>
                          <w:t>805</w:t>
                        </w:r>
                      </w:p>
                    </w:tc>
                    <w:tc>
                      <w:tcPr>
                        <w:tcW w:w="1190" w:type="dxa"/>
                        <w:gridSpan w:val="2"/>
                      </w:tcPr>
                      <w:p>
                        <w:pPr>
                          <w:pStyle w:val="TableParagraph"/>
                          <w:spacing w:before="22"/>
                          <w:ind w:left="664"/>
                          <w:rPr>
                            <w:sz w:val="18"/>
                          </w:rPr>
                        </w:pPr>
                        <w:r>
                          <w:rPr>
                            <w:color w:val="231F20"/>
                            <w:sz w:val="18"/>
                          </w:rPr>
                          <w:t>73.5%</w:t>
                        </w:r>
                      </w:p>
                    </w:tc>
                  </w:tr>
                  <w:tr>
                    <w:trPr>
                      <w:trHeight w:val="243" w:hRule="exact"/>
                    </w:trPr>
                    <w:tc>
                      <w:tcPr>
                        <w:tcW w:w="5840" w:type="dxa"/>
                        <w:shd w:val="clear" w:color="auto" w:fill="CCECFC"/>
                      </w:tcPr>
                      <w:p>
                        <w:pPr/>
                      </w:p>
                    </w:tc>
                    <w:tc>
                      <w:tcPr>
                        <w:tcW w:w="960" w:type="dxa"/>
                        <w:shd w:val="clear" w:color="auto" w:fill="CCECFC"/>
                      </w:tcPr>
                      <w:p>
                        <w:pPr/>
                      </w:p>
                    </w:tc>
                    <w:tc>
                      <w:tcPr>
                        <w:tcW w:w="200" w:type="dxa"/>
                        <w:shd w:val="clear" w:color="auto" w:fill="CCECFC"/>
                      </w:tcPr>
                      <w:p>
                        <w:pPr/>
                      </w:p>
                    </w:tc>
                    <w:tc>
                      <w:tcPr>
                        <w:tcW w:w="960" w:type="dxa"/>
                        <w:shd w:val="clear" w:color="auto" w:fill="CCECFC"/>
                      </w:tcPr>
                      <w:p>
                        <w:pPr/>
                      </w:p>
                    </w:tc>
                    <w:tc>
                      <w:tcPr>
                        <w:tcW w:w="1190" w:type="dxa"/>
                        <w:gridSpan w:val="2"/>
                        <w:shd w:val="clear" w:color="auto" w:fill="CCECFC"/>
                      </w:tcPr>
                      <w:p>
                        <w:pPr/>
                      </w:p>
                    </w:tc>
                  </w:tr>
                  <w:tr>
                    <w:trPr>
                      <w:trHeight w:val="408" w:hRule="exact"/>
                    </w:trPr>
                    <w:tc>
                      <w:tcPr>
                        <w:tcW w:w="5840" w:type="dxa"/>
                      </w:tcPr>
                      <w:p>
                        <w:pPr>
                          <w:pStyle w:val="TableParagraph"/>
                          <w:spacing w:before="2"/>
                          <w:ind w:left="60"/>
                          <w:rPr>
                            <w:b/>
                            <w:sz w:val="18"/>
                          </w:rPr>
                        </w:pPr>
                        <w:r>
                          <w:rPr>
                            <w:b/>
                            <w:color w:val="231F20"/>
                            <w:sz w:val="18"/>
                          </w:rPr>
                          <w:t>Net income per share, diluted, as reported</w:t>
                        </w:r>
                      </w:p>
                      <w:p>
                        <w:pPr>
                          <w:pStyle w:val="TableParagraph"/>
                          <w:spacing w:before="23"/>
                          <w:ind w:left="60"/>
                          <w:rPr>
                            <w:sz w:val="18"/>
                          </w:rPr>
                        </w:pPr>
                        <w:r>
                          <w:rPr>
                            <w:color w:val="231F20"/>
                            <w:sz w:val="18"/>
                          </w:rPr>
                          <w:t>Add: Net impact to net income above from fuel contracts divided by dilutive</w:t>
                        </w:r>
                      </w:p>
                    </w:tc>
                    <w:tc>
                      <w:tcPr>
                        <w:tcW w:w="960" w:type="dxa"/>
                      </w:tcPr>
                      <w:p>
                        <w:pPr>
                          <w:pStyle w:val="TableParagraph"/>
                          <w:tabs>
                            <w:tab w:pos="564" w:val="left" w:leader="none"/>
                          </w:tabs>
                          <w:spacing w:before="2"/>
                          <w:rPr>
                            <w:sz w:val="18"/>
                          </w:rPr>
                        </w:pPr>
                        <w:r>
                          <w:rPr>
                            <w:color w:val="231F20"/>
                            <w:sz w:val="18"/>
                          </w:rPr>
                          <w:t>$</w:t>
                          <w:tab/>
                          <w:t>1.64</w:t>
                        </w:r>
                      </w:p>
                    </w:tc>
                    <w:tc>
                      <w:tcPr>
                        <w:tcW w:w="200" w:type="dxa"/>
                      </w:tcPr>
                      <w:p>
                        <w:pPr/>
                      </w:p>
                    </w:tc>
                    <w:tc>
                      <w:tcPr>
                        <w:tcW w:w="960" w:type="dxa"/>
                      </w:tcPr>
                      <w:p>
                        <w:pPr>
                          <w:pStyle w:val="TableParagraph"/>
                          <w:tabs>
                            <w:tab w:pos="564" w:val="left" w:leader="none"/>
                          </w:tabs>
                          <w:spacing w:before="2"/>
                          <w:ind w:left="-1" w:right="78"/>
                          <w:jc w:val="right"/>
                          <w:rPr>
                            <w:sz w:val="18"/>
                          </w:rPr>
                        </w:pPr>
                        <w:r>
                          <w:rPr>
                            <w:color w:val="231F20"/>
                            <w:sz w:val="18"/>
                          </w:rPr>
                          <w:t>$</w:t>
                          <w:tab/>
                          <w:t>1.05</w:t>
                        </w:r>
                      </w:p>
                    </w:tc>
                    <w:tc>
                      <w:tcPr>
                        <w:tcW w:w="1190" w:type="dxa"/>
                        <w:gridSpan w:val="2"/>
                      </w:tcPr>
                      <w:p>
                        <w:pPr/>
                      </w:p>
                    </w:tc>
                  </w:tr>
                  <w:tr>
                    <w:trPr>
                      <w:trHeight w:val="216" w:hRule="exact"/>
                    </w:trPr>
                    <w:tc>
                      <w:tcPr>
                        <w:tcW w:w="5840" w:type="dxa"/>
                        <w:shd w:val="clear" w:color="auto" w:fill="CCECFC"/>
                      </w:tcPr>
                      <w:p>
                        <w:pPr>
                          <w:pStyle w:val="TableParagraph"/>
                          <w:spacing w:line="201" w:lineRule="exact" w:before="0"/>
                          <w:ind w:left="240"/>
                          <w:rPr>
                            <w:sz w:val="18"/>
                          </w:rPr>
                        </w:pPr>
                        <w:r>
                          <w:rPr>
                            <w:color w:val="231F20"/>
                            <w:sz w:val="18"/>
                          </w:rPr>
                          <w:t>shares (a)</w:t>
                        </w:r>
                      </w:p>
                    </w:tc>
                    <w:tc>
                      <w:tcPr>
                        <w:tcW w:w="960" w:type="dxa"/>
                        <w:shd w:val="clear" w:color="auto" w:fill="CCECFC"/>
                      </w:tcPr>
                      <w:p>
                        <w:pPr>
                          <w:pStyle w:val="TableParagraph"/>
                          <w:spacing w:line="201" w:lineRule="exact" w:before="0"/>
                          <w:ind w:right="79"/>
                          <w:jc w:val="right"/>
                          <w:rPr>
                            <w:sz w:val="18"/>
                          </w:rPr>
                        </w:pPr>
                        <w:r>
                          <w:rPr>
                            <w:color w:val="231F20"/>
                            <w:sz w:val="18"/>
                          </w:rPr>
                          <w:t>0.25</w:t>
                        </w:r>
                      </w:p>
                    </w:tc>
                    <w:tc>
                      <w:tcPr>
                        <w:tcW w:w="200" w:type="dxa"/>
                        <w:shd w:val="clear" w:color="auto" w:fill="CCECFC"/>
                      </w:tcPr>
                      <w:p>
                        <w:pPr/>
                      </w:p>
                    </w:tc>
                    <w:tc>
                      <w:tcPr>
                        <w:tcW w:w="960" w:type="dxa"/>
                        <w:shd w:val="clear" w:color="auto" w:fill="CCECFC"/>
                      </w:tcPr>
                      <w:p>
                        <w:pPr>
                          <w:pStyle w:val="TableParagraph"/>
                          <w:spacing w:line="201" w:lineRule="exact" w:before="0"/>
                          <w:ind w:right="78"/>
                          <w:jc w:val="right"/>
                          <w:rPr>
                            <w:sz w:val="18"/>
                          </w:rPr>
                        </w:pPr>
                        <w:r>
                          <w:rPr>
                            <w:color w:val="231F20"/>
                            <w:sz w:val="18"/>
                          </w:rPr>
                          <w:t>—</w:t>
                        </w:r>
                      </w:p>
                    </w:tc>
                    <w:tc>
                      <w:tcPr>
                        <w:tcW w:w="1190" w:type="dxa"/>
                        <w:gridSpan w:val="2"/>
                        <w:shd w:val="clear" w:color="auto" w:fill="CCECFC"/>
                      </w:tcPr>
                      <w:p>
                        <w:pPr/>
                      </w:p>
                    </w:tc>
                  </w:tr>
                  <w:tr>
                    <w:trPr>
                      <w:trHeight w:val="251" w:hRule="exact"/>
                    </w:trPr>
                    <w:tc>
                      <w:tcPr>
                        <w:tcW w:w="5840" w:type="dxa"/>
                      </w:tcPr>
                      <w:p>
                        <w:pPr>
                          <w:pStyle w:val="TableParagraph"/>
                          <w:spacing w:before="8"/>
                          <w:ind w:left="60"/>
                          <w:rPr>
                            <w:sz w:val="18"/>
                          </w:rPr>
                        </w:pPr>
                        <w:r>
                          <w:rPr>
                            <w:color w:val="231F20"/>
                            <w:sz w:val="18"/>
                          </w:rPr>
                          <w:t>Add: Impact of special items, net (a)</w:t>
                        </w:r>
                      </w:p>
                    </w:tc>
                    <w:tc>
                      <w:tcPr>
                        <w:tcW w:w="960" w:type="dxa"/>
                        <w:tcBorders>
                          <w:bottom w:val="single" w:sz="4" w:space="0" w:color="231F20"/>
                        </w:tcBorders>
                      </w:tcPr>
                      <w:p>
                        <w:pPr>
                          <w:pStyle w:val="TableParagraph"/>
                          <w:spacing w:before="8"/>
                          <w:ind w:right="78"/>
                          <w:jc w:val="right"/>
                          <w:rPr>
                            <w:sz w:val="18"/>
                          </w:rPr>
                        </w:pPr>
                        <w:r>
                          <w:rPr>
                            <w:color w:val="231F20"/>
                            <w:sz w:val="18"/>
                          </w:rPr>
                          <w:t>0.12</w:t>
                        </w:r>
                      </w:p>
                    </w:tc>
                    <w:tc>
                      <w:tcPr>
                        <w:tcW w:w="200" w:type="dxa"/>
                      </w:tcPr>
                      <w:p>
                        <w:pPr/>
                      </w:p>
                    </w:tc>
                    <w:tc>
                      <w:tcPr>
                        <w:tcW w:w="960" w:type="dxa"/>
                        <w:tcBorders>
                          <w:bottom w:val="single" w:sz="4" w:space="0" w:color="231F20"/>
                        </w:tcBorders>
                      </w:tcPr>
                      <w:p>
                        <w:pPr>
                          <w:pStyle w:val="TableParagraph"/>
                          <w:spacing w:before="8"/>
                          <w:ind w:right="78"/>
                          <w:jc w:val="right"/>
                          <w:rPr>
                            <w:sz w:val="18"/>
                          </w:rPr>
                        </w:pPr>
                        <w:r>
                          <w:rPr>
                            <w:color w:val="231F20"/>
                            <w:sz w:val="18"/>
                          </w:rPr>
                          <w:t>0.07</w:t>
                        </w:r>
                      </w:p>
                    </w:tc>
                    <w:tc>
                      <w:tcPr>
                        <w:tcW w:w="1190" w:type="dxa"/>
                        <w:gridSpan w:val="2"/>
                      </w:tcPr>
                      <w:p>
                        <w:pPr/>
                      </w:p>
                    </w:tc>
                  </w:tr>
                  <w:tr>
                    <w:trPr>
                      <w:trHeight w:val="266" w:hRule="exact"/>
                    </w:trPr>
                    <w:tc>
                      <w:tcPr>
                        <w:tcW w:w="5840" w:type="dxa"/>
                        <w:shd w:val="clear" w:color="auto" w:fill="CCECFC"/>
                      </w:tcPr>
                      <w:p>
                        <w:pPr>
                          <w:pStyle w:val="TableParagraph"/>
                          <w:spacing w:before="2"/>
                          <w:ind w:left="60"/>
                          <w:rPr>
                            <w:b/>
                            <w:sz w:val="18"/>
                          </w:rPr>
                        </w:pPr>
                        <w:r>
                          <w:rPr>
                            <w:b/>
                            <w:color w:val="231F20"/>
                            <w:sz w:val="18"/>
                          </w:rPr>
                          <w:t>Net income per share, diluted, non-GAAP</w:t>
                        </w:r>
                      </w:p>
                    </w:tc>
                    <w:tc>
                      <w:tcPr>
                        <w:tcW w:w="960" w:type="dxa"/>
                        <w:tcBorders>
                          <w:top w:val="single" w:sz="4" w:space="0" w:color="231F20"/>
                        </w:tcBorders>
                        <w:shd w:val="clear" w:color="auto" w:fill="CCECFC"/>
                      </w:tcPr>
                      <w:p>
                        <w:pPr>
                          <w:pStyle w:val="TableParagraph"/>
                          <w:tabs>
                            <w:tab w:pos="564" w:val="left" w:leader="none"/>
                          </w:tabs>
                          <w:spacing w:before="2"/>
                          <w:rPr>
                            <w:sz w:val="18"/>
                          </w:rPr>
                        </w:pPr>
                        <w:r>
                          <w:rPr>
                            <w:color w:val="231F20"/>
                            <w:sz w:val="18"/>
                          </w:rPr>
                          <w:t>$</w:t>
                          <w:tab/>
                          <w:t>2.01</w:t>
                        </w:r>
                      </w:p>
                    </w:tc>
                    <w:tc>
                      <w:tcPr>
                        <w:tcW w:w="200" w:type="dxa"/>
                        <w:shd w:val="clear" w:color="auto" w:fill="CCECFC"/>
                      </w:tcPr>
                      <w:p>
                        <w:pPr/>
                      </w:p>
                    </w:tc>
                    <w:tc>
                      <w:tcPr>
                        <w:tcW w:w="960" w:type="dxa"/>
                        <w:tcBorders>
                          <w:top w:val="single" w:sz="4" w:space="0" w:color="231F20"/>
                        </w:tcBorders>
                        <w:shd w:val="clear" w:color="auto" w:fill="CCECFC"/>
                      </w:tcPr>
                      <w:p>
                        <w:pPr>
                          <w:pStyle w:val="TableParagraph"/>
                          <w:tabs>
                            <w:tab w:pos="564" w:val="left" w:leader="none"/>
                          </w:tabs>
                          <w:spacing w:before="2"/>
                          <w:ind w:left="-1" w:right="78"/>
                          <w:jc w:val="right"/>
                          <w:rPr>
                            <w:sz w:val="18"/>
                          </w:rPr>
                        </w:pPr>
                        <w:r>
                          <w:rPr>
                            <w:color w:val="231F20"/>
                            <w:sz w:val="18"/>
                          </w:rPr>
                          <w:t>$</w:t>
                          <w:tab/>
                          <w:t>1.12</w:t>
                        </w:r>
                      </w:p>
                    </w:tc>
                    <w:tc>
                      <w:tcPr>
                        <w:tcW w:w="1190" w:type="dxa"/>
                        <w:gridSpan w:val="2"/>
                        <w:shd w:val="clear" w:color="auto" w:fill="CCECFC"/>
                      </w:tcPr>
                      <w:p>
                        <w:pPr>
                          <w:pStyle w:val="TableParagraph"/>
                          <w:spacing w:before="2"/>
                          <w:ind w:left="664"/>
                          <w:rPr>
                            <w:sz w:val="18"/>
                          </w:rPr>
                        </w:pPr>
                        <w:r>
                          <w:rPr>
                            <w:color w:val="231F20"/>
                            <w:sz w:val="18"/>
                          </w:rPr>
                          <w:t>79.5%</w:t>
                        </w:r>
                      </w:p>
                    </w:tc>
                  </w:tr>
                  <w:tr>
                    <w:trPr>
                      <w:trHeight w:val="259" w:hRule="exact"/>
                    </w:trPr>
                    <w:tc>
                      <w:tcPr>
                        <w:tcW w:w="5840" w:type="dxa"/>
                      </w:tcPr>
                      <w:p>
                        <w:pPr/>
                      </w:p>
                    </w:tc>
                    <w:tc>
                      <w:tcPr>
                        <w:tcW w:w="960" w:type="dxa"/>
                      </w:tcPr>
                      <w:p>
                        <w:pPr/>
                      </w:p>
                    </w:tc>
                    <w:tc>
                      <w:tcPr>
                        <w:tcW w:w="200" w:type="dxa"/>
                      </w:tcPr>
                      <w:p>
                        <w:pPr/>
                      </w:p>
                    </w:tc>
                    <w:tc>
                      <w:tcPr>
                        <w:tcW w:w="960" w:type="dxa"/>
                      </w:tcPr>
                      <w:p>
                        <w:pPr/>
                      </w:p>
                    </w:tc>
                    <w:tc>
                      <w:tcPr>
                        <w:tcW w:w="1190" w:type="dxa"/>
                        <w:gridSpan w:val="2"/>
                      </w:tcPr>
                      <w:p>
                        <w:pPr/>
                      </w:p>
                    </w:tc>
                  </w:tr>
                  <w:tr>
                    <w:trPr>
                      <w:trHeight w:val="230" w:hRule="exact"/>
                    </w:trPr>
                    <w:tc>
                      <w:tcPr>
                        <w:tcW w:w="5840" w:type="dxa"/>
                        <w:shd w:val="clear" w:color="auto" w:fill="CCECFC"/>
                      </w:tcPr>
                      <w:p>
                        <w:pPr>
                          <w:pStyle w:val="TableParagraph"/>
                          <w:spacing w:before="2"/>
                          <w:ind w:left="60"/>
                          <w:rPr>
                            <w:b/>
                            <w:sz w:val="18"/>
                          </w:rPr>
                        </w:pPr>
                        <w:r>
                          <w:rPr>
                            <w:b/>
                            <w:color w:val="231F20"/>
                            <w:sz w:val="18"/>
                          </w:rPr>
                          <w:t>Operating expenses per ASM (Cents)</w:t>
                        </w:r>
                      </w:p>
                    </w:tc>
                    <w:tc>
                      <w:tcPr>
                        <w:tcW w:w="960" w:type="dxa"/>
                        <w:shd w:val="clear" w:color="auto" w:fill="CCECFC"/>
                      </w:tcPr>
                      <w:p>
                        <w:pPr>
                          <w:pStyle w:val="TableParagraph"/>
                          <w:spacing w:before="2"/>
                          <w:ind w:right="-11"/>
                          <w:jc w:val="right"/>
                          <w:rPr>
                            <w:sz w:val="18"/>
                          </w:rPr>
                        </w:pPr>
                        <w:r>
                          <w:rPr>
                            <w:color w:val="231F20"/>
                            <w:sz w:val="18"/>
                          </w:rPr>
                          <w:t>12.50¢</w:t>
                        </w:r>
                      </w:p>
                    </w:tc>
                    <w:tc>
                      <w:tcPr>
                        <w:tcW w:w="200" w:type="dxa"/>
                        <w:shd w:val="clear" w:color="auto" w:fill="CCECFC"/>
                      </w:tcPr>
                      <w:p>
                        <w:pPr/>
                      </w:p>
                    </w:tc>
                    <w:tc>
                      <w:tcPr>
                        <w:tcW w:w="960" w:type="dxa"/>
                        <w:shd w:val="clear" w:color="auto" w:fill="CCECFC"/>
                      </w:tcPr>
                      <w:p>
                        <w:pPr>
                          <w:pStyle w:val="TableParagraph"/>
                          <w:spacing w:before="2"/>
                          <w:ind w:right="-10"/>
                          <w:jc w:val="right"/>
                          <w:rPr>
                            <w:sz w:val="18"/>
                          </w:rPr>
                        </w:pPr>
                        <w:r>
                          <w:rPr>
                            <w:color w:val="231F20"/>
                            <w:sz w:val="18"/>
                          </w:rPr>
                          <w:t>12.60¢</w:t>
                        </w:r>
                      </w:p>
                    </w:tc>
                    <w:tc>
                      <w:tcPr>
                        <w:tcW w:w="1190" w:type="dxa"/>
                        <w:gridSpan w:val="2"/>
                        <w:shd w:val="clear" w:color="auto" w:fill="CCECFC"/>
                      </w:tcPr>
                      <w:p>
                        <w:pPr/>
                      </w:p>
                    </w:tc>
                  </w:tr>
                  <w:tr>
                    <w:trPr>
                      <w:trHeight w:val="230" w:hRule="exact"/>
                    </w:trPr>
                    <w:tc>
                      <w:tcPr>
                        <w:tcW w:w="5840" w:type="dxa"/>
                      </w:tcPr>
                      <w:p>
                        <w:pPr>
                          <w:pStyle w:val="TableParagraph"/>
                          <w:spacing w:before="2"/>
                          <w:ind w:left="60"/>
                          <w:rPr>
                            <w:sz w:val="18"/>
                          </w:rPr>
                        </w:pPr>
                        <w:r>
                          <w:rPr>
                            <w:color w:val="231F20"/>
                            <w:sz w:val="18"/>
                          </w:rPr>
                          <w:t>Deduct: Fuel expense divided by ASMs</w:t>
                        </w:r>
                      </w:p>
                    </w:tc>
                    <w:tc>
                      <w:tcPr>
                        <w:tcW w:w="960" w:type="dxa"/>
                      </w:tcPr>
                      <w:p>
                        <w:pPr>
                          <w:pStyle w:val="TableParagraph"/>
                          <w:spacing w:before="2"/>
                          <w:ind w:right="18"/>
                          <w:jc w:val="right"/>
                          <w:rPr>
                            <w:sz w:val="18"/>
                          </w:rPr>
                        </w:pPr>
                        <w:r>
                          <w:rPr>
                            <w:color w:val="231F20"/>
                            <w:sz w:val="18"/>
                          </w:rPr>
                          <w:t>(4.04)</w:t>
                        </w:r>
                      </w:p>
                    </w:tc>
                    <w:tc>
                      <w:tcPr>
                        <w:tcW w:w="200" w:type="dxa"/>
                      </w:tcPr>
                      <w:p>
                        <w:pPr/>
                      </w:p>
                    </w:tc>
                    <w:tc>
                      <w:tcPr>
                        <w:tcW w:w="960" w:type="dxa"/>
                      </w:tcPr>
                      <w:p>
                        <w:pPr>
                          <w:pStyle w:val="TableParagraph"/>
                          <w:spacing w:before="2"/>
                          <w:ind w:right="18"/>
                          <w:jc w:val="right"/>
                          <w:rPr>
                            <w:sz w:val="18"/>
                          </w:rPr>
                        </w:pPr>
                        <w:r>
                          <w:rPr>
                            <w:color w:val="231F20"/>
                            <w:sz w:val="18"/>
                          </w:rPr>
                          <w:t>(4.42)</w:t>
                        </w:r>
                      </w:p>
                    </w:tc>
                    <w:tc>
                      <w:tcPr>
                        <w:tcW w:w="1190" w:type="dxa"/>
                        <w:gridSpan w:val="2"/>
                      </w:tcPr>
                      <w:p>
                        <w:pPr/>
                      </w:p>
                    </w:tc>
                  </w:tr>
                  <w:tr>
                    <w:trPr>
                      <w:trHeight w:val="245" w:hRule="exact"/>
                    </w:trPr>
                    <w:tc>
                      <w:tcPr>
                        <w:tcW w:w="5840" w:type="dxa"/>
                        <w:shd w:val="clear" w:color="auto" w:fill="CCECFC"/>
                      </w:tcPr>
                      <w:p>
                        <w:pPr>
                          <w:pStyle w:val="TableParagraph"/>
                          <w:spacing w:before="2"/>
                          <w:ind w:left="60"/>
                          <w:rPr>
                            <w:sz w:val="18"/>
                          </w:rPr>
                        </w:pPr>
                        <w:r>
                          <w:rPr>
                            <w:color w:val="231F20"/>
                            <w:sz w:val="18"/>
                          </w:rPr>
                          <w:t>Deduct: Impact of special items</w:t>
                        </w:r>
                      </w:p>
                    </w:tc>
                    <w:tc>
                      <w:tcPr>
                        <w:tcW w:w="960" w:type="dxa"/>
                        <w:tcBorders>
                          <w:bottom w:val="single" w:sz="4" w:space="0" w:color="231F20"/>
                        </w:tcBorders>
                        <w:shd w:val="clear" w:color="auto" w:fill="CCECFC"/>
                      </w:tcPr>
                      <w:p>
                        <w:pPr>
                          <w:pStyle w:val="TableParagraph"/>
                          <w:spacing w:before="2"/>
                          <w:ind w:right="18"/>
                          <w:jc w:val="right"/>
                          <w:rPr>
                            <w:sz w:val="18"/>
                          </w:rPr>
                        </w:pPr>
                        <w:r>
                          <w:rPr>
                            <w:color w:val="231F20"/>
                            <w:sz w:val="18"/>
                          </w:rPr>
                          <w:t>(0.10)</w:t>
                        </w:r>
                      </w:p>
                    </w:tc>
                    <w:tc>
                      <w:tcPr>
                        <w:tcW w:w="200" w:type="dxa"/>
                        <w:shd w:val="clear" w:color="auto" w:fill="CCECFC"/>
                      </w:tcPr>
                      <w:p>
                        <w:pPr/>
                      </w:p>
                    </w:tc>
                    <w:tc>
                      <w:tcPr>
                        <w:tcW w:w="960" w:type="dxa"/>
                        <w:tcBorders>
                          <w:bottom w:val="single" w:sz="4" w:space="0" w:color="231F20"/>
                        </w:tcBorders>
                        <w:shd w:val="clear" w:color="auto" w:fill="CCECFC"/>
                      </w:tcPr>
                      <w:p>
                        <w:pPr>
                          <w:pStyle w:val="TableParagraph"/>
                          <w:spacing w:before="2"/>
                          <w:ind w:right="18"/>
                          <w:jc w:val="right"/>
                          <w:rPr>
                            <w:sz w:val="18"/>
                          </w:rPr>
                        </w:pPr>
                        <w:r>
                          <w:rPr>
                            <w:color w:val="231F20"/>
                            <w:sz w:val="18"/>
                          </w:rPr>
                          <w:t>(0.07)</w:t>
                        </w:r>
                      </w:p>
                    </w:tc>
                    <w:tc>
                      <w:tcPr>
                        <w:tcW w:w="1190" w:type="dxa"/>
                        <w:gridSpan w:val="2"/>
                        <w:shd w:val="clear" w:color="auto" w:fill="CCECFC"/>
                      </w:tcPr>
                      <w:p>
                        <w:pPr/>
                      </w:p>
                    </w:tc>
                  </w:tr>
                </w:tbl>
                <w:p>
                  <w:pPr>
                    <w:pStyle w:val="BodyText"/>
                  </w:pPr>
                </w:p>
              </w:txbxContent>
            </v:textbox>
            <w10:wrap type="none"/>
          </v:shape>
        </w:pict>
      </w:r>
      <w:r>
        <w:rPr>
          <w:b/>
          <w:color w:val="231F20"/>
          <w:sz w:val="18"/>
        </w:rPr>
        <w:t>Year ended</w:t>
      </w:r>
      <w:r>
        <w:rPr>
          <w:b/>
          <w:color w:val="231F20"/>
          <w:spacing w:val="-1"/>
          <w:sz w:val="18"/>
        </w:rPr>
        <w:t> </w:t>
      </w:r>
      <w:r>
        <w:rPr>
          <w:b/>
          <w:color w:val="231F20"/>
          <w:sz w:val="18"/>
        </w:rPr>
        <w:t>December 31,</w:t>
        <w:tab/>
        <w:t>Percent 2014</w:t>
        <w:tab/>
        <w:t>2013</w:t>
        <w:tab/>
        <w:t>Change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9"/>
        </w:rPr>
      </w:pPr>
      <w:r>
        <w:rPr/>
        <w:pict>
          <v:line style="position:absolute;mso-position-horizontal-relative:page;mso-position-vertical-relative:paragraph;z-index:1744;mso-wrap-distance-left:0;mso-wrap-distance-right:0" from="361pt,13.682957pt" to="409pt,13.682957pt" stroked="true" strokeweight=".5pt" strokecolor="#231f20">
            <v:stroke dashstyle="solid"/>
            <w10:wrap type="topAndBottom"/>
          </v:line>
        </w:pict>
      </w:r>
      <w:r>
        <w:rPr/>
        <w:pict>
          <v:line style="position:absolute;mso-position-horizontal-relative:page;mso-position-vertical-relative:paragraph;z-index:1768;mso-wrap-distance-left:0;mso-wrap-distance-right:0" from="419pt,13.682957pt" to="467pt,13.682957pt" stroked="true" strokeweight=".5pt" strokecolor="#231f20">
            <v:stroke dashstyle="solid"/>
            <w10:wrap type="topAndBottom"/>
          </v:lin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r>
        <w:rPr/>
        <w:pict>
          <v:line style="position:absolute;mso-position-horizontal-relative:page;mso-position-vertical-relative:paragraph;z-index:1792;mso-wrap-distance-left:0;mso-wrap-distance-right:0" from="361pt,13.806836pt" to="409pt,13.806836pt" stroked="true" strokeweight=".5pt" strokecolor="#231f20">
            <v:stroke dashstyle="solid"/>
            <w10:wrap type="topAndBottom"/>
          </v:line>
        </w:pict>
      </w:r>
      <w:r>
        <w:rPr/>
        <w:pict>
          <v:line style="position:absolute;mso-position-horizontal-relative:page;mso-position-vertical-relative:paragraph;z-index:1816;mso-wrap-distance-left:0;mso-wrap-distance-right:0" from="419pt,13.806836pt" to="467pt,13.806836pt" stroked="true" strokeweight=".5pt" strokecolor="#231f20">
            <v:stroke dashstyle="solid"/>
            <w10:wrap type="topAndBottom"/>
          </v:lin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r>
        <w:rPr/>
        <w:pict>
          <v:group style="position:absolute;margin-left:360.75pt;margin-top:13.556836pt;width:48.5pt;height:2.5pt;mso-position-horizontal-relative:page;mso-position-vertical-relative:paragraph;z-index:1840;mso-wrap-distance-left:0;mso-wrap-distance-right:0" coordorigin="7215,271" coordsize="970,50">
            <v:line style="position:absolute" from="7220,276" to="8180,276" stroked="true" strokeweight=".5pt" strokecolor="#231f20">
              <v:stroke dashstyle="solid"/>
            </v:line>
            <v:line style="position:absolute" from="7220,316" to="8180,316" stroked="true" strokeweight=".5pt" strokecolor="#231f20">
              <v:stroke dashstyle="solid"/>
            </v:line>
            <w10:wrap type="topAndBottom"/>
          </v:group>
        </w:pict>
      </w:r>
      <w:r>
        <w:rPr/>
        <w:pict>
          <v:group style="position:absolute;margin-left:418.75pt;margin-top:13.556836pt;width:48.5pt;height:2.5pt;mso-position-horizontal-relative:page;mso-position-vertical-relative:paragraph;z-index:1864;mso-wrap-distance-left:0;mso-wrap-distance-right:0" coordorigin="8375,271" coordsize="970,50">
            <v:line style="position:absolute" from="8380,276" to="9340,276" stroked="true" strokeweight=".5pt" strokecolor="#231f20">
              <v:stroke dashstyle="solid"/>
            </v:line>
            <v:line style="position:absolute" from="8380,316" to="9340,316"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6"/>
        </w:rPr>
      </w:pPr>
      <w:r>
        <w:rPr/>
        <w:pict>
          <v:group style="position:absolute;margin-left:360.75pt;margin-top:17.058788pt;width:48.5pt;height:2.5pt;mso-position-horizontal-relative:page;mso-position-vertical-relative:paragraph;z-index:1888;mso-wrap-distance-left:0;mso-wrap-distance-right:0" coordorigin="7215,341" coordsize="970,50">
            <v:line style="position:absolute" from="7220,346" to="8180,346" stroked="true" strokeweight=".5pt" strokecolor="#231f20">
              <v:stroke dashstyle="solid"/>
            </v:line>
            <v:line style="position:absolute" from="7220,386" to="8180,386" stroked="true" strokeweight=".5pt" strokecolor="#231f20">
              <v:stroke dashstyle="solid"/>
            </v:line>
            <w10:wrap type="topAndBottom"/>
          </v:group>
        </w:pict>
      </w:r>
      <w:r>
        <w:rPr/>
        <w:pict>
          <v:group style="position:absolute;margin-left:418.75pt;margin-top:17.058788pt;width:48.5pt;height:2.5pt;mso-position-horizontal-relative:page;mso-position-vertical-relative:paragraph;z-index:1912;mso-wrap-distance-left:0;mso-wrap-distance-right:0" coordorigin="8375,341" coordsize="970,50">
            <v:line style="position:absolute" from="8380,346" to="9340,346" stroked="true" strokeweight=".5pt" strokecolor="#231f20">
              <v:stroke dashstyle="solid"/>
            </v:line>
            <v:line style="position:absolute" from="8380,386" to="9340,386" stroked="true" strokeweight=".5pt" strokecolor="#231f20">
              <v:stroke dashstyle="solid"/>
            </v:line>
            <w10:wrap type="topAndBottom"/>
          </v:group>
        </w:pict>
      </w:r>
    </w:p>
    <w:p>
      <w:pPr>
        <w:pStyle w:val="BodyText"/>
        <w:rPr>
          <w:b/>
          <w:sz w:val="20"/>
        </w:rPr>
      </w:pPr>
    </w:p>
    <w:p>
      <w:pPr>
        <w:pStyle w:val="BodyText"/>
        <w:spacing w:before="1"/>
        <w:rPr>
          <w:b/>
          <w:sz w:val="14"/>
        </w:rPr>
      </w:pPr>
      <w:r>
        <w:rPr/>
        <w:pict>
          <v:rect style="position:absolute;margin-left:69pt;margin-top:10.050977pt;width:456pt;height:20pt;mso-position-horizontal-relative:page;mso-position-vertical-relative:paragraph;z-index:1936;mso-wrap-distance-left:0;mso-wrap-distance-right:0" filled="true" fillcolor="#ccecfc" stroked="false">
            <v:fill type="solid"/>
            <w10:wrap type="topAndBottom"/>
          </v:rect>
        </w:pict>
      </w:r>
    </w:p>
    <w:p>
      <w:pPr>
        <w:pStyle w:val="BodyText"/>
        <w:rPr>
          <w:b/>
          <w:sz w:val="20"/>
        </w:rPr>
      </w:pPr>
    </w:p>
    <w:p>
      <w:pPr>
        <w:pStyle w:val="BodyText"/>
        <w:spacing w:before="8"/>
        <w:rPr>
          <w:b/>
          <w:sz w:val="16"/>
        </w:rPr>
      </w:pPr>
      <w:r>
        <w:rPr/>
        <w:pict>
          <v:group style="position:absolute;margin-left:360.75pt;margin-top:11.550977pt;width:48.5pt;height:2.5pt;mso-position-horizontal-relative:page;mso-position-vertical-relative:paragraph;z-index:1960;mso-wrap-distance-left:0;mso-wrap-distance-right:0" coordorigin="7215,231" coordsize="970,50">
            <v:line style="position:absolute" from="7220,236" to="8180,236" stroked="true" strokeweight=".5pt" strokecolor="#231f20">
              <v:stroke dashstyle="solid"/>
            </v:line>
            <v:line style="position:absolute" from="7220,276" to="8180,276" stroked="true" strokeweight=".5pt" strokecolor="#231f20">
              <v:stroke dashstyle="solid"/>
            </v:line>
            <w10:wrap type="topAndBottom"/>
          </v:group>
        </w:pict>
      </w:r>
      <w:r>
        <w:rPr/>
        <w:pict>
          <v:group style="position:absolute;margin-left:418.75pt;margin-top:11.550977pt;width:48.5pt;height:2.5pt;mso-position-horizontal-relative:page;mso-position-vertical-relative:paragraph;z-index:1984;mso-wrap-distance-left:0;mso-wrap-distance-right:0" coordorigin="8375,231" coordsize="970,50">
            <v:line style="position:absolute" from="8380,236" to="9340,236" stroked="true" strokeweight=".5pt" strokecolor="#231f20">
              <v:stroke dashstyle="solid"/>
            </v:line>
            <v:line style="position:absolute" from="8380,276" to="9340,276"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spacing w:before="4"/>
        <w:rPr>
          <w:b/>
          <w:sz w:val="19"/>
        </w:rPr>
      </w:pPr>
    </w:p>
    <w:p>
      <w:pPr>
        <w:spacing w:line="188" w:lineRule="exact" w:before="0"/>
        <w:ind w:left="160" w:right="0" w:firstLine="0"/>
        <w:jc w:val="left"/>
        <w:rPr>
          <w:b/>
          <w:sz w:val="18"/>
        </w:rPr>
      </w:pPr>
      <w:r>
        <w:rPr>
          <w:b/>
          <w:color w:val="231F20"/>
          <w:sz w:val="18"/>
        </w:rPr>
        <w:t>Operating expenses per ASM, non-GAAP, excluding fuel and special</w:t>
      </w:r>
    </w:p>
    <w:p>
      <w:pPr>
        <w:tabs>
          <w:tab w:pos="6504" w:val="left" w:leader="none"/>
          <w:tab w:pos="7664" w:val="left" w:leader="none"/>
          <w:tab w:pos="8814" w:val="left" w:leader="none"/>
        </w:tabs>
        <w:spacing w:line="188" w:lineRule="exact" w:before="0"/>
        <w:ind w:left="340" w:right="0" w:firstLine="0"/>
        <w:jc w:val="left"/>
        <w:rPr>
          <w:sz w:val="18"/>
        </w:rPr>
      </w:pPr>
      <w:r>
        <w:rPr/>
        <w:pict>
          <v:group style="position:absolute;margin-left:360.75pt;margin-top:10.977984pt;width:48.5pt;height:2.5pt;mso-position-horizontal-relative:page;mso-position-vertical-relative:paragraph;z-index:2008;mso-wrap-distance-left:0;mso-wrap-distance-right:0" coordorigin="7215,220" coordsize="970,50">
            <v:line style="position:absolute" from="7220,225" to="8180,225" stroked="true" strokeweight=".5pt" strokecolor="#231f20">
              <v:stroke dashstyle="solid"/>
            </v:line>
            <v:line style="position:absolute" from="7220,265" to="8180,265" stroked="true" strokeweight=".5pt" strokecolor="#231f20">
              <v:stroke dashstyle="solid"/>
            </v:line>
            <w10:wrap type="topAndBottom"/>
          </v:group>
        </w:pict>
      </w:r>
      <w:r>
        <w:rPr/>
        <w:pict>
          <v:group style="position:absolute;margin-left:418.75pt;margin-top:10.977984pt;width:48.5pt;height:2.5pt;mso-position-horizontal-relative:page;mso-position-vertical-relative:paragraph;z-index:2032;mso-wrap-distance-left:0;mso-wrap-distance-right:0" coordorigin="8375,220" coordsize="970,50">
            <v:line style="position:absolute" from="8380,225" to="9340,225" stroked="true" strokeweight=".5pt" strokecolor="#231f20">
              <v:stroke dashstyle="solid"/>
            </v:line>
            <v:line style="position:absolute" from="8380,265" to="9340,265" stroked="true" strokeweight=".5pt" strokecolor="#231f20">
              <v:stroke dashstyle="solid"/>
            </v:line>
            <w10:wrap type="topAndBottom"/>
          </v:group>
        </w:pict>
      </w:r>
      <w:r>
        <w:rPr>
          <w:b/>
          <w:color w:val="231F20"/>
          <w:sz w:val="18"/>
        </w:rPr>
        <w:t>items (cents)</w:t>
        <w:tab/>
      </w:r>
      <w:r>
        <w:rPr>
          <w:color w:val="231F20"/>
          <w:sz w:val="18"/>
        </w:rPr>
        <w:t>8.36¢</w:t>
        <w:tab/>
        <w:t>8.11¢</w:t>
        <w:tab/>
        <w:t>3.1%</w:t>
      </w:r>
    </w:p>
    <w:p>
      <w:pPr>
        <w:spacing w:before="24"/>
        <w:ind w:left="100" w:right="0" w:firstLine="0"/>
        <w:jc w:val="left"/>
        <w:rPr>
          <w:sz w:val="20"/>
        </w:rPr>
      </w:pPr>
      <w:r>
        <w:rPr>
          <w:color w:val="231F20"/>
          <w:sz w:val="20"/>
        </w:rPr>
        <w:t>* As a result of prior hedge ineffectiveness and/or contracts marked to market through earnings.</w:t>
      </w:r>
    </w:p>
    <w:p>
      <w:pPr>
        <w:pStyle w:val="ListParagraph"/>
        <w:numPr>
          <w:ilvl w:val="1"/>
          <w:numId w:val="8"/>
        </w:numPr>
        <w:tabs>
          <w:tab w:pos="373" w:val="left" w:leader="none"/>
        </w:tabs>
        <w:spacing w:line="240" w:lineRule="auto" w:before="9" w:after="0"/>
        <w:ind w:left="373" w:right="0" w:hanging="273"/>
        <w:jc w:val="left"/>
        <w:rPr>
          <w:sz w:val="20"/>
        </w:rPr>
      </w:pPr>
      <w:r>
        <w:rPr>
          <w:color w:val="231F20"/>
          <w:sz w:val="20"/>
        </w:rPr>
        <w:t>Amounts net of tax</w:t>
      </w:r>
    </w:p>
    <w:p>
      <w:pPr>
        <w:spacing w:after="0" w:line="240" w:lineRule="auto"/>
        <w:jc w:val="left"/>
        <w:rPr>
          <w:sz w:val="20"/>
        </w:rPr>
        <w:sectPr>
          <w:pgSz w:w="11880" w:h="15480"/>
          <w:pgMar w:header="0" w:footer="1240" w:top="1240" w:bottom="1420" w:left="1280" w:right="1240"/>
        </w:sectPr>
      </w:pPr>
    </w:p>
    <w:p>
      <w:pPr>
        <w:pStyle w:val="Heading1"/>
      </w:pPr>
      <w:r>
        <w:rPr>
          <w:color w:val="231F20"/>
        </w:rPr>
        <w:t>Return on Invested Capital (ROIC) (in millions) (unaudited)</w:t>
      </w:r>
    </w:p>
    <w:p>
      <w:pPr>
        <w:pStyle w:val="BodyText"/>
        <w:spacing w:before="3"/>
        <w:rPr>
          <w:b/>
          <w:sz w:val="18"/>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20"/>
        <w:gridCol w:w="200"/>
        <w:gridCol w:w="1487"/>
        <w:gridCol w:w="113"/>
        <w:gridCol w:w="1487"/>
        <w:gridCol w:w="113"/>
        <w:gridCol w:w="1427"/>
      </w:tblGrid>
      <w:tr>
        <w:trPr>
          <w:trHeight w:val="172" w:hRule="exact"/>
        </w:trPr>
        <w:tc>
          <w:tcPr>
            <w:tcW w:w="4520" w:type="dxa"/>
            <w:gridSpan w:val="2"/>
            <w:vMerge w:val="restart"/>
          </w:tcPr>
          <w:p>
            <w:pPr/>
          </w:p>
        </w:tc>
        <w:tc>
          <w:tcPr>
            <w:tcW w:w="1487" w:type="dxa"/>
          </w:tcPr>
          <w:p>
            <w:pPr>
              <w:pStyle w:val="TableParagraph"/>
              <w:spacing w:line="183" w:lineRule="exact" w:before="0"/>
              <w:ind w:left="247"/>
              <w:rPr>
                <w:b/>
                <w:sz w:val="16"/>
              </w:rPr>
            </w:pPr>
            <w:r>
              <w:rPr>
                <w:b/>
                <w:color w:val="231F20"/>
                <w:sz w:val="16"/>
              </w:rPr>
              <w:t>Year Ended</w:t>
            </w:r>
          </w:p>
        </w:tc>
        <w:tc>
          <w:tcPr>
            <w:tcW w:w="113" w:type="dxa"/>
          </w:tcPr>
          <w:p>
            <w:pPr/>
          </w:p>
        </w:tc>
        <w:tc>
          <w:tcPr>
            <w:tcW w:w="1487" w:type="dxa"/>
          </w:tcPr>
          <w:p>
            <w:pPr>
              <w:pStyle w:val="TableParagraph"/>
              <w:spacing w:line="183" w:lineRule="exact" w:before="0"/>
              <w:ind w:left="247"/>
              <w:rPr>
                <w:b/>
                <w:sz w:val="16"/>
              </w:rPr>
            </w:pPr>
            <w:r>
              <w:rPr>
                <w:b/>
                <w:color w:val="231F20"/>
                <w:sz w:val="16"/>
              </w:rPr>
              <w:t>Year Ended</w:t>
            </w:r>
          </w:p>
        </w:tc>
        <w:tc>
          <w:tcPr>
            <w:tcW w:w="113" w:type="dxa"/>
          </w:tcPr>
          <w:p>
            <w:pPr/>
          </w:p>
        </w:tc>
        <w:tc>
          <w:tcPr>
            <w:tcW w:w="1427" w:type="dxa"/>
          </w:tcPr>
          <w:p>
            <w:pPr>
              <w:pStyle w:val="TableParagraph"/>
              <w:spacing w:line="183" w:lineRule="exact" w:before="0"/>
              <w:ind w:left="247"/>
              <w:rPr>
                <w:b/>
                <w:sz w:val="16"/>
              </w:rPr>
            </w:pPr>
            <w:r>
              <w:rPr>
                <w:b/>
                <w:color w:val="231F20"/>
                <w:sz w:val="16"/>
              </w:rPr>
              <w:t>Year Ended</w:t>
            </w:r>
          </w:p>
        </w:tc>
      </w:tr>
      <w:tr>
        <w:trPr>
          <w:trHeight w:val="197" w:hRule="exact"/>
        </w:trPr>
        <w:tc>
          <w:tcPr>
            <w:tcW w:w="4520" w:type="dxa"/>
            <w:gridSpan w:val="2"/>
            <w:vMerge/>
          </w:tcPr>
          <w:p>
            <w:pPr/>
          </w:p>
        </w:tc>
        <w:tc>
          <w:tcPr>
            <w:tcW w:w="1487" w:type="dxa"/>
            <w:tcBorders>
              <w:bottom w:val="single" w:sz="8" w:space="0" w:color="231F20"/>
            </w:tcBorders>
          </w:tcPr>
          <w:p>
            <w:pPr>
              <w:pStyle w:val="TableParagraph"/>
              <w:spacing w:line="172" w:lineRule="exact" w:before="0"/>
              <w:ind w:left="53"/>
              <w:rPr>
                <w:b/>
                <w:sz w:val="16"/>
              </w:rPr>
            </w:pPr>
            <w:r>
              <w:rPr>
                <w:b/>
                <w:color w:val="231F20"/>
                <w:sz w:val="16"/>
              </w:rPr>
              <w:t>December 31, 2014</w:t>
            </w:r>
          </w:p>
        </w:tc>
        <w:tc>
          <w:tcPr>
            <w:tcW w:w="113" w:type="dxa"/>
            <w:tcBorders>
              <w:bottom w:val="single" w:sz="8" w:space="0" w:color="231F20"/>
            </w:tcBorders>
          </w:tcPr>
          <w:p>
            <w:pPr/>
          </w:p>
        </w:tc>
        <w:tc>
          <w:tcPr>
            <w:tcW w:w="1487" w:type="dxa"/>
            <w:tcBorders>
              <w:bottom w:val="single" w:sz="8" w:space="0" w:color="231F20"/>
            </w:tcBorders>
          </w:tcPr>
          <w:p>
            <w:pPr>
              <w:pStyle w:val="TableParagraph"/>
              <w:spacing w:line="172" w:lineRule="exact" w:before="0"/>
              <w:ind w:left="53"/>
              <w:rPr>
                <w:b/>
                <w:sz w:val="16"/>
              </w:rPr>
            </w:pPr>
            <w:r>
              <w:rPr>
                <w:b/>
                <w:color w:val="231F20"/>
                <w:sz w:val="16"/>
              </w:rPr>
              <w:t>December 31, 2013</w:t>
            </w:r>
          </w:p>
        </w:tc>
        <w:tc>
          <w:tcPr>
            <w:tcW w:w="113" w:type="dxa"/>
            <w:tcBorders>
              <w:bottom w:val="single" w:sz="8" w:space="0" w:color="231F20"/>
            </w:tcBorders>
          </w:tcPr>
          <w:p>
            <w:pPr/>
          </w:p>
        </w:tc>
        <w:tc>
          <w:tcPr>
            <w:tcW w:w="1427" w:type="dxa"/>
            <w:tcBorders>
              <w:bottom w:val="single" w:sz="8" w:space="0" w:color="231F20"/>
            </w:tcBorders>
          </w:tcPr>
          <w:p>
            <w:pPr>
              <w:pStyle w:val="TableParagraph"/>
              <w:spacing w:line="172" w:lineRule="exact" w:before="0"/>
              <w:ind w:left="53"/>
              <w:rPr>
                <w:b/>
                <w:sz w:val="16"/>
              </w:rPr>
            </w:pPr>
            <w:r>
              <w:rPr>
                <w:b/>
                <w:color w:val="231F20"/>
                <w:sz w:val="16"/>
              </w:rPr>
              <w:t>December 31, 2012</w:t>
            </w:r>
          </w:p>
        </w:tc>
      </w:tr>
      <w:tr>
        <w:trPr>
          <w:trHeight w:val="300" w:hRule="exact"/>
        </w:trPr>
        <w:tc>
          <w:tcPr>
            <w:tcW w:w="4320" w:type="dxa"/>
          </w:tcPr>
          <w:p>
            <w:pPr>
              <w:pStyle w:val="TableParagraph"/>
              <w:ind w:left="60"/>
              <w:rPr>
                <w:b/>
                <w:sz w:val="20"/>
              </w:rPr>
            </w:pPr>
            <w:r>
              <w:rPr>
                <w:b/>
                <w:color w:val="231F20"/>
                <w:sz w:val="20"/>
              </w:rPr>
              <w:t>Operating Income, as reported</w:t>
            </w:r>
          </w:p>
        </w:tc>
        <w:tc>
          <w:tcPr>
            <w:tcW w:w="200" w:type="dxa"/>
            <w:tcBorders>
              <w:top w:val="single" w:sz="8" w:space="0" w:color="231F20"/>
            </w:tcBorders>
          </w:tcPr>
          <w:p>
            <w:pPr/>
          </w:p>
        </w:tc>
        <w:tc>
          <w:tcPr>
            <w:tcW w:w="1487" w:type="dxa"/>
            <w:tcBorders>
              <w:top w:val="single" w:sz="8" w:space="0" w:color="231F20"/>
            </w:tcBorders>
          </w:tcPr>
          <w:p>
            <w:pPr>
              <w:pStyle w:val="TableParagraph"/>
              <w:tabs>
                <w:tab w:pos="869" w:val="left" w:leader="none"/>
              </w:tabs>
              <w:spacing w:before="43"/>
              <w:rPr>
                <w:sz w:val="20"/>
              </w:rPr>
            </w:pPr>
            <w:r>
              <w:rPr>
                <w:color w:val="231F20"/>
                <w:sz w:val="20"/>
              </w:rPr>
              <w:t>$</w:t>
              <w:tab/>
              <w:t>2,225</w:t>
            </w:r>
          </w:p>
        </w:tc>
        <w:tc>
          <w:tcPr>
            <w:tcW w:w="113" w:type="dxa"/>
            <w:tcBorders>
              <w:top w:val="single" w:sz="8" w:space="0" w:color="231F20"/>
            </w:tcBorders>
          </w:tcPr>
          <w:p>
            <w:pPr/>
          </w:p>
        </w:tc>
        <w:tc>
          <w:tcPr>
            <w:tcW w:w="1487" w:type="dxa"/>
            <w:tcBorders>
              <w:top w:val="single" w:sz="8" w:space="0" w:color="231F20"/>
            </w:tcBorders>
          </w:tcPr>
          <w:p>
            <w:pPr>
              <w:pStyle w:val="TableParagraph"/>
              <w:tabs>
                <w:tab w:pos="869" w:val="left" w:leader="none"/>
              </w:tabs>
              <w:spacing w:before="43"/>
              <w:rPr>
                <w:sz w:val="20"/>
              </w:rPr>
            </w:pPr>
            <w:r>
              <w:rPr>
                <w:color w:val="231F20"/>
                <w:sz w:val="20"/>
              </w:rPr>
              <w:t>$</w:t>
              <w:tab/>
              <w:t>1,278</w:t>
            </w:r>
          </w:p>
        </w:tc>
        <w:tc>
          <w:tcPr>
            <w:tcW w:w="113" w:type="dxa"/>
            <w:tcBorders>
              <w:top w:val="single" w:sz="8" w:space="0" w:color="231F20"/>
            </w:tcBorders>
          </w:tcPr>
          <w:p>
            <w:pPr/>
          </w:p>
        </w:tc>
        <w:tc>
          <w:tcPr>
            <w:tcW w:w="1427" w:type="dxa"/>
            <w:tcBorders>
              <w:top w:val="single" w:sz="8" w:space="0" w:color="231F20"/>
            </w:tcBorders>
          </w:tcPr>
          <w:p>
            <w:pPr>
              <w:pStyle w:val="TableParagraph"/>
              <w:tabs>
                <w:tab w:pos="959" w:val="left" w:leader="none"/>
              </w:tabs>
              <w:spacing w:before="43"/>
              <w:rPr>
                <w:sz w:val="20"/>
              </w:rPr>
            </w:pPr>
            <w:r>
              <w:rPr>
                <w:color w:val="231F20"/>
                <w:sz w:val="20"/>
              </w:rPr>
              <w:t>$</w:t>
              <w:tab/>
              <w:t>623</w:t>
            </w:r>
          </w:p>
        </w:tc>
      </w:tr>
      <w:tr>
        <w:trPr>
          <w:trHeight w:val="300" w:hRule="exact"/>
        </w:trPr>
        <w:tc>
          <w:tcPr>
            <w:tcW w:w="4320" w:type="dxa"/>
            <w:shd w:val="clear" w:color="auto" w:fill="CCECFC"/>
          </w:tcPr>
          <w:p>
            <w:pPr>
              <w:pStyle w:val="TableParagraph"/>
              <w:ind w:left="60"/>
              <w:rPr>
                <w:sz w:val="20"/>
              </w:rPr>
            </w:pPr>
            <w:r>
              <w:rPr>
                <w:color w:val="231F20"/>
                <w:sz w:val="20"/>
              </w:rPr>
              <w:t>Add: Net impact from fuel contracts</w:t>
            </w:r>
          </w:p>
        </w:tc>
        <w:tc>
          <w:tcPr>
            <w:tcW w:w="200" w:type="dxa"/>
            <w:shd w:val="clear" w:color="auto" w:fill="CCECFC"/>
          </w:tcPr>
          <w:p>
            <w:pPr/>
          </w:p>
        </w:tc>
        <w:tc>
          <w:tcPr>
            <w:tcW w:w="1487" w:type="dxa"/>
            <w:shd w:val="clear" w:color="auto" w:fill="CCECFC"/>
          </w:tcPr>
          <w:p>
            <w:pPr>
              <w:pStyle w:val="TableParagraph"/>
              <w:ind w:right="164"/>
              <w:jc w:val="right"/>
              <w:rPr>
                <w:sz w:val="20"/>
              </w:rPr>
            </w:pPr>
            <w:r>
              <w:rPr>
                <w:color w:val="231F20"/>
                <w:sz w:val="20"/>
              </w:rPr>
              <w:t>28</w:t>
            </w:r>
          </w:p>
        </w:tc>
        <w:tc>
          <w:tcPr>
            <w:tcW w:w="113" w:type="dxa"/>
            <w:shd w:val="clear" w:color="auto" w:fill="CCECFC"/>
          </w:tcPr>
          <w:p>
            <w:pPr/>
          </w:p>
        </w:tc>
        <w:tc>
          <w:tcPr>
            <w:tcW w:w="1487" w:type="dxa"/>
            <w:shd w:val="clear" w:color="auto" w:fill="CCECFC"/>
          </w:tcPr>
          <w:p>
            <w:pPr>
              <w:pStyle w:val="TableParagraph"/>
              <w:ind w:right="164"/>
              <w:jc w:val="right"/>
              <w:rPr>
                <w:sz w:val="20"/>
              </w:rPr>
            </w:pPr>
            <w:r>
              <w:rPr>
                <w:color w:val="231F20"/>
                <w:sz w:val="20"/>
              </w:rPr>
              <w:t>84</w:t>
            </w:r>
          </w:p>
        </w:tc>
        <w:tc>
          <w:tcPr>
            <w:tcW w:w="113" w:type="dxa"/>
            <w:shd w:val="clear" w:color="auto" w:fill="CCECFC"/>
          </w:tcPr>
          <w:p>
            <w:pPr/>
          </w:p>
        </w:tc>
        <w:tc>
          <w:tcPr>
            <w:tcW w:w="1427" w:type="dxa"/>
            <w:shd w:val="clear" w:color="auto" w:fill="CCECFC"/>
          </w:tcPr>
          <w:p>
            <w:pPr>
              <w:pStyle w:val="TableParagraph"/>
              <w:ind w:right="164"/>
              <w:jc w:val="right"/>
              <w:rPr>
                <w:sz w:val="20"/>
              </w:rPr>
            </w:pPr>
            <w:r>
              <w:rPr>
                <w:color w:val="231F20"/>
                <w:sz w:val="20"/>
              </w:rPr>
              <w:t>32</w:t>
            </w:r>
          </w:p>
        </w:tc>
      </w:tr>
      <w:tr>
        <w:trPr>
          <w:trHeight w:val="300" w:hRule="exact"/>
        </w:trPr>
        <w:tc>
          <w:tcPr>
            <w:tcW w:w="4320" w:type="dxa"/>
          </w:tcPr>
          <w:p>
            <w:pPr>
              <w:pStyle w:val="TableParagraph"/>
              <w:ind w:left="60"/>
              <w:rPr>
                <w:sz w:val="20"/>
              </w:rPr>
            </w:pPr>
            <w:r>
              <w:rPr>
                <w:color w:val="231F20"/>
                <w:sz w:val="20"/>
              </w:rPr>
              <w:t>Add: Acquisition and integration costs</w:t>
            </w:r>
          </w:p>
        </w:tc>
        <w:tc>
          <w:tcPr>
            <w:tcW w:w="200" w:type="dxa"/>
          </w:tcPr>
          <w:p>
            <w:pPr/>
          </w:p>
        </w:tc>
        <w:tc>
          <w:tcPr>
            <w:tcW w:w="1487" w:type="dxa"/>
          </w:tcPr>
          <w:p>
            <w:pPr>
              <w:pStyle w:val="TableParagraph"/>
              <w:ind w:right="164"/>
              <w:jc w:val="right"/>
              <w:rPr>
                <w:sz w:val="20"/>
              </w:rPr>
            </w:pPr>
            <w:r>
              <w:rPr>
                <w:color w:val="231F20"/>
                <w:sz w:val="20"/>
              </w:rPr>
              <w:t>126</w:t>
            </w:r>
          </w:p>
        </w:tc>
        <w:tc>
          <w:tcPr>
            <w:tcW w:w="113" w:type="dxa"/>
          </w:tcPr>
          <w:p>
            <w:pPr/>
          </w:p>
        </w:tc>
        <w:tc>
          <w:tcPr>
            <w:tcW w:w="1487" w:type="dxa"/>
          </w:tcPr>
          <w:p>
            <w:pPr>
              <w:pStyle w:val="TableParagraph"/>
              <w:ind w:right="164"/>
              <w:jc w:val="right"/>
              <w:rPr>
                <w:sz w:val="20"/>
              </w:rPr>
            </w:pPr>
            <w:r>
              <w:rPr>
                <w:color w:val="231F20"/>
                <w:sz w:val="20"/>
              </w:rPr>
              <w:t>86</w:t>
            </w:r>
          </w:p>
        </w:tc>
        <w:tc>
          <w:tcPr>
            <w:tcW w:w="113" w:type="dxa"/>
          </w:tcPr>
          <w:p>
            <w:pPr/>
          </w:p>
        </w:tc>
        <w:tc>
          <w:tcPr>
            <w:tcW w:w="1427" w:type="dxa"/>
          </w:tcPr>
          <w:p>
            <w:pPr>
              <w:pStyle w:val="TableParagraph"/>
              <w:ind w:right="164"/>
              <w:jc w:val="right"/>
              <w:rPr>
                <w:sz w:val="20"/>
              </w:rPr>
            </w:pPr>
            <w:r>
              <w:rPr>
                <w:color w:val="231F20"/>
                <w:sz w:val="20"/>
              </w:rPr>
              <w:t>183</w:t>
            </w:r>
          </w:p>
        </w:tc>
      </w:tr>
      <w:tr>
        <w:trPr>
          <w:trHeight w:val="375" w:hRule="exact"/>
        </w:trPr>
        <w:tc>
          <w:tcPr>
            <w:tcW w:w="4320" w:type="dxa"/>
            <w:shd w:val="clear" w:color="auto" w:fill="CCECFC"/>
          </w:tcPr>
          <w:p>
            <w:pPr>
              <w:pStyle w:val="TableParagraph"/>
              <w:ind w:left="60"/>
              <w:rPr>
                <w:sz w:val="20"/>
              </w:rPr>
            </w:pPr>
            <w:r>
              <w:rPr>
                <w:color w:val="231F20"/>
                <w:sz w:val="20"/>
              </w:rPr>
              <w:t>Add: Labor ratification bonus</w:t>
            </w:r>
          </w:p>
        </w:tc>
        <w:tc>
          <w:tcPr>
            <w:tcW w:w="200" w:type="dxa"/>
            <w:shd w:val="clear" w:color="auto" w:fill="CCECFC"/>
          </w:tcPr>
          <w:p>
            <w:pPr/>
          </w:p>
        </w:tc>
        <w:tc>
          <w:tcPr>
            <w:tcW w:w="1487" w:type="dxa"/>
            <w:tcBorders>
              <w:bottom w:val="single" w:sz="4" w:space="0" w:color="231F20"/>
            </w:tcBorders>
            <w:shd w:val="clear" w:color="auto" w:fill="CCECFC"/>
          </w:tcPr>
          <w:p>
            <w:pPr>
              <w:pStyle w:val="TableParagraph"/>
              <w:ind w:right="164"/>
              <w:jc w:val="right"/>
              <w:rPr>
                <w:sz w:val="20"/>
              </w:rPr>
            </w:pPr>
            <w:r>
              <w:rPr>
                <w:color w:val="231F20"/>
                <w:sz w:val="20"/>
              </w:rPr>
              <w:t>9</w:t>
            </w:r>
          </w:p>
        </w:tc>
        <w:tc>
          <w:tcPr>
            <w:tcW w:w="113" w:type="dxa"/>
            <w:shd w:val="clear" w:color="auto" w:fill="CCECFC"/>
          </w:tcPr>
          <w:p>
            <w:pPr/>
          </w:p>
        </w:tc>
        <w:tc>
          <w:tcPr>
            <w:tcW w:w="1487" w:type="dxa"/>
            <w:tcBorders>
              <w:bottom w:val="single" w:sz="4" w:space="0" w:color="231F20"/>
            </w:tcBorders>
            <w:shd w:val="clear" w:color="auto" w:fill="CCECFC"/>
          </w:tcPr>
          <w:p>
            <w:pPr>
              <w:pStyle w:val="TableParagraph"/>
              <w:ind w:right="164"/>
              <w:jc w:val="right"/>
              <w:rPr>
                <w:sz w:val="20"/>
              </w:rPr>
            </w:pPr>
            <w:r>
              <w:rPr>
                <w:color w:val="231F20"/>
                <w:sz w:val="20"/>
              </w:rPr>
              <w:t>—</w:t>
            </w:r>
          </w:p>
        </w:tc>
        <w:tc>
          <w:tcPr>
            <w:tcW w:w="113" w:type="dxa"/>
            <w:shd w:val="clear" w:color="auto" w:fill="CCECFC"/>
          </w:tcPr>
          <w:p>
            <w:pPr/>
          </w:p>
        </w:tc>
        <w:tc>
          <w:tcPr>
            <w:tcW w:w="1427" w:type="dxa"/>
            <w:tcBorders>
              <w:bottom w:val="single" w:sz="4" w:space="0" w:color="231F20"/>
            </w:tcBorders>
            <w:shd w:val="clear" w:color="auto" w:fill="CCECFC"/>
          </w:tcPr>
          <w:p>
            <w:pPr>
              <w:pStyle w:val="TableParagraph"/>
              <w:ind w:right="164"/>
              <w:jc w:val="right"/>
              <w:rPr>
                <w:sz w:val="20"/>
              </w:rPr>
            </w:pPr>
            <w:r>
              <w:rPr>
                <w:color w:val="231F20"/>
                <w:sz w:val="20"/>
              </w:rPr>
              <w:t>—</w:t>
            </w:r>
          </w:p>
        </w:tc>
      </w:tr>
      <w:tr>
        <w:trPr>
          <w:trHeight w:val="305" w:hRule="exact"/>
        </w:trPr>
        <w:tc>
          <w:tcPr>
            <w:tcW w:w="4320" w:type="dxa"/>
          </w:tcPr>
          <w:p>
            <w:pPr>
              <w:pStyle w:val="TableParagraph"/>
              <w:spacing w:before="133"/>
              <w:ind w:left="60"/>
              <w:rPr>
                <w:b/>
                <w:sz w:val="20"/>
              </w:rPr>
            </w:pPr>
            <w:r>
              <w:rPr>
                <w:b/>
                <w:color w:val="231F20"/>
                <w:sz w:val="20"/>
              </w:rPr>
              <w:t>Operating Income, non-GAAP</w:t>
            </w:r>
          </w:p>
        </w:tc>
        <w:tc>
          <w:tcPr>
            <w:tcW w:w="200" w:type="dxa"/>
          </w:tcPr>
          <w:p>
            <w:pPr/>
          </w:p>
        </w:tc>
        <w:tc>
          <w:tcPr>
            <w:tcW w:w="1487" w:type="dxa"/>
            <w:tcBorders>
              <w:top w:val="single" w:sz="4" w:space="0" w:color="231F20"/>
            </w:tcBorders>
          </w:tcPr>
          <w:p>
            <w:pPr>
              <w:pStyle w:val="TableParagraph"/>
              <w:tabs>
                <w:tab w:pos="869" w:val="left" w:leader="none"/>
              </w:tabs>
              <w:rPr>
                <w:sz w:val="20"/>
              </w:rPr>
            </w:pPr>
            <w:r>
              <w:rPr>
                <w:color w:val="231F20"/>
                <w:sz w:val="20"/>
              </w:rPr>
              <w:t>$</w:t>
              <w:tab/>
              <w:t>2,388</w:t>
            </w:r>
          </w:p>
        </w:tc>
        <w:tc>
          <w:tcPr>
            <w:tcW w:w="113" w:type="dxa"/>
          </w:tcPr>
          <w:p>
            <w:pPr/>
          </w:p>
        </w:tc>
        <w:tc>
          <w:tcPr>
            <w:tcW w:w="1487" w:type="dxa"/>
            <w:tcBorders>
              <w:top w:val="single" w:sz="4" w:space="0" w:color="231F20"/>
            </w:tcBorders>
          </w:tcPr>
          <w:p>
            <w:pPr>
              <w:pStyle w:val="TableParagraph"/>
              <w:tabs>
                <w:tab w:pos="869" w:val="left" w:leader="none"/>
              </w:tabs>
              <w:rPr>
                <w:sz w:val="20"/>
              </w:rPr>
            </w:pPr>
            <w:r>
              <w:rPr>
                <w:color w:val="231F20"/>
                <w:sz w:val="20"/>
              </w:rPr>
              <w:t>$</w:t>
              <w:tab/>
              <w:t>1,448</w:t>
            </w:r>
          </w:p>
        </w:tc>
        <w:tc>
          <w:tcPr>
            <w:tcW w:w="113" w:type="dxa"/>
          </w:tcPr>
          <w:p>
            <w:pPr/>
          </w:p>
        </w:tc>
        <w:tc>
          <w:tcPr>
            <w:tcW w:w="1427" w:type="dxa"/>
            <w:tcBorders>
              <w:top w:val="single" w:sz="4" w:space="0" w:color="231F20"/>
            </w:tcBorders>
          </w:tcPr>
          <w:p>
            <w:pPr>
              <w:pStyle w:val="TableParagraph"/>
              <w:tabs>
                <w:tab w:pos="959" w:val="left" w:leader="none"/>
              </w:tabs>
              <w:rPr>
                <w:sz w:val="20"/>
              </w:rPr>
            </w:pPr>
            <w:r>
              <w:rPr>
                <w:color w:val="231F20"/>
                <w:sz w:val="20"/>
              </w:rPr>
              <w:t>$</w:t>
              <w:tab/>
              <w:t>838</w:t>
            </w:r>
          </w:p>
        </w:tc>
      </w:tr>
      <w:tr>
        <w:trPr>
          <w:trHeight w:val="300" w:hRule="exact"/>
        </w:trPr>
        <w:tc>
          <w:tcPr>
            <w:tcW w:w="4320" w:type="dxa"/>
            <w:shd w:val="clear" w:color="auto" w:fill="CCECFC"/>
          </w:tcPr>
          <w:p>
            <w:pPr>
              <w:pStyle w:val="TableParagraph"/>
              <w:ind w:left="60"/>
              <w:rPr>
                <w:sz w:val="20"/>
              </w:rPr>
            </w:pPr>
            <w:r>
              <w:rPr>
                <w:color w:val="231F20"/>
                <w:sz w:val="20"/>
              </w:rPr>
              <w:t>Net adjustment for aircraft leases (1)</w:t>
            </w:r>
          </w:p>
        </w:tc>
        <w:tc>
          <w:tcPr>
            <w:tcW w:w="200" w:type="dxa"/>
            <w:shd w:val="clear" w:color="auto" w:fill="CCECFC"/>
          </w:tcPr>
          <w:p>
            <w:pPr/>
          </w:p>
        </w:tc>
        <w:tc>
          <w:tcPr>
            <w:tcW w:w="1487" w:type="dxa"/>
            <w:shd w:val="clear" w:color="auto" w:fill="CCECFC"/>
          </w:tcPr>
          <w:p>
            <w:pPr>
              <w:pStyle w:val="TableParagraph"/>
              <w:ind w:right="164"/>
              <w:jc w:val="right"/>
              <w:rPr>
                <w:sz w:val="20"/>
              </w:rPr>
            </w:pPr>
            <w:r>
              <w:rPr>
                <w:color w:val="231F20"/>
                <w:sz w:val="20"/>
              </w:rPr>
              <w:t>133</w:t>
            </w:r>
          </w:p>
        </w:tc>
        <w:tc>
          <w:tcPr>
            <w:tcW w:w="113" w:type="dxa"/>
            <w:shd w:val="clear" w:color="auto" w:fill="CCECFC"/>
          </w:tcPr>
          <w:p>
            <w:pPr/>
          </w:p>
        </w:tc>
        <w:tc>
          <w:tcPr>
            <w:tcW w:w="1487" w:type="dxa"/>
            <w:shd w:val="clear" w:color="auto" w:fill="CCECFC"/>
          </w:tcPr>
          <w:p>
            <w:pPr>
              <w:pStyle w:val="TableParagraph"/>
              <w:ind w:right="164"/>
              <w:jc w:val="right"/>
              <w:rPr>
                <w:sz w:val="20"/>
              </w:rPr>
            </w:pPr>
            <w:r>
              <w:rPr>
                <w:color w:val="231F20"/>
                <w:sz w:val="20"/>
              </w:rPr>
              <w:t>143</w:t>
            </w:r>
          </w:p>
        </w:tc>
        <w:tc>
          <w:tcPr>
            <w:tcW w:w="113" w:type="dxa"/>
            <w:shd w:val="clear" w:color="auto" w:fill="CCECFC"/>
          </w:tcPr>
          <w:p>
            <w:pPr/>
          </w:p>
        </w:tc>
        <w:tc>
          <w:tcPr>
            <w:tcW w:w="1427" w:type="dxa"/>
            <w:shd w:val="clear" w:color="auto" w:fill="CCECFC"/>
          </w:tcPr>
          <w:p>
            <w:pPr>
              <w:pStyle w:val="TableParagraph"/>
              <w:ind w:right="164"/>
              <w:jc w:val="right"/>
              <w:rPr>
                <w:sz w:val="20"/>
              </w:rPr>
            </w:pPr>
            <w:r>
              <w:rPr>
                <w:color w:val="231F20"/>
                <w:sz w:val="20"/>
              </w:rPr>
              <w:t>117</w:t>
            </w:r>
          </w:p>
        </w:tc>
      </w:tr>
      <w:tr>
        <w:trPr>
          <w:trHeight w:val="375" w:hRule="exact"/>
        </w:trPr>
        <w:tc>
          <w:tcPr>
            <w:tcW w:w="4320" w:type="dxa"/>
          </w:tcPr>
          <w:p>
            <w:pPr>
              <w:pStyle w:val="TableParagraph"/>
              <w:ind w:left="60"/>
              <w:rPr>
                <w:sz w:val="20"/>
              </w:rPr>
            </w:pPr>
            <w:r>
              <w:rPr>
                <w:color w:val="231F20"/>
                <w:sz w:val="20"/>
              </w:rPr>
              <w:t>Adjustment for fuel hedge premium expense</w:t>
            </w:r>
          </w:p>
        </w:tc>
        <w:tc>
          <w:tcPr>
            <w:tcW w:w="200" w:type="dxa"/>
          </w:tcPr>
          <w:p>
            <w:pPr/>
          </w:p>
        </w:tc>
        <w:tc>
          <w:tcPr>
            <w:tcW w:w="1487" w:type="dxa"/>
            <w:tcBorders>
              <w:bottom w:val="single" w:sz="4" w:space="0" w:color="231F20"/>
            </w:tcBorders>
          </w:tcPr>
          <w:p>
            <w:pPr>
              <w:pStyle w:val="TableParagraph"/>
              <w:ind w:right="98"/>
              <w:jc w:val="right"/>
              <w:rPr>
                <w:sz w:val="20"/>
              </w:rPr>
            </w:pPr>
            <w:r>
              <w:rPr>
                <w:color w:val="231F20"/>
                <w:sz w:val="20"/>
              </w:rPr>
              <w:t>(62)</w:t>
            </w:r>
          </w:p>
        </w:tc>
        <w:tc>
          <w:tcPr>
            <w:tcW w:w="113" w:type="dxa"/>
          </w:tcPr>
          <w:p>
            <w:pPr/>
          </w:p>
        </w:tc>
        <w:tc>
          <w:tcPr>
            <w:tcW w:w="1487" w:type="dxa"/>
            <w:tcBorders>
              <w:bottom w:val="single" w:sz="4" w:space="0" w:color="231F20"/>
            </w:tcBorders>
          </w:tcPr>
          <w:p>
            <w:pPr>
              <w:pStyle w:val="TableParagraph"/>
              <w:ind w:right="98"/>
              <w:jc w:val="right"/>
              <w:rPr>
                <w:sz w:val="20"/>
              </w:rPr>
            </w:pPr>
            <w:r>
              <w:rPr>
                <w:color w:val="231F20"/>
                <w:sz w:val="20"/>
              </w:rPr>
              <w:t>(60)</w:t>
            </w:r>
          </w:p>
        </w:tc>
        <w:tc>
          <w:tcPr>
            <w:tcW w:w="113" w:type="dxa"/>
          </w:tcPr>
          <w:p>
            <w:pPr/>
          </w:p>
        </w:tc>
        <w:tc>
          <w:tcPr>
            <w:tcW w:w="1427" w:type="dxa"/>
            <w:tcBorders>
              <w:bottom w:val="single" w:sz="4" w:space="0" w:color="231F20"/>
            </w:tcBorders>
          </w:tcPr>
          <w:p>
            <w:pPr>
              <w:pStyle w:val="TableParagraph"/>
              <w:ind w:right="98"/>
              <w:jc w:val="right"/>
              <w:rPr>
                <w:sz w:val="20"/>
              </w:rPr>
            </w:pPr>
            <w:r>
              <w:rPr>
                <w:color w:val="231F20"/>
                <w:sz w:val="20"/>
              </w:rPr>
              <w:t>(36)</w:t>
            </w:r>
          </w:p>
        </w:tc>
      </w:tr>
      <w:tr>
        <w:trPr>
          <w:trHeight w:val="305" w:hRule="exact"/>
        </w:trPr>
        <w:tc>
          <w:tcPr>
            <w:tcW w:w="4320" w:type="dxa"/>
            <w:shd w:val="clear" w:color="auto" w:fill="CCECFC"/>
          </w:tcPr>
          <w:p>
            <w:pPr>
              <w:pStyle w:val="TableParagraph"/>
              <w:ind w:left="60"/>
              <w:rPr>
                <w:b/>
                <w:sz w:val="20"/>
              </w:rPr>
            </w:pPr>
            <w:r>
              <w:rPr>
                <w:b/>
                <w:color w:val="231F20"/>
                <w:sz w:val="20"/>
              </w:rPr>
              <w:t>Adjusted Operating Income, non-GAAP</w:t>
            </w:r>
          </w:p>
        </w:tc>
        <w:tc>
          <w:tcPr>
            <w:tcW w:w="200" w:type="dxa"/>
            <w:shd w:val="clear" w:color="auto" w:fill="CCECFC"/>
          </w:tcPr>
          <w:p>
            <w:pPr/>
          </w:p>
        </w:tc>
        <w:tc>
          <w:tcPr>
            <w:tcW w:w="1487" w:type="dxa"/>
            <w:tcBorders>
              <w:top w:val="single" w:sz="4" w:space="0" w:color="231F20"/>
            </w:tcBorders>
            <w:shd w:val="clear" w:color="auto" w:fill="CCECFC"/>
          </w:tcPr>
          <w:p>
            <w:pPr>
              <w:pStyle w:val="TableParagraph"/>
              <w:tabs>
                <w:tab w:pos="869" w:val="left" w:leader="none"/>
              </w:tabs>
              <w:rPr>
                <w:sz w:val="20"/>
              </w:rPr>
            </w:pPr>
            <w:r>
              <w:rPr>
                <w:color w:val="231F20"/>
                <w:sz w:val="20"/>
              </w:rPr>
              <w:t>$</w:t>
              <w:tab/>
              <w:t>2,459</w:t>
            </w:r>
          </w:p>
        </w:tc>
        <w:tc>
          <w:tcPr>
            <w:tcW w:w="113" w:type="dxa"/>
            <w:shd w:val="clear" w:color="auto" w:fill="CCECFC"/>
          </w:tcPr>
          <w:p>
            <w:pPr/>
          </w:p>
        </w:tc>
        <w:tc>
          <w:tcPr>
            <w:tcW w:w="1487" w:type="dxa"/>
            <w:tcBorders>
              <w:top w:val="single" w:sz="4" w:space="0" w:color="231F20"/>
            </w:tcBorders>
            <w:shd w:val="clear" w:color="auto" w:fill="CCECFC"/>
          </w:tcPr>
          <w:p>
            <w:pPr>
              <w:pStyle w:val="TableParagraph"/>
              <w:tabs>
                <w:tab w:pos="869" w:val="left" w:leader="none"/>
              </w:tabs>
              <w:rPr>
                <w:sz w:val="20"/>
              </w:rPr>
            </w:pPr>
            <w:r>
              <w:rPr>
                <w:color w:val="231F20"/>
                <w:sz w:val="20"/>
              </w:rPr>
              <w:t>$</w:t>
              <w:tab/>
              <w:t>1,531</w:t>
            </w:r>
          </w:p>
        </w:tc>
        <w:tc>
          <w:tcPr>
            <w:tcW w:w="113" w:type="dxa"/>
            <w:shd w:val="clear" w:color="auto" w:fill="CCECFC"/>
          </w:tcPr>
          <w:p>
            <w:pPr/>
          </w:p>
        </w:tc>
        <w:tc>
          <w:tcPr>
            <w:tcW w:w="1427" w:type="dxa"/>
            <w:tcBorders>
              <w:top w:val="single" w:sz="4" w:space="0" w:color="231F20"/>
            </w:tcBorders>
            <w:shd w:val="clear" w:color="auto" w:fill="CCECFC"/>
          </w:tcPr>
          <w:p>
            <w:pPr>
              <w:pStyle w:val="TableParagraph"/>
              <w:tabs>
                <w:tab w:pos="959" w:val="left" w:leader="none"/>
              </w:tabs>
              <w:rPr>
                <w:sz w:val="20"/>
              </w:rPr>
            </w:pPr>
            <w:r>
              <w:rPr>
                <w:color w:val="231F20"/>
                <w:sz w:val="20"/>
              </w:rPr>
              <w:t>$</w:t>
              <w:tab/>
              <w:t>919</w:t>
            </w:r>
          </w:p>
        </w:tc>
      </w:tr>
      <w:tr>
        <w:trPr>
          <w:trHeight w:val="300" w:hRule="exact"/>
        </w:trPr>
        <w:tc>
          <w:tcPr>
            <w:tcW w:w="4320" w:type="dxa"/>
          </w:tcPr>
          <w:p>
            <w:pPr/>
          </w:p>
        </w:tc>
        <w:tc>
          <w:tcPr>
            <w:tcW w:w="200" w:type="dxa"/>
          </w:tcPr>
          <w:p>
            <w:pPr/>
          </w:p>
        </w:tc>
        <w:tc>
          <w:tcPr>
            <w:tcW w:w="1487" w:type="dxa"/>
          </w:tcPr>
          <w:p>
            <w:pPr/>
          </w:p>
        </w:tc>
        <w:tc>
          <w:tcPr>
            <w:tcW w:w="113" w:type="dxa"/>
          </w:tcPr>
          <w:p>
            <w:pPr/>
          </w:p>
        </w:tc>
        <w:tc>
          <w:tcPr>
            <w:tcW w:w="1487" w:type="dxa"/>
          </w:tcPr>
          <w:p>
            <w:pPr/>
          </w:p>
        </w:tc>
        <w:tc>
          <w:tcPr>
            <w:tcW w:w="113" w:type="dxa"/>
          </w:tcPr>
          <w:p>
            <w:pPr/>
          </w:p>
        </w:tc>
        <w:tc>
          <w:tcPr>
            <w:tcW w:w="1427" w:type="dxa"/>
          </w:tcPr>
          <w:p>
            <w:pPr/>
          </w:p>
        </w:tc>
      </w:tr>
      <w:tr>
        <w:trPr>
          <w:trHeight w:val="300" w:hRule="exact"/>
        </w:trPr>
        <w:tc>
          <w:tcPr>
            <w:tcW w:w="4320" w:type="dxa"/>
            <w:shd w:val="clear" w:color="auto" w:fill="CCECFC"/>
          </w:tcPr>
          <w:p>
            <w:pPr>
              <w:pStyle w:val="TableParagraph"/>
              <w:ind w:left="60"/>
              <w:rPr>
                <w:b/>
                <w:sz w:val="20"/>
              </w:rPr>
            </w:pPr>
            <w:r>
              <w:rPr>
                <w:b/>
                <w:color w:val="231F20"/>
                <w:sz w:val="20"/>
              </w:rPr>
              <w:t>Average invested capital (2)</w:t>
            </w:r>
          </w:p>
        </w:tc>
        <w:tc>
          <w:tcPr>
            <w:tcW w:w="200" w:type="dxa"/>
            <w:shd w:val="clear" w:color="auto" w:fill="CCECFC"/>
          </w:tcPr>
          <w:p>
            <w:pPr/>
          </w:p>
        </w:tc>
        <w:tc>
          <w:tcPr>
            <w:tcW w:w="1487" w:type="dxa"/>
            <w:shd w:val="clear" w:color="auto" w:fill="CCECFC"/>
          </w:tcPr>
          <w:p>
            <w:pPr>
              <w:pStyle w:val="TableParagraph"/>
              <w:tabs>
                <w:tab w:pos="769" w:val="left" w:leader="none"/>
              </w:tabs>
              <w:rPr>
                <w:sz w:val="20"/>
              </w:rPr>
            </w:pPr>
            <w:r>
              <w:rPr>
                <w:color w:val="231F20"/>
                <w:sz w:val="20"/>
              </w:rPr>
              <w:t>$</w:t>
              <w:tab/>
              <w:t>11,470</w:t>
            </w:r>
          </w:p>
        </w:tc>
        <w:tc>
          <w:tcPr>
            <w:tcW w:w="113" w:type="dxa"/>
            <w:shd w:val="clear" w:color="auto" w:fill="CCECFC"/>
          </w:tcPr>
          <w:p>
            <w:pPr/>
          </w:p>
        </w:tc>
        <w:tc>
          <w:tcPr>
            <w:tcW w:w="1487" w:type="dxa"/>
            <w:shd w:val="clear" w:color="auto" w:fill="CCECFC"/>
          </w:tcPr>
          <w:p>
            <w:pPr>
              <w:pStyle w:val="TableParagraph"/>
              <w:tabs>
                <w:tab w:pos="769" w:val="left" w:leader="none"/>
              </w:tabs>
              <w:rPr>
                <w:sz w:val="20"/>
              </w:rPr>
            </w:pPr>
            <w:r>
              <w:rPr>
                <w:color w:val="231F20"/>
                <w:sz w:val="20"/>
              </w:rPr>
              <w:t>$</w:t>
              <w:tab/>
              <w:t>11,664</w:t>
            </w:r>
          </w:p>
        </w:tc>
        <w:tc>
          <w:tcPr>
            <w:tcW w:w="113" w:type="dxa"/>
            <w:shd w:val="clear" w:color="auto" w:fill="CCECFC"/>
          </w:tcPr>
          <w:p>
            <w:pPr/>
          </w:p>
        </w:tc>
        <w:tc>
          <w:tcPr>
            <w:tcW w:w="1427" w:type="dxa"/>
            <w:shd w:val="clear" w:color="auto" w:fill="CCECFC"/>
          </w:tcPr>
          <w:p>
            <w:pPr>
              <w:pStyle w:val="TableParagraph"/>
              <w:tabs>
                <w:tab w:pos="709" w:val="left" w:leader="none"/>
              </w:tabs>
              <w:rPr>
                <w:sz w:val="20"/>
              </w:rPr>
            </w:pPr>
            <w:r>
              <w:rPr>
                <w:color w:val="231F20"/>
                <w:sz w:val="20"/>
              </w:rPr>
              <w:t>$</w:t>
              <w:tab/>
              <w:t>12,580</w:t>
            </w:r>
          </w:p>
        </w:tc>
      </w:tr>
      <w:tr>
        <w:trPr>
          <w:trHeight w:val="375" w:hRule="exact"/>
        </w:trPr>
        <w:tc>
          <w:tcPr>
            <w:tcW w:w="4320" w:type="dxa"/>
          </w:tcPr>
          <w:p>
            <w:pPr>
              <w:pStyle w:val="TableParagraph"/>
              <w:ind w:left="60"/>
              <w:rPr>
                <w:sz w:val="20"/>
              </w:rPr>
            </w:pPr>
            <w:r>
              <w:rPr>
                <w:color w:val="231F20"/>
                <w:sz w:val="20"/>
              </w:rPr>
              <w:t>Equity adjustment for hedge accounting</w:t>
            </w:r>
          </w:p>
        </w:tc>
        <w:tc>
          <w:tcPr>
            <w:tcW w:w="200" w:type="dxa"/>
          </w:tcPr>
          <w:p>
            <w:pPr/>
          </w:p>
        </w:tc>
        <w:tc>
          <w:tcPr>
            <w:tcW w:w="1487" w:type="dxa"/>
            <w:tcBorders>
              <w:bottom w:val="single" w:sz="4" w:space="0" w:color="231F20"/>
            </w:tcBorders>
          </w:tcPr>
          <w:p>
            <w:pPr>
              <w:pStyle w:val="TableParagraph"/>
              <w:ind w:right="164"/>
              <w:jc w:val="right"/>
              <w:rPr>
                <w:sz w:val="20"/>
              </w:rPr>
            </w:pPr>
            <w:r>
              <w:rPr>
                <w:color w:val="231F20"/>
                <w:sz w:val="20"/>
              </w:rPr>
              <w:t>104</w:t>
            </w:r>
          </w:p>
        </w:tc>
        <w:tc>
          <w:tcPr>
            <w:tcW w:w="113" w:type="dxa"/>
          </w:tcPr>
          <w:p>
            <w:pPr/>
          </w:p>
        </w:tc>
        <w:tc>
          <w:tcPr>
            <w:tcW w:w="1487" w:type="dxa"/>
            <w:tcBorders>
              <w:bottom w:val="single" w:sz="4" w:space="0" w:color="231F20"/>
            </w:tcBorders>
          </w:tcPr>
          <w:p>
            <w:pPr>
              <w:pStyle w:val="TableParagraph"/>
              <w:ind w:right="164"/>
              <w:jc w:val="right"/>
              <w:rPr>
                <w:sz w:val="20"/>
              </w:rPr>
            </w:pPr>
            <w:r>
              <w:rPr>
                <w:color w:val="231F20"/>
                <w:sz w:val="20"/>
              </w:rPr>
              <w:t>50</w:t>
            </w:r>
          </w:p>
        </w:tc>
        <w:tc>
          <w:tcPr>
            <w:tcW w:w="113" w:type="dxa"/>
          </w:tcPr>
          <w:p>
            <w:pPr/>
          </w:p>
        </w:tc>
        <w:tc>
          <w:tcPr>
            <w:tcW w:w="1427" w:type="dxa"/>
            <w:tcBorders>
              <w:bottom w:val="single" w:sz="4" w:space="0" w:color="231F20"/>
            </w:tcBorders>
          </w:tcPr>
          <w:p>
            <w:pPr>
              <w:pStyle w:val="TableParagraph"/>
              <w:ind w:right="164"/>
              <w:jc w:val="right"/>
              <w:rPr>
                <w:sz w:val="20"/>
              </w:rPr>
            </w:pPr>
            <w:r>
              <w:rPr>
                <w:color w:val="231F20"/>
                <w:sz w:val="20"/>
              </w:rPr>
              <w:t>145</w:t>
            </w:r>
          </w:p>
        </w:tc>
      </w:tr>
      <w:tr>
        <w:trPr>
          <w:trHeight w:val="305" w:hRule="exact"/>
        </w:trPr>
        <w:tc>
          <w:tcPr>
            <w:tcW w:w="4320" w:type="dxa"/>
            <w:shd w:val="clear" w:color="auto" w:fill="CCECFC"/>
          </w:tcPr>
          <w:p>
            <w:pPr>
              <w:pStyle w:val="TableParagraph"/>
              <w:ind w:left="60"/>
              <w:rPr>
                <w:b/>
                <w:sz w:val="20"/>
              </w:rPr>
            </w:pPr>
            <w:r>
              <w:rPr>
                <w:b/>
                <w:color w:val="231F20"/>
                <w:sz w:val="20"/>
              </w:rPr>
              <w:t>Adjusted average invested capital</w:t>
            </w:r>
          </w:p>
        </w:tc>
        <w:tc>
          <w:tcPr>
            <w:tcW w:w="200" w:type="dxa"/>
            <w:shd w:val="clear" w:color="auto" w:fill="CCECFC"/>
          </w:tcPr>
          <w:p>
            <w:pPr/>
          </w:p>
        </w:tc>
        <w:tc>
          <w:tcPr>
            <w:tcW w:w="1487" w:type="dxa"/>
            <w:tcBorders>
              <w:top w:val="single" w:sz="4" w:space="0" w:color="231F20"/>
            </w:tcBorders>
            <w:shd w:val="clear" w:color="auto" w:fill="CCECFC"/>
          </w:tcPr>
          <w:p>
            <w:pPr>
              <w:pStyle w:val="TableParagraph"/>
              <w:tabs>
                <w:tab w:pos="769" w:val="left" w:leader="none"/>
              </w:tabs>
              <w:rPr>
                <w:sz w:val="20"/>
              </w:rPr>
            </w:pPr>
            <w:r>
              <w:rPr>
                <w:color w:val="231F20"/>
                <w:sz w:val="20"/>
              </w:rPr>
              <w:t>$</w:t>
              <w:tab/>
              <w:t>11,574</w:t>
            </w:r>
          </w:p>
        </w:tc>
        <w:tc>
          <w:tcPr>
            <w:tcW w:w="113" w:type="dxa"/>
            <w:shd w:val="clear" w:color="auto" w:fill="CCECFC"/>
          </w:tcPr>
          <w:p>
            <w:pPr/>
          </w:p>
        </w:tc>
        <w:tc>
          <w:tcPr>
            <w:tcW w:w="1487" w:type="dxa"/>
            <w:tcBorders>
              <w:top w:val="single" w:sz="4" w:space="0" w:color="231F20"/>
            </w:tcBorders>
            <w:shd w:val="clear" w:color="auto" w:fill="CCECFC"/>
          </w:tcPr>
          <w:p>
            <w:pPr>
              <w:pStyle w:val="TableParagraph"/>
              <w:tabs>
                <w:tab w:pos="769" w:val="left" w:leader="none"/>
              </w:tabs>
              <w:rPr>
                <w:sz w:val="20"/>
              </w:rPr>
            </w:pPr>
            <w:r>
              <w:rPr>
                <w:color w:val="231F20"/>
                <w:sz w:val="20"/>
              </w:rPr>
              <w:t>$</w:t>
              <w:tab/>
              <w:t>11,714</w:t>
            </w:r>
          </w:p>
        </w:tc>
        <w:tc>
          <w:tcPr>
            <w:tcW w:w="113" w:type="dxa"/>
            <w:shd w:val="clear" w:color="auto" w:fill="CCECFC"/>
          </w:tcPr>
          <w:p>
            <w:pPr/>
          </w:p>
        </w:tc>
        <w:tc>
          <w:tcPr>
            <w:tcW w:w="1427" w:type="dxa"/>
            <w:tcBorders>
              <w:top w:val="single" w:sz="4" w:space="0" w:color="231F20"/>
            </w:tcBorders>
            <w:shd w:val="clear" w:color="auto" w:fill="CCECFC"/>
          </w:tcPr>
          <w:p>
            <w:pPr>
              <w:pStyle w:val="TableParagraph"/>
              <w:tabs>
                <w:tab w:pos="709" w:val="left" w:leader="none"/>
              </w:tabs>
              <w:rPr>
                <w:sz w:val="20"/>
              </w:rPr>
            </w:pPr>
            <w:r>
              <w:rPr>
                <w:color w:val="231F20"/>
                <w:sz w:val="20"/>
              </w:rPr>
              <w:t>$</w:t>
              <w:tab/>
              <w:t>12,725</w:t>
            </w:r>
          </w:p>
        </w:tc>
      </w:tr>
      <w:tr>
        <w:trPr>
          <w:trHeight w:val="300" w:hRule="exact"/>
        </w:trPr>
        <w:tc>
          <w:tcPr>
            <w:tcW w:w="4320" w:type="dxa"/>
          </w:tcPr>
          <w:p>
            <w:pPr/>
          </w:p>
        </w:tc>
        <w:tc>
          <w:tcPr>
            <w:tcW w:w="200" w:type="dxa"/>
          </w:tcPr>
          <w:p>
            <w:pPr/>
          </w:p>
        </w:tc>
        <w:tc>
          <w:tcPr>
            <w:tcW w:w="1487" w:type="dxa"/>
          </w:tcPr>
          <w:p>
            <w:pPr/>
          </w:p>
        </w:tc>
        <w:tc>
          <w:tcPr>
            <w:tcW w:w="113" w:type="dxa"/>
          </w:tcPr>
          <w:p>
            <w:pPr/>
          </w:p>
        </w:tc>
        <w:tc>
          <w:tcPr>
            <w:tcW w:w="1487" w:type="dxa"/>
          </w:tcPr>
          <w:p>
            <w:pPr/>
          </w:p>
        </w:tc>
        <w:tc>
          <w:tcPr>
            <w:tcW w:w="113" w:type="dxa"/>
          </w:tcPr>
          <w:p>
            <w:pPr/>
          </w:p>
        </w:tc>
        <w:tc>
          <w:tcPr>
            <w:tcW w:w="1427" w:type="dxa"/>
          </w:tcPr>
          <w:p>
            <w:pPr/>
          </w:p>
        </w:tc>
      </w:tr>
      <w:tr>
        <w:trPr>
          <w:trHeight w:val="300" w:hRule="exact"/>
        </w:trPr>
        <w:tc>
          <w:tcPr>
            <w:tcW w:w="4320" w:type="dxa"/>
            <w:shd w:val="clear" w:color="auto" w:fill="CCECFC"/>
          </w:tcPr>
          <w:p>
            <w:pPr>
              <w:pStyle w:val="TableParagraph"/>
              <w:ind w:left="60"/>
              <w:rPr>
                <w:b/>
                <w:sz w:val="20"/>
              </w:rPr>
            </w:pPr>
            <w:r>
              <w:rPr>
                <w:b/>
                <w:color w:val="231F20"/>
                <w:sz w:val="20"/>
              </w:rPr>
              <w:t>ROIC, pre-tax</w:t>
            </w:r>
          </w:p>
        </w:tc>
        <w:tc>
          <w:tcPr>
            <w:tcW w:w="200" w:type="dxa"/>
            <w:shd w:val="clear" w:color="auto" w:fill="CCECFC"/>
          </w:tcPr>
          <w:p>
            <w:pPr/>
          </w:p>
        </w:tc>
        <w:tc>
          <w:tcPr>
            <w:tcW w:w="1487" w:type="dxa"/>
            <w:shd w:val="clear" w:color="auto" w:fill="CCECFC"/>
          </w:tcPr>
          <w:p>
            <w:pPr>
              <w:pStyle w:val="TableParagraph"/>
              <w:jc w:val="right"/>
              <w:rPr>
                <w:sz w:val="20"/>
              </w:rPr>
            </w:pPr>
            <w:r>
              <w:rPr>
                <w:color w:val="231F20"/>
                <w:sz w:val="20"/>
              </w:rPr>
              <w:t>21.2%</w:t>
            </w:r>
          </w:p>
        </w:tc>
        <w:tc>
          <w:tcPr>
            <w:tcW w:w="113" w:type="dxa"/>
            <w:shd w:val="clear" w:color="auto" w:fill="CCECFC"/>
          </w:tcPr>
          <w:p>
            <w:pPr/>
          </w:p>
        </w:tc>
        <w:tc>
          <w:tcPr>
            <w:tcW w:w="1487" w:type="dxa"/>
            <w:shd w:val="clear" w:color="auto" w:fill="CCECFC"/>
          </w:tcPr>
          <w:p>
            <w:pPr>
              <w:pStyle w:val="TableParagraph"/>
              <w:jc w:val="right"/>
              <w:rPr>
                <w:sz w:val="20"/>
              </w:rPr>
            </w:pPr>
            <w:r>
              <w:rPr>
                <w:color w:val="231F20"/>
                <w:sz w:val="20"/>
              </w:rPr>
              <w:t>13.1%</w:t>
            </w:r>
          </w:p>
        </w:tc>
        <w:tc>
          <w:tcPr>
            <w:tcW w:w="113" w:type="dxa"/>
            <w:shd w:val="clear" w:color="auto" w:fill="CCECFC"/>
          </w:tcPr>
          <w:p>
            <w:pPr/>
          </w:p>
        </w:tc>
        <w:tc>
          <w:tcPr>
            <w:tcW w:w="1427" w:type="dxa"/>
            <w:shd w:val="clear" w:color="auto" w:fill="CCECFC"/>
          </w:tcPr>
          <w:p>
            <w:pPr>
              <w:pStyle w:val="TableParagraph"/>
              <w:jc w:val="right"/>
              <w:rPr>
                <w:sz w:val="20"/>
              </w:rPr>
            </w:pPr>
            <w:r>
              <w:rPr>
                <w:color w:val="231F20"/>
                <w:sz w:val="20"/>
              </w:rPr>
              <w:t>7.2%</w:t>
            </w:r>
          </w:p>
        </w:tc>
      </w:tr>
    </w:tbl>
    <w:p>
      <w:pPr>
        <w:pStyle w:val="BodyText"/>
        <w:spacing w:before="1"/>
        <w:rPr>
          <w:b/>
          <w:sz w:val="26"/>
        </w:rPr>
      </w:pPr>
    </w:p>
    <w:p>
      <w:pPr>
        <w:pStyle w:val="ListParagraph"/>
        <w:numPr>
          <w:ilvl w:val="2"/>
          <w:numId w:val="8"/>
        </w:numPr>
        <w:tabs>
          <w:tab w:pos="384" w:val="left" w:leader="none"/>
        </w:tabs>
        <w:spacing w:line="249" w:lineRule="auto" w:before="0" w:after="0"/>
        <w:ind w:left="100" w:right="696" w:firstLine="0"/>
        <w:jc w:val="left"/>
        <w:rPr>
          <w:sz w:val="20"/>
        </w:rPr>
      </w:pPr>
      <w:r>
        <w:rPr>
          <w:color w:val="231F20"/>
          <w:sz w:val="20"/>
        </w:rPr>
        <w:t>Net adjustment related to presumption that all aircraft in fleet are owned (i.e., the impact of eliminating aircraft rent expense and replacing with estimated depreciation expense for those same</w:t>
      </w:r>
      <w:r>
        <w:rPr>
          <w:color w:val="231F20"/>
          <w:spacing w:val="10"/>
          <w:sz w:val="20"/>
        </w:rPr>
        <w:t> </w:t>
      </w:r>
      <w:r>
        <w:rPr>
          <w:color w:val="231F20"/>
          <w:sz w:val="20"/>
        </w:rPr>
        <w:t>aircraft).</w:t>
      </w:r>
    </w:p>
    <w:p>
      <w:pPr>
        <w:pStyle w:val="ListParagraph"/>
        <w:numPr>
          <w:ilvl w:val="2"/>
          <w:numId w:val="8"/>
        </w:numPr>
        <w:tabs>
          <w:tab w:pos="384" w:val="left" w:leader="none"/>
        </w:tabs>
        <w:spacing w:line="249" w:lineRule="auto" w:before="1" w:after="0"/>
        <w:ind w:left="100" w:right="221" w:firstLine="0"/>
        <w:jc w:val="left"/>
        <w:rPr>
          <w:sz w:val="20"/>
        </w:rPr>
      </w:pPr>
      <w:r>
        <w:rPr>
          <w:color w:val="231F20"/>
          <w:sz w:val="20"/>
        </w:rPr>
        <w:t>Average Invested Capital is an average of the five most recent quarter end balances of debt, net present value of aircraft leases, and equity adjusted for hedge</w:t>
      </w:r>
      <w:r>
        <w:rPr>
          <w:color w:val="231F20"/>
          <w:spacing w:val="5"/>
          <w:sz w:val="20"/>
        </w:rPr>
        <w:t> </w:t>
      </w:r>
      <w:r>
        <w:rPr>
          <w:color w:val="231F20"/>
          <w:sz w:val="20"/>
        </w:rPr>
        <w:t>accounting.</w:t>
      </w:r>
    </w:p>
    <w:p>
      <w:pPr>
        <w:pStyle w:val="BodyText"/>
        <w:spacing w:before="8"/>
        <w:rPr>
          <w:sz w:val="21"/>
        </w:rPr>
      </w:pPr>
    </w:p>
    <w:p>
      <w:pPr>
        <w:pStyle w:val="Heading1"/>
        <w:spacing w:before="0"/>
      </w:pPr>
      <w:r>
        <w:rPr>
          <w:color w:val="231F20"/>
        </w:rPr>
        <w:t>Note Regarding Use of Non-GAAP Financial Measures</w:t>
      </w:r>
    </w:p>
    <w:p>
      <w:pPr>
        <w:pStyle w:val="BodyText"/>
        <w:rPr>
          <w:b/>
        </w:rPr>
      </w:pPr>
    </w:p>
    <w:p>
      <w:pPr>
        <w:pStyle w:val="BodyText"/>
        <w:spacing w:line="247" w:lineRule="auto" w:before="1"/>
        <w:ind w:left="100" w:right="137" w:firstLine="720"/>
        <w:jc w:val="both"/>
      </w:pPr>
      <w:r>
        <w:rPr>
          <w:color w:val="231F20"/>
        </w:rPr>
        <w:t>The Company’s Consolidated Financial Statements are prepared in accordance  with accounting principles generally accepted in the United States (“GAAP”). These GAAP financial statements include (i) unrealized non-cash adjustments and reclassifications, which can be significant, as a result of accounting requirements and elections made under accounting pronouncements relating   to derivative instruments and hedging and (ii) other charges the Company believes are not indicative of its ongoing operational</w:t>
      </w:r>
      <w:r>
        <w:rPr>
          <w:color w:val="231F20"/>
          <w:spacing w:val="-1"/>
        </w:rPr>
        <w:t> </w:t>
      </w:r>
      <w:r>
        <w:rPr>
          <w:color w:val="231F20"/>
        </w:rPr>
        <w:t>performance.</w:t>
      </w:r>
    </w:p>
    <w:p>
      <w:pPr>
        <w:pStyle w:val="BodyText"/>
        <w:spacing w:before="5"/>
        <w:rPr>
          <w:sz w:val="21"/>
        </w:rPr>
      </w:pPr>
    </w:p>
    <w:p>
      <w:pPr>
        <w:pStyle w:val="BodyText"/>
        <w:spacing w:line="247" w:lineRule="auto"/>
        <w:ind w:left="100" w:right="137" w:firstLine="720"/>
        <w:jc w:val="both"/>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greater transparency to investors as supplemental information to its GAAP results. The Company’s economic financial results differ from GAAP results in that they only include the actual cash settlements from fuel hedge contracts - all reflected within Fuel and oil expense in the period of settlement. Thus, Fuel and oil expense on an economic basis reflects the Company’s actual net cash outlays for fuel during the applicable period, inclusive of settled fuel derivative contracts. Any net premium costs paid related to option contracts are reflected as a component of Other (gains) losses, net, for both GAAP and non- GAAP (including economic) purposes in the period of contract settlement. The Company believes these</w:t>
      </w:r>
      <w:r>
        <w:rPr>
          <w:color w:val="231F20"/>
          <w:spacing w:val="29"/>
        </w:rPr>
        <w:t> </w:t>
      </w:r>
      <w:r>
        <w:rPr>
          <w:color w:val="231F20"/>
        </w:rPr>
        <w:t>economic</w:t>
      </w:r>
      <w:r>
        <w:rPr>
          <w:color w:val="231F20"/>
          <w:spacing w:val="29"/>
        </w:rPr>
        <w:t> </w:t>
      </w:r>
      <w:r>
        <w:rPr>
          <w:color w:val="231F20"/>
        </w:rPr>
        <w:t>results</w:t>
      </w:r>
      <w:r>
        <w:rPr>
          <w:color w:val="231F20"/>
          <w:spacing w:val="29"/>
        </w:rPr>
        <w:t> </w:t>
      </w:r>
      <w:r>
        <w:rPr>
          <w:color w:val="231F20"/>
        </w:rPr>
        <w:t>provide</w:t>
      </w:r>
      <w:r>
        <w:rPr>
          <w:color w:val="231F20"/>
          <w:spacing w:val="27"/>
        </w:rPr>
        <w:t> </w:t>
      </w:r>
      <w:r>
        <w:rPr>
          <w:color w:val="231F20"/>
        </w:rPr>
        <w:t>a</w:t>
      </w:r>
      <w:r>
        <w:rPr>
          <w:color w:val="231F20"/>
          <w:spacing w:val="28"/>
        </w:rPr>
        <w:t> </w:t>
      </w:r>
      <w:r>
        <w:rPr>
          <w:color w:val="231F20"/>
        </w:rPr>
        <w:t>better</w:t>
      </w:r>
      <w:r>
        <w:rPr>
          <w:color w:val="231F20"/>
          <w:spacing w:val="28"/>
        </w:rPr>
        <w:t> </w:t>
      </w:r>
      <w:r>
        <w:rPr>
          <w:color w:val="231F20"/>
        </w:rPr>
        <w:t>measure</w:t>
      </w:r>
      <w:r>
        <w:rPr>
          <w:color w:val="231F20"/>
          <w:spacing w:val="28"/>
        </w:rPr>
        <w:t> </w:t>
      </w:r>
      <w:r>
        <w:rPr>
          <w:color w:val="231F20"/>
        </w:rPr>
        <w:t>of</w:t>
      </w:r>
      <w:r>
        <w:rPr>
          <w:color w:val="231F20"/>
          <w:spacing w:val="27"/>
        </w:rPr>
        <w:t> </w:t>
      </w:r>
      <w:r>
        <w:rPr>
          <w:color w:val="231F20"/>
        </w:rPr>
        <w:t>the</w:t>
      </w:r>
      <w:r>
        <w:rPr>
          <w:color w:val="231F20"/>
          <w:spacing w:val="28"/>
        </w:rPr>
        <w:t> </w:t>
      </w:r>
      <w:r>
        <w:rPr>
          <w:color w:val="231F20"/>
        </w:rPr>
        <w:t>impact</w:t>
      </w:r>
      <w:r>
        <w:rPr>
          <w:color w:val="231F20"/>
          <w:spacing w:val="28"/>
        </w:rPr>
        <w:t> </w:t>
      </w:r>
      <w:r>
        <w:rPr>
          <w:color w:val="231F20"/>
        </w:rPr>
        <w:t>of</w:t>
      </w:r>
      <w:r>
        <w:rPr>
          <w:color w:val="231F20"/>
          <w:spacing w:val="27"/>
        </w:rPr>
        <w:t> </w:t>
      </w:r>
      <w:r>
        <w:rPr>
          <w:color w:val="231F20"/>
        </w:rPr>
        <w:t>the</w:t>
      </w:r>
      <w:r>
        <w:rPr>
          <w:color w:val="231F20"/>
          <w:spacing w:val="28"/>
        </w:rPr>
        <w:t> </w:t>
      </w:r>
      <w:r>
        <w:rPr>
          <w:color w:val="231F20"/>
        </w:rPr>
        <w:t>Company’s</w:t>
      </w:r>
      <w:r>
        <w:rPr>
          <w:color w:val="231F20"/>
          <w:spacing w:val="28"/>
        </w:rPr>
        <w:t> </w:t>
      </w:r>
      <w:r>
        <w:rPr>
          <w:color w:val="231F20"/>
        </w:rPr>
        <w:t>fuel</w:t>
      </w:r>
      <w:r>
        <w:rPr>
          <w:color w:val="231F20"/>
          <w:spacing w:val="27"/>
        </w:rPr>
        <w:t> </w:t>
      </w:r>
      <w:r>
        <w:rPr>
          <w:color w:val="231F20"/>
        </w:rPr>
        <w:t>hedges</w:t>
      </w:r>
      <w:r>
        <w:rPr>
          <w:color w:val="231F20"/>
          <w:spacing w:val="29"/>
        </w:rPr>
        <w:t> </w:t>
      </w:r>
      <w:r>
        <w:rPr>
          <w:color w:val="231F20"/>
        </w:rPr>
        <w:t>on</w:t>
      </w:r>
      <w:r>
        <w:rPr>
          <w:color w:val="231F20"/>
          <w:spacing w:val="28"/>
        </w:rPr>
        <w:t> </w:t>
      </w:r>
      <w:r>
        <w:rPr>
          <w:color w:val="231F20"/>
        </w:rPr>
        <w:t>its</w:t>
      </w:r>
    </w:p>
    <w:p>
      <w:pPr>
        <w:spacing w:after="0" w:line="247" w:lineRule="auto"/>
        <w:jc w:val="both"/>
        <w:sectPr>
          <w:pgSz w:w="11880" w:h="15480"/>
          <w:pgMar w:header="0" w:footer="1240" w:top="1240" w:bottom="1420" w:left="1280" w:right="1240"/>
        </w:sectPr>
      </w:pPr>
    </w:p>
    <w:p>
      <w:pPr>
        <w:pStyle w:val="BodyText"/>
        <w:spacing w:line="247" w:lineRule="auto" w:before="74"/>
        <w:ind w:left="100" w:right="117"/>
        <w:jc w:val="both"/>
      </w:pPr>
      <w:r>
        <w:rPr>
          <w:color w:val="231F20"/>
        </w:rPr>
        <w:t>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w:t>
      </w:r>
      <w:r>
        <w:rPr>
          <w:color w:val="231F20"/>
          <w:spacing w:val="-4"/>
        </w:rPr>
        <w:t> </w:t>
      </w:r>
      <w:r>
        <w:rPr>
          <w:color w:val="231F20"/>
        </w:rPr>
        <w:t>companies.</w:t>
      </w:r>
    </w:p>
    <w:p>
      <w:pPr>
        <w:pStyle w:val="BodyText"/>
        <w:spacing w:before="9"/>
        <w:rPr>
          <w:sz w:val="20"/>
        </w:rPr>
      </w:pPr>
    </w:p>
    <w:p>
      <w:pPr>
        <w:pStyle w:val="BodyText"/>
        <w:spacing w:line="247" w:lineRule="auto"/>
        <w:ind w:left="100" w:right="117" w:firstLine="720"/>
        <w:jc w:val="both"/>
      </w:pPr>
      <w:r>
        <w:rPr>
          <w:color w:val="231F20"/>
        </w:rPr>
        <w:t>Further information on (i) the Company’s fuel hedging program, (ii) the requirements of accounting for derivative instruments, and (iii) the causes of hedge ineffectiveness and/or mark-to- market gains or losses from derivative instruments is included in Note 10 to the Consolidated Financial Statements.</w:t>
      </w:r>
    </w:p>
    <w:p>
      <w:pPr>
        <w:pStyle w:val="BodyText"/>
        <w:spacing w:before="9"/>
        <w:rPr>
          <w:sz w:val="20"/>
        </w:rPr>
      </w:pPr>
    </w:p>
    <w:p>
      <w:pPr>
        <w:pStyle w:val="BodyText"/>
        <w:spacing w:line="247" w:lineRule="auto"/>
        <w:ind w:left="100" w:right="117" w:firstLine="720"/>
        <w:jc w:val="both"/>
      </w:pPr>
      <w:r>
        <w:rPr>
          <w:color w:val="231F20"/>
        </w:rPr>
        <w:t>In addition to its “economic” financial measures, as defined above, the Company has also provided other non-GAAP financial measures, including results that it refers to as “excluding special items,” as a result of items that the Company believes are not indicative of its ongoing operations. These include expenses associated with the Company’s acquisition and integration of AirTran and collective bargaining contract ratification bonuses. The Company believes that evaluation of its financial performance can be enhanced by a presentation of results that exclude the impact of these items in order to evaluate the results on a comparative basis with results in prior periods that do not include such items and as a basis for evaluating operating results in future periods. As a result of the Company’s acquisition of AirTran, which closed on May 2, 2011, the Company has incurred  substantial charges associated with integration of the two companies. Given that the AirTran integration process had been effectively completed as of December 31, 2014, the Company does not anticipate significant future integration expenditure requirements. While the Company cannot predict the exact timing or amounts of such charges, it does expect to treat these charges as special items in its future presentation of non-GAAP</w:t>
      </w:r>
      <w:r>
        <w:rPr>
          <w:color w:val="231F20"/>
          <w:spacing w:val="-3"/>
        </w:rPr>
        <w:t> </w:t>
      </w:r>
      <w:r>
        <w:rPr>
          <w:color w:val="231F20"/>
        </w:rPr>
        <w:t>results.</w:t>
      </w:r>
    </w:p>
    <w:p>
      <w:pPr>
        <w:pStyle w:val="BodyText"/>
        <w:spacing w:before="9"/>
        <w:rPr>
          <w:sz w:val="20"/>
        </w:rPr>
      </w:pPr>
    </w:p>
    <w:p>
      <w:pPr>
        <w:pStyle w:val="BodyText"/>
        <w:spacing w:line="247" w:lineRule="auto"/>
        <w:ind w:left="100" w:right="117" w:firstLine="720"/>
        <w:jc w:val="both"/>
      </w:pPr>
      <w:r>
        <w:rPr>
          <w:color w:val="231F20"/>
        </w:rPr>
        <w:t>The Company has also provided return on invested capital, which is a non-GAAP financial measure. The Company believes return on invested capital is a meaningful measure because it quantifies how well the Company generates operating income relative to the capital it has invested in  its business. Although return on invested capital is commonly used as a measure of capital efficiency, definitions of return on invested capital may differ; therefore, the Company is providing an explanation of its calculation for return on invested capital (before taxes and excluding special items) in the accompanying reconciliation.</w:t>
      </w:r>
    </w:p>
    <w:p>
      <w:pPr>
        <w:pStyle w:val="BodyText"/>
        <w:spacing w:before="9"/>
        <w:rPr>
          <w:sz w:val="20"/>
        </w:rPr>
      </w:pPr>
    </w:p>
    <w:p>
      <w:pPr>
        <w:pStyle w:val="Heading1"/>
        <w:spacing w:before="0"/>
        <w:jc w:val="both"/>
      </w:pPr>
      <w:r>
        <w:rPr>
          <w:color w:val="231F20"/>
        </w:rPr>
        <w:t>YEAR IN REVIEW</w:t>
      </w:r>
    </w:p>
    <w:p>
      <w:pPr>
        <w:pStyle w:val="BodyText"/>
        <w:spacing w:before="4"/>
        <w:rPr>
          <w:b/>
          <w:sz w:val="21"/>
        </w:rPr>
      </w:pPr>
    </w:p>
    <w:p>
      <w:pPr>
        <w:pStyle w:val="BodyText"/>
        <w:spacing w:line="247" w:lineRule="auto" w:before="1"/>
        <w:ind w:left="100" w:right="117" w:firstLine="720"/>
        <w:jc w:val="both"/>
      </w:pPr>
      <w:r>
        <w:rPr>
          <w:color w:val="231F20"/>
        </w:rPr>
        <w:t>For the 42</w:t>
      </w:r>
      <w:r>
        <w:rPr>
          <w:color w:val="231F20"/>
          <w:position w:val="5"/>
          <w:sz w:val="14"/>
        </w:rPr>
        <w:t>nd </w:t>
      </w:r>
      <w:r>
        <w:rPr>
          <w:color w:val="231F20"/>
        </w:rPr>
        <w:t>consecutive year, the Company was profitable, recording GAAP and non-GAAP results for 2014 and 2013 as follows:</w:t>
      </w:r>
    </w:p>
    <w:p>
      <w:pPr>
        <w:spacing w:after="0" w:line="247" w:lineRule="auto"/>
        <w:jc w:val="both"/>
        <w:sectPr>
          <w:pgSz w:w="11880" w:h="15480"/>
          <w:pgMar w:header="0" w:footer="1240" w:top="1240" w:bottom="1420" w:left="1280" w:right="1260"/>
        </w:sectPr>
      </w:pPr>
    </w:p>
    <w:p>
      <w:pPr>
        <w:spacing w:before="73"/>
        <w:ind w:left="0" w:right="346" w:firstLine="0"/>
        <w:jc w:val="right"/>
        <w:rPr>
          <w:b/>
          <w:sz w:val="20"/>
        </w:rPr>
      </w:pPr>
      <w:r>
        <w:rPr>
          <w:b/>
          <w:color w:val="231F20"/>
          <w:sz w:val="20"/>
        </w:rPr>
        <w:t>Year ended</w:t>
      </w:r>
    </w:p>
    <w:p>
      <w:pPr>
        <w:tabs>
          <w:tab w:pos="5964" w:val="left" w:leader="none"/>
          <w:tab w:pos="6220" w:val="left" w:leader="none"/>
          <w:tab w:pos="7244" w:val="left" w:leader="none"/>
        </w:tabs>
        <w:spacing w:line="542" w:lineRule="auto" w:before="9"/>
        <w:ind w:left="180" w:right="0" w:firstLine="0"/>
        <w:jc w:val="left"/>
        <w:rPr>
          <w:b/>
          <w:sz w:val="20"/>
        </w:rPr>
      </w:pPr>
      <w:r>
        <w:rPr/>
        <w:pict>
          <v:line style="position:absolute;mso-position-horizontal-relative:page;mso-position-vertical-relative:paragraph;z-index:-407728" from="344.25pt,13.285937pt" to="462.25pt,13.285937pt" stroked="true" strokeweight="1pt" strokecolor="#231f20">
            <v:stroke dashstyle="solid"/>
            <w10:wrap type="none"/>
          </v:line>
        </w:pict>
      </w:r>
      <w:r>
        <w:rPr/>
        <w:pict>
          <v:line style="position:absolute;mso-position-horizontal-relative:page;mso-position-vertical-relative:paragraph;z-index:-407704" from="69pt,39.285938pt" to="334.25pt,39.285938pt" stroked="true" strokeweight="1pt" strokecolor="#231f20">
            <v:stroke dashstyle="solid"/>
            <w10:wrap type="none"/>
          </v:line>
        </w:pict>
      </w:r>
      <w:r>
        <w:rPr/>
        <w:pict>
          <v:shape style="position:absolute;margin-left:69pt;margin-top:39.285938pt;width:456.5pt;height:119.5pt;mso-position-horizontal-relative:page;mso-position-vertical-relative:paragraph;z-index:21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05"/>
                    <w:gridCol w:w="200"/>
                    <w:gridCol w:w="1080"/>
                    <w:gridCol w:w="200"/>
                    <w:gridCol w:w="1080"/>
                    <w:gridCol w:w="200"/>
                    <w:gridCol w:w="1055"/>
                  </w:tblGrid>
                  <w:tr>
                    <w:trPr>
                      <w:trHeight w:val="310" w:hRule="exact"/>
                    </w:trPr>
                    <w:tc>
                      <w:tcPr>
                        <w:tcW w:w="5305" w:type="dxa"/>
                        <w:shd w:val="clear" w:color="auto" w:fill="CCECFC"/>
                      </w:tcPr>
                      <w:p>
                        <w:pPr>
                          <w:pStyle w:val="TableParagraph"/>
                          <w:ind w:left="60"/>
                          <w:rPr>
                            <w:sz w:val="20"/>
                          </w:rPr>
                        </w:pPr>
                        <w:r>
                          <w:rPr>
                            <w:color w:val="231F20"/>
                            <w:sz w:val="20"/>
                          </w:rPr>
                          <w:t>Operating income</w:t>
                        </w:r>
                      </w:p>
                    </w:tc>
                    <w:tc>
                      <w:tcPr>
                        <w:tcW w:w="200" w:type="dxa"/>
                        <w:shd w:val="clear" w:color="auto" w:fill="CCECFC"/>
                      </w:tcPr>
                      <w:p>
                        <w:pPr/>
                      </w:p>
                    </w:tc>
                    <w:tc>
                      <w:tcPr>
                        <w:tcW w:w="1080" w:type="dxa"/>
                        <w:tcBorders>
                          <w:top w:val="single" w:sz="8" w:space="0" w:color="231F20"/>
                        </w:tcBorders>
                        <w:shd w:val="clear" w:color="auto" w:fill="CCECFC"/>
                      </w:tcPr>
                      <w:p>
                        <w:pPr>
                          <w:pStyle w:val="TableParagraph"/>
                          <w:tabs>
                            <w:tab w:pos="549" w:val="left" w:leader="none"/>
                          </w:tabs>
                          <w:rPr>
                            <w:sz w:val="20"/>
                          </w:rPr>
                        </w:pPr>
                        <w:r>
                          <w:rPr>
                            <w:color w:val="231F20"/>
                            <w:sz w:val="20"/>
                          </w:rPr>
                          <w:t>$</w:t>
                          <w:tab/>
                          <w:t>2,225</w:t>
                        </w:r>
                      </w:p>
                    </w:tc>
                    <w:tc>
                      <w:tcPr>
                        <w:tcW w:w="200" w:type="dxa"/>
                        <w:shd w:val="clear" w:color="auto" w:fill="CCECFC"/>
                      </w:tcPr>
                      <w:p>
                        <w:pPr/>
                      </w:p>
                    </w:tc>
                    <w:tc>
                      <w:tcPr>
                        <w:tcW w:w="1080" w:type="dxa"/>
                        <w:tcBorders>
                          <w:top w:val="single" w:sz="8" w:space="0" w:color="231F20"/>
                        </w:tcBorders>
                        <w:shd w:val="clear" w:color="auto" w:fill="CCECFC"/>
                      </w:tcPr>
                      <w:p>
                        <w:pPr>
                          <w:pStyle w:val="TableParagraph"/>
                          <w:tabs>
                            <w:tab w:pos="629" w:val="left" w:leader="none"/>
                          </w:tabs>
                          <w:jc w:val="center"/>
                          <w:rPr>
                            <w:sz w:val="20"/>
                          </w:rPr>
                        </w:pPr>
                        <w:r>
                          <w:rPr>
                            <w:color w:val="231F20"/>
                            <w:sz w:val="20"/>
                          </w:rPr>
                          <w:t>$</w:t>
                          <w:tab/>
                          <w:t>1,278</w:t>
                        </w:r>
                      </w:p>
                    </w:tc>
                    <w:tc>
                      <w:tcPr>
                        <w:tcW w:w="200" w:type="dxa"/>
                        <w:shd w:val="clear" w:color="auto" w:fill="CCECFC"/>
                      </w:tcPr>
                      <w:p>
                        <w:pPr/>
                      </w:p>
                    </w:tc>
                    <w:tc>
                      <w:tcPr>
                        <w:tcW w:w="1055" w:type="dxa"/>
                        <w:tcBorders>
                          <w:top w:val="single" w:sz="8" w:space="0" w:color="231F20"/>
                        </w:tcBorders>
                        <w:shd w:val="clear" w:color="auto" w:fill="CCECFC"/>
                      </w:tcPr>
                      <w:p>
                        <w:pPr>
                          <w:pStyle w:val="TableParagraph"/>
                          <w:ind w:left="332" w:right="332"/>
                          <w:jc w:val="center"/>
                          <w:rPr>
                            <w:sz w:val="20"/>
                          </w:rPr>
                        </w:pPr>
                        <w:r>
                          <w:rPr>
                            <w:color w:val="231F20"/>
                            <w:sz w:val="20"/>
                          </w:rPr>
                          <w:t>74.1</w:t>
                        </w:r>
                      </w:p>
                    </w:tc>
                  </w:tr>
                  <w:tr>
                    <w:trPr>
                      <w:trHeight w:val="300" w:hRule="exact"/>
                    </w:trPr>
                    <w:tc>
                      <w:tcPr>
                        <w:tcW w:w="5305" w:type="dxa"/>
                      </w:tcPr>
                      <w:p>
                        <w:pPr>
                          <w:pStyle w:val="TableParagraph"/>
                          <w:ind w:left="60"/>
                          <w:rPr>
                            <w:sz w:val="20"/>
                          </w:rPr>
                        </w:pPr>
                        <w:r>
                          <w:rPr>
                            <w:color w:val="231F20"/>
                            <w:sz w:val="20"/>
                          </w:rPr>
                          <w:t>Net income</w:t>
                        </w:r>
                      </w:p>
                    </w:tc>
                    <w:tc>
                      <w:tcPr>
                        <w:tcW w:w="200" w:type="dxa"/>
                      </w:tcPr>
                      <w:p>
                        <w:pPr/>
                      </w:p>
                    </w:tc>
                    <w:tc>
                      <w:tcPr>
                        <w:tcW w:w="1080" w:type="dxa"/>
                      </w:tcPr>
                      <w:p>
                        <w:pPr>
                          <w:pStyle w:val="TableParagraph"/>
                          <w:tabs>
                            <w:tab w:pos="549" w:val="left" w:leader="none"/>
                          </w:tabs>
                          <w:rPr>
                            <w:sz w:val="20"/>
                          </w:rPr>
                        </w:pPr>
                        <w:r>
                          <w:rPr>
                            <w:color w:val="231F20"/>
                            <w:sz w:val="20"/>
                          </w:rPr>
                          <w:t>$</w:t>
                          <w:tab/>
                          <w:t>1,136</w:t>
                        </w:r>
                      </w:p>
                    </w:tc>
                    <w:tc>
                      <w:tcPr>
                        <w:tcW w:w="200" w:type="dxa"/>
                      </w:tcPr>
                      <w:p>
                        <w:pPr/>
                      </w:p>
                    </w:tc>
                    <w:tc>
                      <w:tcPr>
                        <w:tcW w:w="1080" w:type="dxa"/>
                      </w:tcPr>
                      <w:p>
                        <w:pPr>
                          <w:pStyle w:val="TableParagraph"/>
                          <w:tabs>
                            <w:tab w:pos="779" w:val="left" w:leader="none"/>
                          </w:tabs>
                          <w:jc w:val="center"/>
                          <w:rPr>
                            <w:sz w:val="20"/>
                          </w:rPr>
                        </w:pPr>
                        <w:r>
                          <w:rPr>
                            <w:color w:val="231F20"/>
                            <w:sz w:val="20"/>
                          </w:rPr>
                          <w:t>$</w:t>
                          <w:tab/>
                          <w:t>754</w:t>
                        </w:r>
                      </w:p>
                    </w:tc>
                    <w:tc>
                      <w:tcPr>
                        <w:tcW w:w="200" w:type="dxa"/>
                      </w:tcPr>
                      <w:p>
                        <w:pPr/>
                      </w:p>
                    </w:tc>
                    <w:tc>
                      <w:tcPr>
                        <w:tcW w:w="1055" w:type="dxa"/>
                      </w:tcPr>
                      <w:p>
                        <w:pPr>
                          <w:pStyle w:val="TableParagraph"/>
                          <w:ind w:left="332" w:right="332"/>
                          <w:jc w:val="center"/>
                          <w:rPr>
                            <w:sz w:val="20"/>
                          </w:rPr>
                        </w:pPr>
                        <w:r>
                          <w:rPr>
                            <w:color w:val="231F20"/>
                            <w:sz w:val="20"/>
                          </w:rPr>
                          <w:t>50.7</w:t>
                        </w:r>
                      </w:p>
                    </w:tc>
                  </w:tr>
                  <w:tr>
                    <w:trPr>
                      <w:trHeight w:val="300" w:hRule="exact"/>
                    </w:trPr>
                    <w:tc>
                      <w:tcPr>
                        <w:tcW w:w="5305" w:type="dxa"/>
                        <w:shd w:val="clear" w:color="auto" w:fill="CCECFC"/>
                      </w:tcPr>
                      <w:p>
                        <w:pPr>
                          <w:pStyle w:val="TableParagraph"/>
                          <w:ind w:left="60"/>
                          <w:rPr>
                            <w:sz w:val="20"/>
                          </w:rPr>
                        </w:pPr>
                        <w:r>
                          <w:rPr>
                            <w:color w:val="231F20"/>
                            <w:sz w:val="20"/>
                          </w:rPr>
                          <w:t>Net income per share, diluted</w:t>
                        </w:r>
                      </w:p>
                    </w:tc>
                    <w:tc>
                      <w:tcPr>
                        <w:tcW w:w="200" w:type="dxa"/>
                        <w:shd w:val="clear" w:color="auto" w:fill="CCECFC"/>
                      </w:tcPr>
                      <w:p>
                        <w:pPr/>
                      </w:p>
                    </w:tc>
                    <w:tc>
                      <w:tcPr>
                        <w:tcW w:w="1080" w:type="dxa"/>
                        <w:shd w:val="clear" w:color="auto" w:fill="CCECFC"/>
                      </w:tcPr>
                      <w:p>
                        <w:pPr>
                          <w:pStyle w:val="TableParagraph"/>
                          <w:tabs>
                            <w:tab w:pos="649" w:val="left" w:leader="none"/>
                          </w:tabs>
                          <w:rPr>
                            <w:sz w:val="20"/>
                          </w:rPr>
                        </w:pPr>
                        <w:r>
                          <w:rPr>
                            <w:color w:val="231F20"/>
                            <w:sz w:val="20"/>
                          </w:rPr>
                          <w:t>$</w:t>
                          <w:tab/>
                          <w:t>1.64</w:t>
                        </w:r>
                      </w:p>
                    </w:tc>
                    <w:tc>
                      <w:tcPr>
                        <w:tcW w:w="200" w:type="dxa"/>
                        <w:shd w:val="clear" w:color="auto" w:fill="CCECFC"/>
                      </w:tcPr>
                      <w:p>
                        <w:pPr/>
                      </w:p>
                    </w:tc>
                    <w:tc>
                      <w:tcPr>
                        <w:tcW w:w="1080" w:type="dxa"/>
                        <w:shd w:val="clear" w:color="auto" w:fill="CCECFC"/>
                      </w:tcPr>
                      <w:p>
                        <w:pPr>
                          <w:pStyle w:val="TableParagraph"/>
                          <w:tabs>
                            <w:tab w:pos="729" w:val="left" w:leader="none"/>
                          </w:tabs>
                          <w:jc w:val="center"/>
                          <w:rPr>
                            <w:sz w:val="20"/>
                          </w:rPr>
                        </w:pPr>
                        <w:r>
                          <w:rPr>
                            <w:color w:val="231F20"/>
                            <w:sz w:val="20"/>
                          </w:rPr>
                          <w:t>$</w:t>
                          <w:tab/>
                          <w:t>1.05</w:t>
                        </w:r>
                      </w:p>
                    </w:tc>
                    <w:tc>
                      <w:tcPr>
                        <w:tcW w:w="200" w:type="dxa"/>
                        <w:shd w:val="clear" w:color="auto" w:fill="CCECFC"/>
                      </w:tcPr>
                      <w:p>
                        <w:pPr/>
                      </w:p>
                    </w:tc>
                    <w:tc>
                      <w:tcPr>
                        <w:tcW w:w="1055" w:type="dxa"/>
                        <w:shd w:val="clear" w:color="auto" w:fill="CCECFC"/>
                      </w:tcPr>
                      <w:p>
                        <w:pPr>
                          <w:pStyle w:val="TableParagraph"/>
                          <w:ind w:left="332" w:right="332"/>
                          <w:jc w:val="center"/>
                          <w:rPr>
                            <w:sz w:val="20"/>
                          </w:rPr>
                        </w:pPr>
                        <w:r>
                          <w:rPr>
                            <w:color w:val="231F20"/>
                            <w:sz w:val="20"/>
                          </w:rPr>
                          <w:t>56.2</w:t>
                        </w:r>
                      </w:p>
                    </w:tc>
                  </w:tr>
                  <w:tr>
                    <w:trPr>
                      <w:trHeight w:val="580" w:hRule="exact"/>
                    </w:trPr>
                    <w:tc>
                      <w:tcPr>
                        <w:tcW w:w="5305" w:type="dxa"/>
                      </w:tcPr>
                      <w:p>
                        <w:pPr>
                          <w:pStyle w:val="TableParagraph"/>
                          <w:spacing w:before="0"/>
                          <w:rPr>
                            <w:sz w:val="22"/>
                          </w:rPr>
                        </w:pPr>
                      </w:p>
                      <w:p>
                        <w:pPr>
                          <w:pStyle w:val="TableParagraph"/>
                          <w:spacing w:before="0"/>
                          <w:ind w:left="60"/>
                          <w:rPr>
                            <w:b/>
                            <w:sz w:val="20"/>
                          </w:rPr>
                        </w:pPr>
                        <w:r>
                          <w:rPr>
                            <w:b/>
                            <w:color w:val="231F20"/>
                            <w:sz w:val="20"/>
                          </w:rPr>
                          <w:t>Non-GAAP</w:t>
                        </w:r>
                      </w:p>
                    </w:tc>
                    <w:tc>
                      <w:tcPr>
                        <w:tcW w:w="200" w:type="dxa"/>
                      </w:tcPr>
                      <w:p>
                        <w:pPr/>
                      </w:p>
                    </w:tc>
                    <w:tc>
                      <w:tcPr>
                        <w:tcW w:w="1080" w:type="dxa"/>
                      </w:tcPr>
                      <w:p>
                        <w:pPr/>
                      </w:p>
                    </w:tc>
                    <w:tc>
                      <w:tcPr>
                        <w:tcW w:w="200" w:type="dxa"/>
                      </w:tcPr>
                      <w:p>
                        <w:pPr/>
                      </w:p>
                    </w:tc>
                    <w:tc>
                      <w:tcPr>
                        <w:tcW w:w="1080" w:type="dxa"/>
                      </w:tcPr>
                      <w:p>
                        <w:pPr/>
                      </w:p>
                    </w:tc>
                    <w:tc>
                      <w:tcPr>
                        <w:tcW w:w="200" w:type="dxa"/>
                      </w:tcPr>
                      <w:p>
                        <w:pPr/>
                      </w:p>
                    </w:tc>
                    <w:tc>
                      <w:tcPr>
                        <w:tcW w:w="1055" w:type="dxa"/>
                      </w:tcPr>
                      <w:p>
                        <w:pPr/>
                      </w:p>
                    </w:tc>
                  </w:tr>
                  <w:tr>
                    <w:trPr>
                      <w:trHeight w:val="300" w:hRule="exact"/>
                    </w:trPr>
                    <w:tc>
                      <w:tcPr>
                        <w:tcW w:w="5305" w:type="dxa"/>
                        <w:shd w:val="clear" w:color="auto" w:fill="CCECFC"/>
                      </w:tcPr>
                      <w:p>
                        <w:pPr>
                          <w:pStyle w:val="TableParagraph"/>
                          <w:ind w:left="60"/>
                          <w:rPr>
                            <w:sz w:val="20"/>
                          </w:rPr>
                        </w:pPr>
                        <w:r>
                          <w:rPr>
                            <w:color w:val="231F20"/>
                            <w:sz w:val="20"/>
                          </w:rPr>
                          <w:t>Operating income</w:t>
                        </w:r>
                      </w:p>
                    </w:tc>
                    <w:tc>
                      <w:tcPr>
                        <w:tcW w:w="200" w:type="dxa"/>
                        <w:shd w:val="clear" w:color="auto" w:fill="CCECFC"/>
                      </w:tcPr>
                      <w:p>
                        <w:pPr/>
                      </w:p>
                    </w:tc>
                    <w:tc>
                      <w:tcPr>
                        <w:tcW w:w="1080" w:type="dxa"/>
                        <w:shd w:val="clear" w:color="auto" w:fill="CCECFC"/>
                      </w:tcPr>
                      <w:p>
                        <w:pPr>
                          <w:pStyle w:val="TableParagraph"/>
                          <w:tabs>
                            <w:tab w:pos="549" w:val="left" w:leader="none"/>
                          </w:tabs>
                          <w:rPr>
                            <w:sz w:val="20"/>
                          </w:rPr>
                        </w:pPr>
                        <w:r>
                          <w:rPr>
                            <w:color w:val="231F20"/>
                            <w:sz w:val="20"/>
                          </w:rPr>
                          <w:t>$</w:t>
                          <w:tab/>
                          <w:t>2,388</w:t>
                        </w:r>
                      </w:p>
                    </w:tc>
                    <w:tc>
                      <w:tcPr>
                        <w:tcW w:w="200" w:type="dxa"/>
                        <w:shd w:val="clear" w:color="auto" w:fill="CCECFC"/>
                      </w:tcPr>
                      <w:p>
                        <w:pPr/>
                      </w:p>
                    </w:tc>
                    <w:tc>
                      <w:tcPr>
                        <w:tcW w:w="1080" w:type="dxa"/>
                        <w:shd w:val="clear" w:color="auto" w:fill="CCECFC"/>
                      </w:tcPr>
                      <w:p>
                        <w:pPr>
                          <w:pStyle w:val="TableParagraph"/>
                          <w:tabs>
                            <w:tab w:pos="629" w:val="left" w:leader="none"/>
                          </w:tabs>
                          <w:jc w:val="center"/>
                          <w:rPr>
                            <w:sz w:val="20"/>
                          </w:rPr>
                        </w:pPr>
                        <w:r>
                          <w:rPr>
                            <w:color w:val="231F20"/>
                            <w:sz w:val="20"/>
                          </w:rPr>
                          <w:t>$</w:t>
                          <w:tab/>
                          <w:t>1,448</w:t>
                        </w:r>
                      </w:p>
                    </w:tc>
                    <w:tc>
                      <w:tcPr>
                        <w:tcW w:w="200" w:type="dxa"/>
                        <w:shd w:val="clear" w:color="auto" w:fill="CCECFC"/>
                      </w:tcPr>
                      <w:p>
                        <w:pPr/>
                      </w:p>
                    </w:tc>
                    <w:tc>
                      <w:tcPr>
                        <w:tcW w:w="1055" w:type="dxa"/>
                        <w:shd w:val="clear" w:color="auto" w:fill="CCECFC"/>
                      </w:tcPr>
                      <w:p>
                        <w:pPr>
                          <w:pStyle w:val="TableParagraph"/>
                          <w:ind w:left="332" w:right="332"/>
                          <w:jc w:val="center"/>
                          <w:rPr>
                            <w:sz w:val="20"/>
                          </w:rPr>
                        </w:pPr>
                        <w:r>
                          <w:rPr>
                            <w:color w:val="231F20"/>
                            <w:sz w:val="20"/>
                          </w:rPr>
                          <w:t>64.9</w:t>
                        </w:r>
                      </w:p>
                    </w:tc>
                  </w:tr>
                  <w:tr>
                    <w:trPr>
                      <w:trHeight w:val="300" w:hRule="exact"/>
                    </w:trPr>
                    <w:tc>
                      <w:tcPr>
                        <w:tcW w:w="5305" w:type="dxa"/>
                      </w:tcPr>
                      <w:p>
                        <w:pPr>
                          <w:pStyle w:val="TableParagraph"/>
                          <w:ind w:left="60"/>
                          <w:rPr>
                            <w:sz w:val="20"/>
                          </w:rPr>
                        </w:pPr>
                        <w:r>
                          <w:rPr>
                            <w:color w:val="231F20"/>
                            <w:sz w:val="20"/>
                          </w:rPr>
                          <w:t>Net income</w:t>
                        </w:r>
                      </w:p>
                    </w:tc>
                    <w:tc>
                      <w:tcPr>
                        <w:tcW w:w="200" w:type="dxa"/>
                      </w:tcPr>
                      <w:p>
                        <w:pPr/>
                      </w:p>
                    </w:tc>
                    <w:tc>
                      <w:tcPr>
                        <w:tcW w:w="1080" w:type="dxa"/>
                      </w:tcPr>
                      <w:p>
                        <w:pPr>
                          <w:pStyle w:val="TableParagraph"/>
                          <w:tabs>
                            <w:tab w:pos="549" w:val="left" w:leader="none"/>
                          </w:tabs>
                          <w:rPr>
                            <w:sz w:val="20"/>
                          </w:rPr>
                        </w:pPr>
                        <w:r>
                          <w:rPr>
                            <w:color w:val="231F20"/>
                            <w:sz w:val="20"/>
                          </w:rPr>
                          <w:t>$</w:t>
                          <w:tab/>
                          <w:t>1,397</w:t>
                        </w:r>
                      </w:p>
                    </w:tc>
                    <w:tc>
                      <w:tcPr>
                        <w:tcW w:w="200" w:type="dxa"/>
                      </w:tcPr>
                      <w:p>
                        <w:pPr/>
                      </w:p>
                    </w:tc>
                    <w:tc>
                      <w:tcPr>
                        <w:tcW w:w="1080" w:type="dxa"/>
                      </w:tcPr>
                      <w:p>
                        <w:pPr>
                          <w:pStyle w:val="TableParagraph"/>
                          <w:tabs>
                            <w:tab w:pos="779" w:val="left" w:leader="none"/>
                          </w:tabs>
                          <w:jc w:val="center"/>
                          <w:rPr>
                            <w:sz w:val="20"/>
                          </w:rPr>
                        </w:pPr>
                        <w:r>
                          <w:rPr>
                            <w:color w:val="231F20"/>
                            <w:sz w:val="20"/>
                          </w:rPr>
                          <w:t>$</w:t>
                          <w:tab/>
                          <w:t>805</w:t>
                        </w:r>
                      </w:p>
                    </w:tc>
                    <w:tc>
                      <w:tcPr>
                        <w:tcW w:w="200" w:type="dxa"/>
                      </w:tcPr>
                      <w:p>
                        <w:pPr/>
                      </w:p>
                    </w:tc>
                    <w:tc>
                      <w:tcPr>
                        <w:tcW w:w="1055" w:type="dxa"/>
                      </w:tcPr>
                      <w:p>
                        <w:pPr>
                          <w:pStyle w:val="TableParagraph"/>
                          <w:ind w:left="332" w:right="332"/>
                          <w:jc w:val="center"/>
                          <w:rPr>
                            <w:sz w:val="20"/>
                          </w:rPr>
                        </w:pPr>
                        <w:r>
                          <w:rPr>
                            <w:color w:val="231F20"/>
                            <w:sz w:val="20"/>
                          </w:rPr>
                          <w:t>73.5</w:t>
                        </w:r>
                      </w:p>
                    </w:tc>
                  </w:tr>
                  <w:tr>
                    <w:trPr>
                      <w:trHeight w:val="300" w:hRule="exact"/>
                    </w:trPr>
                    <w:tc>
                      <w:tcPr>
                        <w:tcW w:w="5305" w:type="dxa"/>
                        <w:shd w:val="clear" w:color="auto" w:fill="CCECFC"/>
                      </w:tcPr>
                      <w:p>
                        <w:pPr>
                          <w:pStyle w:val="TableParagraph"/>
                          <w:ind w:left="60"/>
                          <w:rPr>
                            <w:sz w:val="20"/>
                          </w:rPr>
                        </w:pPr>
                        <w:r>
                          <w:rPr>
                            <w:color w:val="231F20"/>
                            <w:sz w:val="20"/>
                          </w:rPr>
                          <w:t>Net income per share, diluted</w:t>
                        </w:r>
                      </w:p>
                    </w:tc>
                    <w:tc>
                      <w:tcPr>
                        <w:tcW w:w="200" w:type="dxa"/>
                        <w:shd w:val="clear" w:color="auto" w:fill="CCECFC"/>
                      </w:tcPr>
                      <w:p>
                        <w:pPr/>
                      </w:p>
                    </w:tc>
                    <w:tc>
                      <w:tcPr>
                        <w:tcW w:w="1080" w:type="dxa"/>
                        <w:shd w:val="clear" w:color="auto" w:fill="CCECFC"/>
                      </w:tcPr>
                      <w:p>
                        <w:pPr>
                          <w:pStyle w:val="TableParagraph"/>
                          <w:tabs>
                            <w:tab w:pos="649" w:val="left" w:leader="none"/>
                          </w:tabs>
                          <w:rPr>
                            <w:sz w:val="20"/>
                          </w:rPr>
                        </w:pPr>
                        <w:r>
                          <w:rPr>
                            <w:color w:val="231F20"/>
                            <w:sz w:val="20"/>
                          </w:rPr>
                          <w:t>$</w:t>
                          <w:tab/>
                          <w:t>2.01</w:t>
                        </w:r>
                      </w:p>
                    </w:tc>
                    <w:tc>
                      <w:tcPr>
                        <w:tcW w:w="200" w:type="dxa"/>
                        <w:shd w:val="clear" w:color="auto" w:fill="CCECFC"/>
                      </w:tcPr>
                      <w:p>
                        <w:pPr/>
                      </w:p>
                    </w:tc>
                    <w:tc>
                      <w:tcPr>
                        <w:tcW w:w="1080" w:type="dxa"/>
                        <w:shd w:val="clear" w:color="auto" w:fill="CCECFC"/>
                      </w:tcPr>
                      <w:p>
                        <w:pPr>
                          <w:pStyle w:val="TableParagraph"/>
                          <w:tabs>
                            <w:tab w:pos="729" w:val="left" w:leader="none"/>
                          </w:tabs>
                          <w:jc w:val="center"/>
                          <w:rPr>
                            <w:sz w:val="20"/>
                          </w:rPr>
                        </w:pPr>
                        <w:r>
                          <w:rPr>
                            <w:color w:val="231F20"/>
                            <w:sz w:val="20"/>
                          </w:rPr>
                          <w:t>$</w:t>
                          <w:tab/>
                          <w:t>1.12</w:t>
                        </w:r>
                      </w:p>
                    </w:tc>
                    <w:tc>
                      <w:tcPr>
                        <w:tcW w:w="200" w:type="dxa"/>
                        <w:shd w:val="clear" w:color="auto" w:fill="CCECFC"/>
                      </w:tcPr>
                      <w:p>
                        <w:pPr/>
                      </w:p>
                    </w:tc>
                    <w:tc>
                      <w:tcPr>
                        <w:tcW w:w="1055" w:type="dxa"/>
                        <w:shd w:val="clear" w:color="auto" w:fill="CCECFC"/>
                      </w:tcPr>
                      <w:p>
                        <w:pPr>
                          <w:pStyle w:val="TableParagraph"/>
                          <w:ind w:left="332" w:right="332"/>
                          <w:jc w:val="center"/>
                          <w:rPr>
                            <w:sz w:val="20"/>
                          </w:rPr>
                        </w:pPr>
                        <w:r>
                          <w:rPr>
                            <w:color w:val="231F20"/>
                            <w:sz w:val="20"/>
                          </w:rPr>
                          <w:t>79.5</w:t>
                        </w:r>
                      </w:p>
                    </w:tc>
                  </w:tr>
                </w:tbl>
                <w:p>
                  <w:pPr>
                    <w:pStyle w:val="BodyText"/>
                  </w:pPr>
                </w:p>
              </w:txbxContent>
            </v:textbox>
            <w10:wrap type="none"/>
          </v:shape>
        </w:pict>
      </w:r>
      <w:r>
        <w:rPr>
          <w:b/>
          <w:color w:val="231F20"/>
          <w:sz w:val="20"/>
        </w:rPr>
        <w:t>(in millions, except per</w:t>
      </w:r>
      <w:r>
        <w:rPr>
          <w:b/>
          <w:color w:val="231F20"/>
          <w:spacing w:val="2"/>
          <w:sz w:val="20"/>
        </w:rPr>
        <w:t> </w:t>
      </w:r>
      <w:r>
        <w:rPr>
          <w:b/>
          <w:color w:val="231F20"/>
          <w:sz w:val="20"/>
        </w:rPr>
        <w:t>share amounts)</w:t>
        <w:tab/>
        <w:tab/>
        <w:t>December 31,</w:t>
      </w:r>
      <w:r>
        <w:rPr>
          <w:b/>
          <w:color w:val="231F20"/>
          <w:w w:val="100"/>
          <w:sz w:val="20"/>
        </w:rPr>
        <w:t> </w:t>
      </w:r>
      <w:r>
        <w:rPr>
          <w:b/>
          <w:color w:val="231F20"/>
          <w:sz w:val="20"/>
        </w:rPr>
        <w:t>GAAP</w:t>
        <w:tab/>
        <w:t>2014</w:t>
        <w:tab/>
        <w:t>2013</w:t>
      </w:r>
    </w:p>
    <w:p>
      <w:pPr>
        <w:pStyle w:val="BodyText"/>
        <w:rPr>
          <w:b/>
        </w:rPr>
      </w:pPr>
      <w:r>
        <w:rPr/>
        <w:br w:type="column"/>
      </w:r>
      <w:r>
        <w:rPr>
          <w:b/>
        </w:rPr>
      </w:r>
    </w:p>
    <w:p>
      <w:pPr>
        <w:pStyle w:val="BodyText"/>
        <w:spacing w:before="3"/>
        <w:rPr>
          <w:b/>
          <w:sz w:val="32"/>
        </w:rPr>
      </w:pPr>
    </w:p>
    <w:p>
      <w:pPr>
        <w:spacing w:line="220" w:lineRule="exact" w:before="0"/>
        <w:ind w:left="181" w:right="299" w:hanging="1"/>
        <w:jc w:val="left"/>
        <w:rPr>
          <w:b/>
          <w:sz w:val="20"/>
        </w:rPr>
      </w:pPr>
      <w:r>
        <w:rPr>
          <w:b/>
          <w:color w:val="231F20"/>
          <w:sz w:val="20"/>
        </w:rPr>
        <w:t>Percent Change</w:t>
      </w:r>
    </w:p>
    <w:p>
      <w:pPr>
        <w:spacing w:after="0" w:line="220" w:lineRule="exact"/>
        <w:jc w:val="left"/>
        <w:rPr>
          <w:sz w:val="20"/>
        </w:rPr>
        <w:sectPr>
          <w:pgSz w:w="11880" w:h="15480"/>
          <w:pgMar w:header="0" w:footer="1240" w:top="1200" w:bottom="1420" w:left="1260" w:right="1260"/>
          <w:cols w:num="2" w:equalWidth="0">
            <w:col w:w="7646" w:space="558"/>
            <w:col w:w="1156"/>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0"/>
        </w:rPr>
      </w:pPr>
    </w:p>
    <w:p>
      <w:pPr>
        <w:pStyle w:val="BodyText"/>
        <w:spacing w:line="20" w:lineRule="exact"/>
        <w:ind w:left="110"/>
        <w:rPr>
          <w:sz w:val="2"/>
        </w:rPr>
      </w:pPr>
      <w:r>
        <w:rPr>
          <w:sz w:val="2"/>
        </w:rPr>
        <w:pict>
          <v:group style="width:266.25pt;height:1pt;mso-position-horizontal-relative:char;mso-position-vertical-relative:line" coordorigin="0,0" coordsize="5325,20">
            <v:line style="position:absolute" from="10,10" to="5315,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7"/>
        </w:rPr>
      </w:pPr>
    </w:p>
    <w:p>
      <w:pPr>
        <w:spacing w:line="249" w:lineRule="auto" w:before="94"/>
        <w:ind w:left="120" w:right="533" w:firstLine="0"/>
        <w:jc w:val="left"/>
        <w:rPr>
          <w:sz w:val="20"/>
        </w:rPr>
      </w:pPr>
      <w:r>
        <w:rPr>
          <w:color w:val="231F20"/>
          <w:sz w:val="20"/>
        </w:rPr>
        <w:t>See the previous Note Regarding Use of Non-GAAP Financial Measures and the Reconciliation of Reported Amounts to Non-GAAP Financial Measures for additional detail regarding non-GAAP financial measures.</w:t>
      </w:r>
    </w:p>
    <w:p>
      <w:pPr>
        <w:pStyle w:val="BodyText"/>
        <w:spacing w:before="4"/>
        <w:rPr>
          <w:sz w:val="21"/>
        </w:rPr>
      </w:pPr>
    </w:p>
    <w:p>
      <w:pPr>
        <w:pStyle w:val="BodyText"/>
        <w:spacing w:line="247" w:lineRule="auto"/>
        <w:ind w:left="120" w:right="117" w:firstLine="720"/>
        <w:jc w:val="both"/>
      </w:pPr>
      <w:r>
        <w:rPr>
          <w:color w:val="231F20"/>
        </w:rPr>
        <w:t>Year ended December 31, 2014 net income was a Company record $1.1 billion, or $1.64 per diluted share, a 50.7 percent increase year-over-year. This increase primarily was due to a 5.1 percent increase in Operating revenues, driven by strong demand for air travel and successful execution of the Company’s strategic initiatives. Operating expenses remained relatively flat, also as a result of benefits from the Company’s strategic initiatives and from lower fuel prices, which offset an increase in Salaries, Wages, and Benefits expense driven by the Company’s record Employee Profitsharing expense of $355 million. Excluding special items in both years, which consisted primarily of Acquisition and integration costs associated with the AirTran acquisition and unrealized non-cash adjustments and reclassifications associated with hedge accounting, non-GAAP Net income was a record $1.4 billion, or $2.01 per diluted share, a 73.5 percent increase year-over-year. Year ended December  31,  2014  Operating  income  was  $2.2  billion  and  non-GAAP  Operating  income    was</w:t>
      </w:r>
    </w:p>
    <w:p>
      <w:pPr>
        <w:pStyle w:val="BodyText"/>
        <w:spacing w:line="247" w:lineRule="auto"/>
        <w:ind w:left="120"/>
      </w:pPr>
      <w:r>
        <w:rPr>
          <w:color w:val="231F20"/>
        </w:rPr>
        <w:t>$2.4 billion. Both GAAP and non-GAAP annual Operating income results for 2014 were Company records and significantly surpassed the prior year performance.</w:t>
      </w:r>
    </w:p>
    <w:p>
      <w:pPr>
        <w:pStyle w:val="BodyText"/>
        <w:spacing w:before="1"/>
        <w:rPr>
          <w:sz w:val="21"/>
        </w:rPr>
      </w:pPr>
    </w:p>
    <w:p>
      <w:pPr>
        <w:pStyle w:val="BodyText"/>
        <w:spacing w:line="247" w:lineRule="auto"/>
        <w:ind w:left="120" w:right="117" w:firstLine="720"/>
        <w:jc w:val="both"/>
      </w:pPr>
      <w:r>
        <w:rPr>
          <w:color w:val="231F20"/>
        </w:rPr>
        <w:t>During 2014, the Company continued to return significant value to its Shareholders through four separate accelerated share repurchase programs, the buyback of its common shares on the open market, and $139 million in dividend payments. See Part II, Item 5 for further information on the Company’s share repurchase authorization.</w:t>
      </w:r>
    </w:p>
    <w:p>
      <w:pPr>
        <w:pStyle w:val="BodyText"/>
        <w:rPr>
          <w:sz w:val="21"/>
        </w:rPr>
      </w:pPr>
    </w:p>
    <w:p>
      <w:pPr>
        <w:pStyle w:val="BodyText"/>
        <w:spacing w:line="247" w:lineRule="auto"/>
        <w:ind w:left="120" w:right="118" w:firstLine="720"/>
        <w:jc w:val="both"/>
      </w:pPr>
      <w:r>
        <w:rPr>
          <w:color w:val="231F20"/>
        </w:rPr>
        <w:t>For the twelve months ended December 31, 2014, the Company’s exceptional earnings performance, combined with its actions to prudently manage invested capital, produced a 21.2 percent pre-tax Return on invested capital, excluding special items (“ROIC”). This represented a significant increase compared with the Company’s ROIC of 13.1 percent for the  twelve  months  ended  December 31, 2013. The increase in ROIC was achieved primarily through successful execution of the Company’s strategic initiatives and declining fuel prices, especially during the second half of</w:t>
      </w:r>
      <w:r>
        <w:rPr>
          <w:color w:val="231F20"/>
          <w:spacing w:val="-1"/>
        </w:rPr>
        <w:t> </w:t>
      </w:r>
      <w:r>
        <w:rPr>
          <w:color w:val="231F20"/>
        </w:rPr>
        <w:t>2014.</w:t>
      </w:r>
    </w:p>
    <w:p>
      <w:pPr>
        <w:pStyle w:val="BodyText"/>
        <w:spacing w:before="7"/>
        <w:rPr>
          <w:sz w:val="31"/>
        </w:rPr>
      </w:pPr>
    </w:p>
    <w:p>
      <w:pPr>
        <w:pStyle w:val="Heading2"/>
        <w:ind w:left="120"/>
        <w:rPr>
          <w:i/>
        </w:rPr>
      </w:pPr>
      <w:r>
        <w:rPr>
          <w:i/>
          <w:color w:val="231F20"/>
        </w:rPr>
        <w:t>The integration of AirTran</w:t>
      </w:r>
    </w:p>
    <w:p>
      <w:pPr>
        <w:pStyle w:val="BodyText"/>
        <w:spacing w:line="247" w:lineRule="auto" w:before="127"/>
        <w:ind w:left="120" w:right="118" w:firstLine="720"/>
        <w:jc w:val="both"/>
      </w:pPr>
      <w:r>
        <w:rPr>
          <w:color w:val="231F20"/>
        </w:rPr>
        <w:t>The Company’s over three year long integration of Southwest’s and AirTran’s networks,  fleets, systems, and People, was effectively completed in December 2014. AirTran’s final passenger service occurred on December 28, 2014. The acquisition of AirTran in 2011 served to increase the Company’s</w:t>
      </w:r>
      <w:r>
        <w:rPr>
          <w:color w:val="231F20"/>
          <w:spacing w:val="13"/>
        </w:rPr>
        <w:t> </w:t>
      </w:r>
      <w:r>
        <w:rPr>
          <w:color w:val="231F20"/>
        </w:rPr>
        <w:t>fleet</w:t>
      </w:r>
      <w:r>
        <w:rPr>
          <w:color w:val="231F20"/>
          <w:spacing w:val="13"/>
        </w:rPr>
        <w:t> </w:t>
      </w:r>
      <w:r>
        <w:rPr>
          <w:color w:val="231F20"/>
        </w:rPr>
        <w:t>size</w:t>
      </w:r>
      <w:r>
        <w:rPr>
          <w:color w:val="231F20"/>
          <w:spacing w:val="13"/>
        </w:rPr>
        <w:t> </w:t>
      </w:r>
      <w:r>
        <w:rPr>
          <w:color w:val="231F20"/>
        </w:rPr>
        <w:t>and</w:t>
      </w:r>
      <w:r>
        <w:rPr>
          <w:color w:val="231F20"/>
          <w:spacing w:val="13"/>
        </w:rPr>
        <w:t> </w:t>
      </w:r>
      <w:r>
        <w:rPr>
          <w:color w:val="231F20"/>
        </w:rPr>
        <w:t>expand</w:t>
      </w:r>
      <w:r>
        <w:rPr>
          <w:color w:val="231F20"/>
          <w:spacing w:val="13"/>
        </w:rPr>
        <w:t> </w:t>
      </w:r>
      <w:r>
        <w:rPr>
          <w:color w:val="231F20"/>
        </w:rPr>
        <w:t>its</w:t>
      </w:r>
      <w:r>
        <w:rPr>
          <w:color w:val="231F20"/>
          <w:spacing w:val="13"/>
        </w:rPr>
        <w:t> </w:t>
      </w:r>
      <w:r>
        <w:rPr>
          <w:color w:val="231F20"/>
        </w:rPr>
        <w:t>network</w:t>
      </w:r>
      <w:r>
        <w:rPr>
          <w:color w:val="231F20"/>
          <w:spacing w:val="13"/>
        </w:rPr>
        <w:t> </w:t>
      </w:r>
      <w:r>
        <w:rPr>
          <w:color w:val="231F20"/>
        </w:rPr>
        <w:t>into</w:t>
      </w:r>
      <w:r>
        <w:rPr>
          <w:color w:val="231F20"/>
          <w:spacing w:val="11"/>
        </w:rPr>
        <w:t> </w:t>
      </w:r>
      <w:r>
        <w:rPr>
          <w:color w:val="231F20"/>
        </w:rPr>
        <w:t>key</w:t>
      </w:r>
      <w:r>
        <w:rPr>
          <w:color w:val="231F20"/>
          <w:spacing w:val="12"/>
        </w:rPr>
        <w:t> </w:t>
      </w:r>
      <w:r>
        <w:rPr>
          <w:color w:val="231F20"/>
        </w:rPr>
        <w:t>U.S.</w:t>
      </w:r>
      <w:r>
        <w:rPr>
          <w:color w:val="231F20"/>
          <w:spacing w:val="11"/>
        </w:rPr>
        <w:t> </w:t>
      </w:r>
      <w:r>
        <w:rPr>
          <w:color w:val="231F20"/>
        </w:rPr>
        <w:t>markets,</w:t>
      </w:r>
      <w:r>
        <w:rPr>
          <w:color w:val="231F20"/>
          <w:spacing w:val="12"/>
        </w:rPr>
        <w:t> </w:t>
      </w:r>
      <w:r>
        <w:rPr>
          <w:color w:val="231F20"/>
        </w:rPr>
        <w:t>such</w:t>
      </w:r>
      <w:r>
        <w:rPr>
          <w:color w:val="231F20"/>
          <w:spacing w:val="12"/>
        </w:rPr>
        <w:t> </w:t>
      </w:r>
      <w:r>
        <w:rPr>
          <w:color w:val="231F20"/>
        </w:rPr>
        <w:t>as</w:t>
      </w:r>
      <w:r>
        <w:rPr>
          <w:color w:val="231F20"/>
          <w:spacing w:val="12"/>
        </w:rPr>
        <w:t> </w:t>
      </w:r>
      <w:r>
        <w:rPr>
          <w:color w:val="231F20"/>
        </w:rPr>
        <w:t>Atlanta</w:t>
      </w:r>
      <w:r>
        <w:rPr>
          <w:color w:val="231F20"/>
          <w:spacing w:val="12"/>
        </w:rPr>
        <w:t> </w:t>
      </w:r>
      <w:r>
        <w:rPr>
          <w:color w:val="231F20"/>
        </w:rPr>
        <w:t>and</w:t>
      </w:r>
      <w:r>
        <w:rPr>
          <w:color w:val="231F20"/>
          <w:spacing w:val="12"/>
        </w:rPr>
        <w:t> </w:t>
      </w:r>
      <w:r>
        <w:rPr>
          <w:color w:val="231F20"/>
        </w:rPr>
        <w:t>Washington,</w:t>
      </w:r>
    </w:p>
    <w:p>
      <w:pPr>
        <w:spacing w:after="0" w:line="247" w:lineRule="auto"/>
        <w:jc w:val="both"/>
        <w:sectPr>
          <w:type w:val="continuous"/>
          <w:pgSz w:w="11880" w:h="15480"/>
          <w:pgMar w:top="1260" w:bottom="280" w:left="1260" w:right="1260"/>
        </w:sectPr>
      </w:pPr>
    </w:p>
    <w:p>
      <w:pPr>
        <w:pStyle w:val="ListParagraph"/>
        <w:numPr>
          <w:ilvl w:val="1"/>
          <w:numId w:val="9"/>
        </w:numPr>
        <w:tabs>
          <w:tab w:pos="585" w:val="left" w:leader="none"/>
        </w:tabs>
        <w:spacing w:line="247" w:lineRule="auto" w:before="74" w:after="0"/>
        <w:ind w:left="100" w:right="117" w:firstLine="0"/>
        <w:jc w:val="both"/>
        <w:rPr>
          <w:sz w:val="22"/>
        </w:rPr>
      </w:pPr>
      <w:r>
        <w:rPr>
          <w:color w:val="231F20"/>
          <w:sz w:val="22"/>
        </w:rPr>
        <w:t>As a result of the acquisition, the Company estimates it achieved approximately $500 million in net, pre-tax synergies during 2014 (excluding acquisition and integration expenses). In addition, the acquisition also aided the Company’s expansion into near-international locations, such as the Caribbean and Mexico, which led to the historic launch of Southwest international service during second  quarter  2014,  and  marked   a   significant   achievement   in  the   integration  process.   As  of December 31, 2014, all 52 AirTran 737-700 aircraft either have been converted to the Southwest livery or have entered the conversion process and are expected to enter Southwest service during first quarter</w:t>
      </w:r>
      <w:r>
        <w:rPr>
          <w:color w:val="231F20"/>
          <w:spacing w:val="-1"/>
          <w:sz w:val="22"/>
        </w:rPr>
        <w:t> </w:t>
      </w:r>
      <w:r>
        <w:rPr>
          <w:color w:val="231F20"/>
          <w:sz w:val="22"/>
        </w:rPr>
        <w:t>2015.</w:t>
      </w:r>
    </w:p>
    <w:p>
      <w:pPr>
        <w:pStyle w:val="BodyText"/>
        <w:rPr>
          <w:sz w:val="30"/>
        </w:rPr>
      </w:pPr>
    </w:p>
    <w:p>
      <w:pPr>
        <w:pStyle w:val="Heading2"/>
        <w:ind w:left="100"/>
        <w:jc w:val="both"/>
        <w:rPr>
          <w:i/>
        </w:rPr>
      </w:pPr>
      <w:r>
        <w:rPr>
          <w:i/>
          <w:color w:val="231F20"/>
        </w:rPr>
        <w:t>Fleet modernization</w:t>
      </w:r>
    </w:p>
    <w:p>
      <w:pPr>
        <w:pStyle w:val="BodyText"/>
        <w:spacing w:line="247" w:lineRule="auto" w:before="7"/>
        <w:ind w:left="100" w:right="117" w:firstLine="720"/>
        <w:jc w:val="both"/>
      </w:pPr>
      <w:r>
        <w:rPr>
          <w:color w:val="231F20"/>
        </w:rPr>
        <w:t>The Company is scheduled to be the launch customer for Boeing’s new, more fuel-efficient  737 MAX 8 aircraft, which is expected to enter service in 2017. The 737 MAX 8 is expected to reduce fuel burn and CO2 emissions 20 percent, compared with the original Next-Generation 737s when they first entered service. Southwest is also scheduled to be the launch customer for the Boeing 737 MAX   7 series aircraft, with deliveries expected to begin in 2019. Currently the Company has firm orders in place for 170 MAX 8 aircraft and 30 MAX 7 aircraft. During 2014, the Company retired five Classic (three 737-300 and two 737-500) aircraft from its fleet and intends to continue to replace these aircraft as well as the 717-200 aircraft through its current order book with Boeing and through the purchase  and lease of additional pre-owned 737-700 aircraft from third parties. Following AirTran’s final passenger service on December 28, 2014, the Company removed all remaining Boeing 717-200 aircraft from service. As of December 31, 2014, 52 of AirTran’s 88 Boeing 717-200 aircraft had  been delivered to Delta pursuant to a lease/sublease agreement and 36 717-200 aircraft were undergoing or awaiting conversion in preparation for delivery to Delta. See Note 7 to the Consolidated Financial Statements for further</w:t>
      </w:r>
      <w:r>
        <w:rPr>
          <w:color w:val="231F20"/>
          <w:spacing w:val="-2"/>
        </w:rPr>
        <w:t> </w:t>
      </w:r>
      <w:r>
        <w:rPr>
          <w:color w:val="231F20"/>
        </w:rPr>
        <w:t>information.</w:t>
      </w:r>
    </w:p>
    <w:p>
      <w:pPr>
        <w:pStyle w:val="BodyText"/>
        <w:rPr>
          <w:sz w:val="30"/>
        </w:rPr>
      </w:pPr>
    </w:p>
    <w:p>
      <w:pPr>
        <w:pStyle w:val="Heading2"/>
        <w:spacing w:before="1"/>
        <w:ind w:left="100"/>
        <w:jc w:val="both"/>
        <w:rPr>
          <w:i/>
        </w:rPr>
      </w:pPr>
      <w:r>
        <w:rPr>
          <w:i/>
          <w:color w:val="231F20"/>
        </w:rPr>
        <w:t>The continued incorporation of a larger aircraft, the Boeing 737-800, into Southwest’s fleet</w:t>
      </w:r>
    </w:p>
    <w:p>
      <w:pPr>
        <w:pStyle w:val="BodyText"/>
        <w:spacing w:line="247" w:lineRule="auto" w:before="7"/>
        <w:ind w:left="100" w:right="117" w:firstLine="720"/>
        <w:jc w:val="both"/>
      </w:pPr>
      <w:r>
        <w:rPr>
          <w:color w:val="231F20"/>
        </w:rPr>
        <w:t>To further support its fleet modernization efforts, the Company received a total of 33 Boeing 737-800s during 2014. As of December 31, 2014, the Company’s fleet included 85 737-800s. The Boeing 737-800 (i) is better suited for certain potential new destinations, including near-international locations, (ii) provides the Company with the opportunity to generate additional revenue by replacing current aircraft on specified routes and locations that are restricted due to space constraints or slot controls, and (iii) operates at a lower unit cost than other aircraft in the Company’s existing fleet.</w:t>
      </w:r>
    </w:p>
    <w:p>
      <w:pPr>
        <w:pStyle w:val="BodyText"/>
        <w:rPr>
          <w:sz w:val="30"/>
        </w:rPr>
      </w:pPr>
    </w:p>
    <w:p>
      <w:pPr>
        <w:pStyle w:val="Heading2"/>
        <w:ind w:left="100"/>
        <w:jc w:val="both"/>
        <w:rPr>
          <w:i/>
        </w:rPr>
      </w:pPr>
      <w:r>
        <w:rPr>
          <w:i/>
          <w:color w:val="231F20"/>
        </w:rPr>
        <w:t>International Capabilities and New Reservation System</w:t>
      </w:r>
    </w:p>
    <w:p>
      <w:pPr>
        <w:pStyle w:val="BodyText"/>
        <w:spacing w:line="247" w:lineRule="auto" w:before="6"/>
        <w:ind w:left="100" w:right="117" w:firstLine="720"/>
        <w:jc w:val="both"/>
      </w:pPr>
      <w:r>
        <w:rPr>
          <w:color w:val="231F20"/>
        </w:rPr>
        <w:t>The Company launched Southwest’s international service on July 1, 2014, with its inaugural flights to three Caribbean destinations, Aruba, Nassau, and Montego Bay, followed by service to Cabo San Lucas/Los Cabos and Cancun which commenced on August 10, 2014, and service to the two remaining AirTran international destinations, Mexico City and Punta Cana, which commenced on November 2, 2014. During third quarter 2014, the Company filed an application with the U.S. Department of Transportation to add its first destination in Central America with daily roundtrip service between Baltimore/Washington Thurgood Marshall International Airport (BWI) and Juan Santamaria International Airport (SJO) in San Jose, Costa Rica, beginning March 7, 2015. In addition, during fourth quarter 2014, the Company filed applications with the U.S. Department of Transportation to provide daily, nonstop service between John Wayne Airport, Orange County (SNA) and Licenciado Gustavo Diaz Ordaz International Airport (PVR) in Puerto Vallarta, Mexico, beginning June 7, 2015, as well as daily nonstop service between Houston’s William P. Hobby Airport and Philip S. W. Goldson International Airport in Belize City, Belize beginning in October 2015. The service to </w:t>
      </w:r>
      <w:r>
        <w:rPr>
          <w:color w:val="231F20"/>
          <w:spacing w:val="31"/>
        </w:rPr>
        <w:t> </w:t>
      </w:r>
      <w:r>
        <w:rPr>
          <w:color w:val="231F20"/>
        </w:rPr>
        <w:t>Belize,</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as well as additional service to San Jose, Costa Rica and four destinations in Mexico (Cancun, Cabo San Lucas/Los Cabos, Puerto Vallarta, and Mexico City), is anticipated to be served from the Company’s expected opening of a new five-gate international terminal with international passenger processing facilities at Houston Hobby airport, which is expected to be completed during the second half of 2015. See Note 4 to the Consolidated Financial Statements for further information.</w:t>
      </w:r>
    </w:p>
    <w:p>
      <w:pPr>
        <w:pStyle w:val="BodyText"/>
        <w:spacing w:before="9"/>
        <w:rPr>
          <w:sz w:val="20"/>
        </w:rPr>
      </w:pPr>
    </w:p>
    <w:p>
      <w:pPr>
        <w:pStyle w:val="BodyText"/>
        <w:spacing w:line="247" w:lineRule="auto"/>
        <w:ind w:left="120" w:right="117" w:firstLine="720"/>
        <w:jc w:val="both"/>
      </w:pPr>
      <w:r>
        <w:rPr>
          <w:color w:val="231F20"/>
        </w:rPr>
        <w:t>After the successful launch of Amadeus’ Altéa international reservation system, the Company announced in May 2014 that it selected Amadeus’ Altéa reservations solution as the Company’s future single reservation system for both domestic and international reservations. This single reservation system is expected to be delivered over a multi-year period.</w:t>
      </w:r>
    </w:p>
    <w:p>
      <w:pPr>
        <w:pStyle w:val="BodyText"/>
        <w:spacing w:before="9"/>
        <w:rPr>
          <w:sz w:val="20"/>
        </w:rPr>
      </w:pPr>
    </w:p>
    <w:p>
      <w:pPr>
        <w:pStyle w:val="Heading2"/>
        <w:ind w:left="120"/>
        <w:jc w:val="both"/>
        <w:rPr>
          <w:i/>
        </w:rPr>
      </w:pPr>
      <w:r>
        <w:rPr>
          <w:i/>
          <w:color w:val="231F20"/>
        </w:rPr>
        <w:t>Southwest’s Rapid Rewards frequent flyer program</w:t>
      </w:r>
    </w:p>
    <w:p>
      <w:pPr>
        <w:pStyle w:val="BodyText"/>
        <w:spacing w:line="247" w:lineRule="auto" w:before="6"/>
        <w:ind w:left="119" w:right="117" w:firstLine="720"/>
        <w:jc w:val="both"/>
      </w:pPr>
      <w:r>
        <w:rPr>
          <w:color w:val="231F20"/>
        </w:rPr>
        <w:t>Southwest launched its current Rapid Rewards frequent flyer program in March 2011, under which members earn points for every dollar spent. The results of the program have exceeded the Company’s expectations with respect to the number of new frequent flyer members, the amount spent per member on airfare, the number of flights taken by members, the number of Southwest’s co-branded Chase</w:t>
      </w:r>
      <w:r>
        <w:rPr>
          <w:color w:val="231F20"/>
          <w:position w:val="5"/>
          <w:sz w:val="16"/>
        </w:rPr>
        <w:t>® </w:t>
      </w:r>
      <w:r>
        <w:rPr>
          <w:color w:val="231F20"/>
        </w:rPr>
        <w:t>Visa credit card holders added, the number of points sold to business partners, and the number of frequent flyer points purchased by program members.</w:t>
      </w:r>
    </w:p>
    <w:p>
      <w:pPr>
        <w:pStyle w:val="BodyText"/>
        <w:spacing w:before="9"/>
        <w:rPr>
          <w:sz w:val="20"/>
        </w:rPr>
      </w:pPr>
    </w:p>
    <w:p>
      <w:pPr>
        <w:pStyle w:val="Heading1"/>
        <w:spacing w:before="0"/>
        <w:ind w:left="119"/>
        <w:jc w:val="both"/>
      </w:pPr>
      <w:r>
        <w:rPr>
          <w:color w:val="231F20"/>
        </w:rPr>
        <w:t>Company Overview</w:t>
      </w:r>
    </w:p>
    <w:p>
      <w:pPr>
        <w:pStyle w:val="BodyText"/>
        <w:spacing w:line="247" w:lineRule="auto" w:before="206"/>
        <w:ind w:left="119" w:right="118" w:firstLine="720"/>
        <w:jc w:val="both"/>
      </w:pPr>
      <w:r>
        <w:rPr>
          <w:color w:val="231F20"/>
        </w:rPr>
        <w:t>During 2014, the Company took several steps designed to enhance its existing service in cities across the network or to connect existing cities with new service not previously offered by Southwest, most notably:</w:t>
      </w:r>
    </w:p>
    <w:p>
      <w:pPr>
        <w:pStyle w:val="BodyText"/>
        <w:spacing w:before="9"/>
        <w:rPr>
          <w:sz w:val="20"/>
        </w:rPr>
      </w:pPr>
    </w:p>
    <w:p>
      <w:pPr>
        <w:pStyle w:val="ListParagraph"/>
        <w:numPr>
          <w:ilvl w:val="2"/>
          <w:numId w:val="9"/>
        </w:numPr>
        <w:tabs>
          <w:tab w:pos="669" w:val="left" w:leader="none"/>
          <w:tab w:pos="670" w:val="left" w:leader="none"/>
        </w:tabs>
        <w:spacing w:line="240" w:lineRule="auto" w:before="0" w:after="0"/>
        <w:ind w:left="670" w:right="0" w:hanging="330"/>
        <w:jc w:val="left"/>
        <w:rPr>
          <w:sz w:val="22"/>
        </w:rPr>
      </w:pPr>
      <w:r>
        <w:rPr>
          <w:color w:val="231F20"/>
          <w:sz w:val="22"/>
        </w:rPr>
        <w:t>At  Washington  Reagan  National  Airport,  the  Company  acquired  54  additional  slots     </w:t>
      </w:r>
      <w:r>
        <w:rPr>
          <w:color w:val="231F20"/>
          <w:spacing w:val="19"/>
          <w:sz w:val="22"/>
        </w:rPr>
        <w:t> </w:t>
      </w:r>
      <w:r>
        <w:rPr>
          <w:color w:val="231F20"/>
          <w:sz w:val="22"/>
        </w:rPr>
        <w:t>(for</w:t>
      </w:r>
    </w:p>
    <w:p>
      <w:pPr>
        <w:pStyle w:val="BodyText"/>
        <w:spacing w:line="247" w:lineRule="auto" w:before="7"/>
        <w:ind w:left="669" w:right="117"/>
        <w:jc w:val="both"/>
      </w:pPr>
      <w:r>
        <w:rPr>
          <w:color w:val="231F20"/>
        </w:rPr>
        <w:t>27 additional daily roundtrip flights) during first quarter 2014, which were divested in  connection with the merger between AMR Corporation, the parent company of American Airlines, Inc., and US Airways Group, Inc., increasing Southwest’s service at Reagan from 17 daily departures to 44 daily departures, currently servicing 14 destinations: Atlanta, Akron/ Canton, Austin, Chicago Midway, Dallas Love Field, Houston Hobby, Fort Myers, Indianapolis, Kansas City, Milwaukee, Nashville, New Orleans, St. Louis, and Tampa</w:t>
      </w:r>
      <w:r>
        <w:rPr>
          <w:color w:val="231F20"/>
          <w:spacing w:val="-1"/>
        </w:rPr>
        <w:t> </w:t>
      </w:r>
      <w:r>
        <w:rPr>
          <w:color w:val="231F20"/>
        </w:rPr>
        <w:t>Bay.</w:t>
      </w:r>
    </w:p>
    <w:p>
      <w:pPr>
        <w:pStyle w:val="BodyText"/>
        <w:spacing w:before="9"/>
        <w:rPr>
          <w:sz w:val="20"/>
        </w:rPr>
      </w:pPr>
    </w:p>
    <w:p>
      <w:pPr>
        <w:pStyle w:val="ListParagraph"/>
        <w:numPr>
          <w:ilvl w:val="2"/>
          <w:numId w:val="9"/>
        </w:numPr>
        <w:tabs>
          <w:tab w:pos="670" w:val="left" w:leader="none"/>
        </w:tabs>
        <w:spacing w:line="247" w:lineRule="auto" w:before="0" w:after="0"/>
        <w:ind w:left="670" w:right="118" w:hanging="330"/>
        <w:jc w:val="both"/>
        <w:rPr>
          <w:sz w:val="22"/>
        </w:rPr>
      </w:pPr>
      <w:r>
        <w:rPr>
          <w:color w:val="231F20"/>
          <w:sz w:val="22"/>
        </w:rPr>
        <w:t>At New York LaGuardia Airport, in the wake of the Company’s acquisition of twelve additional slots (for six additional daily roundtrip flights) announced in fourth quarter 2013, the Company increased service between LaGuardia and Nashville,  Houston  (Hobby),  Chicago  (Midway), and Akron-Canton which commenced in May</w:t>
      </w:r>
      <w:r>
        <w:rPr>
          <w:color w:val="231F20"/>
          <w:spacing w:val="-1"/>
          <w:sz w:val="22"/>
        </w:rPr>
        <w:t> </w:t>
      </w:r>
      <w:r>
        <w:rPr>
          <w:color w:val="231F20"/>
          <w:sz w:val="22"/>
        </w:rPr>
        <w:t>2014.</w:t>
      </w:r>
    </w:p>
    <w:p>
      <w:pPr>
        <w:pStyle w:val="BodyText"/>
        <w:spacing w:before="9"/>
        <w:rPr>
          <w:sz w:val="20"/>
        </w:rPr>
      </w:pPr>
    </w:p>
    <w:p>
      <w:pPr>
        <w:pStyle w:val="ListParagraph"/>
        <w:numPr>
          <w:ilvl w:val="2"/>
          <w:numId w:val="9"/>
        </w:numPr>
        <w:tabs>
          <w:tab w:pos="670" w:val="left" w:leader="none"/>
        </w:tabs>
        <w:spacing w:line="247" w:lineRule="auto" w:before="0" w:after="0"/>
        <w:ind w:left="670" w:right="117" w:hanging="330"/>
        <w:jc w:val="both"/>
        <w:rPr>
          <w:sz w:val="22"/>
        </w:rPr>
      </w:pPr>
      <w:r>
        <w:rPr>
          <w:color w:val="231F20"/>
          <w:sz w:val="22"/>
        </w:rPr>
        <w:t>With the repeal of the Wright Amendment federal flight restrictions at Dallas Love Field on October 13, 2014, to destinations within the 50 States and to the District of Columbia, Southwest commenced service to seven new nonstop destinations from Love Field. Service from Love Field to eight additional nonstop destinations commenced on November 2, 2014, and service to two additional nonstop destinations began on January 6, 2015. This brings the total number of nonstop destinations out of Love Field to 33 compared with 16 prior to the repeal. Additionally, in January 2015, the Company announced that beginning in April 2015, it will offer daily nonstop flights to nine new cities from Dallas Love Field, including Memphis, Milwaukee, and Seattle, and will increase the number of nonstop flights to recently introduced destinations added after</w:t>
      </w:r>
      <w:r>
        <w:rPr>
          <w:color w:val="231F20"/>
          <w:spacing w:val="19"/>
          <w:sz w:val="22"/>
        </w:rPr>
        <w:t> </w:t>
      </w:r>
      <w:r>
        <w:rPr>
          <w:color w:val="231F20"/>
          <w:sz w:val="22"/>
        </w:rPr>
        <w:t>the</w:t>
      </w:r>
      <w:r>
        <w:rPr>
          <w:color w:val="231F20"/>
          <w:spacing w:val="20"/>
          <w:sz w:val="22"/>
        </w:rPr>
        <w:t> </w:t>
      </w:r>
      <w:r>
        <w:rPr>
          <w:color w:val="231F20"/>
          <w:sz w:val="22"/>
        </w:rPr>
        <w:t>October</w:t>
      </w:r>
      <w:r>
        <w:rPr>
          <w:color w:val="231F20"/>
          <w:spacing w:val="20"/>
          <w:sz w:val="22"/>
        </w:rPr>
        <w:t> </w:t>
      </w:r>
      <w:r>
        <w:rPr>
          <w:color w:val="231F20"/>
          <w:sz w:val="22"/>
        </w:rPr>
        <w:t>2014</w:t>
      </w:r>
      <w:r>
        <w:rPr>
          <w:color w:val="231F20"/>
          <w:spacing w:val="20"/>
          <w:sz w:val="22"/>
        </w:rPr>
        <w:t> </w:t>
      </w:r>
      <w:r>
        <w:rPr>
          <w:color w:val="231F20"/>
          <w:sz w:val="22"/>
        </w:rPr>
        <w:t>expiration</w:t>
      </w:r>
      <w:r>
        <w:rPr>
          <w:color w:val="231F20"/>
          <w:spacing w:val="19"/>
          <w:sz w:val="22"/>
        </w:rPr>
        <w:t> </w:t>
      </w:r>
      <w:r>
        <w:rPr>
          <w:color w:val="231F20"/>
          <w:sz w:val="22"/>
        </w:rPr>
        <w:t>of</w:t>
      </w:r>
      <w:r>
        <w:rPr>
          <w:color w:val="231F20"/>
          <w:spacing w:val="19"/>
          <w:sz w:val="22"/>
        </w:rPr>
        <w:t> </w:t>
      </w:r>
      <w:r>
        <w:rPr>
          <w:color w:val="231F20"/>
          <w:sz w:val="22"/>
        </w:rPr>
        <w:t>the</w:t>
      </w:r>
      <w:r>
        <w:rPr>
          <w:color w:val="231F20"/>
          <w:spacing w:val="20"/>
          <w:sz w:val="22"/>
        </w:rPr>
        <w:t> </w:t>
      </w:r>
      <w:r>
        <w:rPr>
          <w:color w:val="231F20"/>
          <w:sz w:val="22"/>
        </w:rPr>
        <w:t>Wright</w:t>
      </w:r>
      <w:r>
        <w:rPr>
          <w:color w:val="231F20"/>
          <w:spacing w:val="18"/>
          <w:sz w:val="22"/>
        </w:rPr>
        <w:t> </w:t>
      </w:r>
      <w:r>
        <w:rPr>
          <w:color w:val="231F20"/>
          <w:sz w:val="22"/>
        </w:rPr>
        <w:t>Amendment</w:t>
      </w:r>
      <w:r>
        <w:rPr>
          <w:color w:val="231F20"/>
          <w:spacing w:val="19"/>
          <w:sz w:val="22"/>
        </w:rPr>
        <w:t> </w:t>
      </w:r>
      <w:r>
        <w:rPr>
          <w:color w:val="231F20"/>
          <w:sz w:val="22"/>
        </w:rPr>
        <w:t>restrictions</w:t>
      </w:r>
      <w:r>
        <w:rPr>
          <w:color w:val="231F20"/>
          <w:spacing w:val="19"/>
          <w:sz w:val="22"/>
        </w:rPr>
        <w:t> </w:t>
      </w:r>
      <w:r>
        <w:rPr>
          <w:color w:val="231F20"/>
          <w:sz w:val="22"/>
        </w:rPr>
        <w:t>on</w:t>
      </w:r>
      <w:r>
        <w:rPr>
          <w:color w:val="231F20"/>
          <w:spacing w:val="19"/>
          <w:sz w:val="22"/>
        </w:rPr>
        <w:t> </w:t>
      </w:r>
      <w:r>
        <w:rPr>
          <w:color w:val="231F20"/>
          <w:sz w:val="22"/>
        </w:rPr>
        <w:t>long-haul</w:t>
      </w:r>
      <w:r>
        <w:rPr>
          <w:color w:val="231F20"/>
          <w:spacing w:val="18"/>
          <w:sz w:val="22"/>
        </w:rPr>
        <w:t> </w:t>
      </w:r>
      <w:r>
        <w:rPr>
          <w:color w:val="231F20"/>
          <w:sz w:val="22"/>
        </w:rPr>
        <w:t>flying</w:t>
      </w:r>
      <w:r>
        <w:rPr>
          <w:color w:val="231F20"/>
          <w:spacing w:val="18"/>
          <w:sz w:val="22"/>
        </w:rPr>
        <w:t> </w:t>
      </w:r>
      <w:r>
        <w:rPr>
          <w:color w:val="231F20"/>
          <w:sz w:val="22"/>
        </w:rPr>
        <w:t>at</w:t>
      </w:r>
    </w:p>
    <w:p>
      <w:pPr>
        <w:spacing w:after="0" w:line="247" w:lineRule="auto"/>
        <w:jc w:val="both"/>
        <w:rPr>
          <w:sz w:val="22"/>
        </w:rPr>
        <w:sectPr>
          <w:pgSz w:w="11880" w:h="15480"/>
          <w:pgMar w:header="0" w:footer="1240" w:top="1240" w:bottom="1420" w:left="1260" w:right="1260"/>
        </w:sectPr>
      </w:pPr>
    </w:p>
    <w:p>
      <w:pPr>
        <w:pStyle w:val="BodyText"/>
        <w:spacing w:line="247" w:lineRule="auto" w:before="74"/>
        <w:ind w:left="650" w:right="117"/>
        <w:jc w:val="both"/>
      </w:pPr>
      <w:r>
        <w:rPr>
          <w:color w:val="231F20"/>
        </w:rPr>
        <w:t>Love Field. The new flights will be made possible through a long-term sublease agreement that will transfer usage of two gates in the newly rebuilt 20-gate facility from United Airlines to Southwest.</w:t>
      </w:r>
    </w:p>
    <w:p>
      <w:pPr>
        <w:pStyle w:val="BodyText"/>
        <w:spacing w:before="9"/>
        <w:rPr>
          <w:sz w:val="20"/>
        </w:rPr>
      </w:pPr>
    </w:p>
    <w:p>
      <w:pPr>
        <w:pStyle w:val="BodyText"/>
        <w:spacing w:line="247" w:lineRule="auto"/>
        <w:ind w:left="100" w:right="117" w:firstLine="720"/>
        <w:jc w:val="both"/>
      </w:pPr>
      <w:r>
        <w:rPr>
          <w:color w:val="231F20"/>
        </w:rPr>
        <w:t>At the current time, the Company plans to continue its route network and schedule optimization efforts. For 2015, the Company continues to manage to a baseline of roughly 700 aircraft and an approximate six percent year-over-year increase in ASMs, primarily due to more efficient  flying of its existing fleet through increased aircraft gauge and stage length, with a modest increase in trips.</w:t>
      </w:r>
    </w:p>
    <w:p>
      <w:pPr>
        <w:pStyle w:val="BodyText"/>
        <w:spacing w:before="3"/>
        <w:rPr>
          <w:sz w:val="31"/>
        </w:rPr>
      </w:pPr>
    </w:p>
    <w:p>
      <w:pPr>
        <w:pStyle w:val="Heading2"/>
        <w:ind w:left="100"/>
        <w:rPr>
          <w:i/>
        </w:rPr>
      </w:pPr>
      <w:r>
        <w:rPr>
          <w:i/>
          <w:color w:val="231F20"/>
        </w:rPr>
        <w:t>2014 compared with 2013</w:t>
      </w:r>
    </w:p>
    <w:p>
      <w:pPr>
        <w:pStyle w:val="BodyText"/>
        <w:spacing w:before="5"/>
        <w:rPr>
          <w:b/>
          <w:i/>
          <w:sz w:val="21"/>
        </w:rPr>
      </w:pPr>
    </w:p>
    <w:p>
      <w:pPr>
        <w:spacing w:before="0"/>
        <w:ind w:left="100" w:right="0" w:firstLine="0"/>
        <w:jc w:val="left"/>
        <w:rPr>
          <w:b/>
          <w:sz w:val="22"/>
        </w:rPr>
      </w:pPr>
      <w:r>
        <w:rPr>
          <w:b/>
          <w:color w:val="231F20"/>
          <w:sz w:val="22"/>
        </w:rPr>
        <w:t>Operating Revenues</w:t>
      </w:r>
    </w:p>
    <w:p>
      <w:pPr>
        <w:pStyle w:val="BodyText"/>
        <w:spacing w:line="247" w:lineRule="auto" w:before="206"/>
        <w:ind w:left="100" w:right="117" w:firstLine="720"/>
        <w:jc w:val="both"/>
      </w:pPr>
      <w:r>
        <w:rPr>
          <w:color w:val="231F20"/>
        </w:rPr>
        <w:t>Passenger revenues for 2014 increased $937 million, or 5.6 percent, compared with 2013. Holding other factors constant, approximately half of the increase in Passenger revenues was attributable to the 2.4 point increase in load factor and the majority of the remaining increase was attributable to higher passenger yields, both driven by strong Customer demand for air travel and successful execution of the Company’s strategic initiatives. Passenger revenue included an increase  due to a change in estimate, which was recorded on a prospective basis and effective October 1, 2014, of approximately $55 million. See Note 1 regarding this change in accounting estimate. Based on current trends, the Company expects its first quarter 2015 passenger revenues to grow in line with the increase in its first quarter 2015 available seat mile capacity, both on a year-over-year basis. The Company currently estimates its first quarter and full year 2015 available seat mile capacity  to increase, year-over-year, in the six to seven percent range.</w:t>
      </w:r>
    </w:p>
    <w:p>
      <w:pPr>
        <w:pStyle w:val="BodyText"/>
        <w:spacing w:before="9"/>
        <w:rPr>
          <w:sz w:val="20"/>
        </w:rPr>
      </w:pPr>
    </w:p>
    <w:p>
      <w:pPr>
        <w:pStyle w:val="BodyText"/>
        <w:spacing w:line="247" w:lineRule="auto"/>
        <w:ind w:left="100" w:right="117" w:firstLine="720"/>
        <w:jc w:val="both"/>
      </w:pPr>
      <w:r>
        <w:rPr>
          <w:color w:val="231F20"/>
        </w:rPr>
        <w:t>Freight revenues for 2014 increased by $11 million, or 6.7 percent, compared with 2013, primarily due to benefits from new and maturing markets as a result of the AirTran integration. The Company currently expects Freight revenues in first quarter 2015 to increase approximately six  percent, compared with first quarter</w:t>
      </w:r>
      <w:r>
        <w:rPr>
          <w:color w:val="231F20"/>
          <w:spacing w:val="-3"/>
        </w:rPr>
        <w:t> </w:t>
      </w:r>
      <w:r>
        <w:rPr>
          <w:color w:val="231F20"/>
        </w:rPr>
        <w:t>2014.</w:t>
      </w:r>
    </w:p>
    <w:p>
      <w:pPr>
        <w:pStyle w:val="BodyText"/>
        <w:spacing w:before="9"/>
        <w:rPr>
          <w:sz w:val="20"/>
        </w:rPr>
      </w:pPr>
    </w:p>
    <w:p>
      <w:pPr>
        <w:pStyle w:val="BodyText"/>
        <w:spacing w:line="247" w:lineRule="auto"/>
        <w:ind w:left="100" w:right="117" w:firstLine="720"/>
        <w:jc w:val="both"/>
      </w:pPr>
      <w:r>
        <w:rPr>
          <w:color w:val="231F20"/>
        </w:rPr>
        <w:t>Other revenues for 2014 decreased by $42 million, or 5.2 percent, compared with 2013, primarily due to a decline in ancillary revenues. The majority of the decline in ancillary revenues was due to the adoption of Southwest’s more Customer-friendly fee policies for Customers who purchase travel on AirTran through southwest.com, and the overall reduction in AirTran flights as a result of the integration process. This decline was partially offset by an increase in certain Southwest specific ancillary revenues, such as EarlyBird Check-in</w:t>
      </w:r>
      <w:r>
        <w:rPr>
          <w:color w:val="231F20"/>
          <w:position w:val="5"/>
          <w:sz w:val="16"/>
        </w:rPr>
        <w:t>® </w:t>
      </w:r>
      <w:r>
        <w:rPr>
          <w:color w:val="231F20"/>
        </w:rPr>
        <w:t>and A1-15 select boarding positions sold at the gate. The Company currently expects Other revenues in first quarter 2015 to decrease, compared with first quarter 2014, similar to the year-over-year decrease in fourth quarter 2014.</w:t>
      </w:r>
    </w:p>
    <w:p>
      <w:pPr>
        <w:pStyle w:val="BodyText"/>
        <w:spacing w:before="9"/>
        <w:rPr>
          <w:sz w:val="20"/>
        </w:rPr>
      </w:pPr>
    </w:p>
    <w:p>
      <w:pPr>
        <w:pStyle w:val="Heading1"/>
        <w:spacing w:before="0"/>
      </w:pPr>
      <w:r>
        <w:rPr>
          <w:color w:val="231F20"/>
        </w:rPr>
        <w:t>Operating expenses</w:t>
      </w:r>
    </w:p>
    <w:p>
      <w:pPr>
        <w:pStyle w:val="BodyText"/>
        <w:spacing w:line="247" w:lineRule="auto" w:before="207"/>
        <w:ind w:left="100" w:right="118" w:firstLine="720"/>
        <w:jc w:val="both"/>
      </w:pPr>
      <w:r>
        <w:rPr>
          <w:color w:val="231F20"/>
        </w:rPr>
        <w:t>Operating expenses for 2014 decreased by $41 million, or 0.2 percent, compared with 2013, while capacity increased 0.5 percent over the same period. Historically, except for changes in the price of fuel, changes in most Operating expenses for airlines are driven by changes in capacity, or ASMs.</w:t>
      </w:r>
    </w:p>
    <w:p>
      <w:pPr>
        <w:spacing w:after="0" w:line="247" w:lineRule="auto"/>
        <w:jc w:val="both"/>
        <w:sectPr>
          <w:pgSz w:w="11880" w:h="15480"/>
          <w:pgMar w:header="0" w:footer="1240" w:top="1240" w:bottom="1420" w:left="1280" w:right="1260"/>
        </w:sectPr>
      </w:pPr>
    </w:p>
    <w:p>
      <w:pPr>
        <w:pStyle w:val="BodyText"/>
        <w:spacing w:line="247" w:lineRule="auto" w:before="74"/>
        <w:ind w:left="100" w:right="508"/>
      </w:pPr>
      <w:r>
        <w:rPr>
          <w:color w:val="231F20"/>
        </w:rPr>
        <w:t>The following table presents the Company’s Operating expenses per ASM for 2014 and 2013,  followed by explanations of these changes on a per ASM basis and/or on a dollar</w:t>
      </w:r>
      <w:r>
        <w:rPr>
          <w:color w:val="231F20"/>
          <w:spacing w:val="-2"/>
        </w:rPr>
        <w:t> </w:t>
      </w:r>
      <w:r>
        <w:rPr>
          <w:color w:val="231F20"/>
        </w:rPr>
        <w:t>basis:</w:t>
      </w:r>
    </w:p>
    <w:p>
      <w:pPr>
        <w:pStyle w:val="BodyText"/>
        <w:spacing w:before="3"/>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1280"/>
        <w:gridCol w:w="200"/>
        <w:gridCol w:w="1127"/>
        <w:gridCol w:w="153"/>
        <w:gridCol w:w="1113"/>
      </w:tblGrid>
      <w:tr>
        <w:trPr>
          <w:trHeight w:val="256" w:hRule="exact"/>
        </w:trPr>
        <w:tc>
          <w:tcPr>
            <w:tcW w:w="4200" w:type="dxa"/>
          </w:tcPr>
          <w:p>
            <w:pPr/>
          </w:p>
        </w:tc>
        <w:tc>
          <w:tcPr>
            <w:tcW w:w="1080" w:type="dxa"/>
            <w:tcBorders>
              <w:bottom w:val="single" w:sz="8" w:space="0" w:color="231F20"/>
            </w:tcBorders>
          </w:tcPr>
          <w:p>
            <w:pPr>
              <w:pStyle w:val="TableParagraph"/>
              <w:spacing w:line="229" w:lineRule="exact" w:before="0"/>
              <w:ind w:right="14"/>
              <w:jc w:val="right"/>
              <w:rPr>
                <w:b/>
                <w:sz w:val="20"/>
              </w:rPr>
            </w:pPr>
            <w:r>
              <w:rPr>
                <w:b/>
                <w:color w:val="231F20"/>
                <w:sz w:val="20"/>
              </w:rPr>
              <w:t>Year ended</w:t>
            </w:r>
          </w:p>
        </w:tc>
        <w:tc>
          <w:tcPr>
            <w:tcW w:w="1280" w:type="dxa"/>
            <w:tcBorders>
              <w:bottom w:val="single" w:sz="8" w:space="0" w:color="231F20"/>
            </w:tcBorders>
          </w:tcPr>
          <w:p>
            <w:pPr>
              <w:pStyle w:val="TableParagraph"/>
              <w:spacing w:line="229" w:lineRule="exact" w:before="0"/>
              <w:ind w:left="33"/>
              <w:rPr>
                <w:b/>
                <w:sz w:val="20"/>
              </w:rPr>
            </w:pPr>
            <w:r>
              <w:rPr>
                <w:b/>
                <w:color w:val="231F20"/>
                <w:sz w:val="20"/>
              </w:rPr>
              <w:t>December 31,</w:t>
            </w:r>
          </w:p>
        </w:tc>
        <w:tc>
          <w:tcPr>
            <w:tcW w:w="200" w:type="dxa"/>
          </w:tcPr>
          <w:p>
            <w:pPr/>
          </w:p>
        </w:tc>
        <w:tc>
          <w:tcPr>
            <w:tcW w:w="1127" w:type="dxa"/>
          </w:tcPr>
          <w:p>
            <w:pPr>
              <w:pStyle w:val="TableParagraph"/>
              <w:spacing w:line="229" w:lineRule="exact" w:before="0"/>
              <w:ind w:left="142"/>
              <w:rPr>
                <w:b/>
                <w:sz w:val="20"/>
              </w:rPr>
            </w:pPr>
            <w:r>
              <w:rPr>
                <w:b/>
                <w:color w:val="231F20"/>
                <w:sz w:val="20"/>
              </w:rPr>
              <w:t>Per ASM</w:t>
            </w:r>
          </w:p>
        </w:tc>
        <w:tc>
          <w:tcPr>
            <w:tcW w:w="153" w:type="dxa"/>
          </w:tcPr>
          <w:p>
            <w:pPr/>
          </w:p>
        </w:tc>
        <w:tc>
          <w:tcPr>
            <w:tcW w:w="1113" w:type="dxa"/>
          </w:tcPr>
          <w:p>
            <w:pPr>
              <w:pStyle w:val="TableParagraph"/>
              <w:spacing w:line="229" w:lineRule="exact" w:before="0"/>
              <w:ind w:left="212"/>
              <w:rPr>
                <w:b/>
                <w:sz w:val="20"/>
              </w:rPr>
            </w:pPr>
            <w:r>
              <w:rPr>
                <w:b/>
                <w:color w:val="231F20"/>
                <w:sz w:val="20"/>
              </w:rPr>
              <w:t>Percent</w:t>
            </w:r>
          </w:p>
        </w:tc>
      </w:tr>
      <w:tr>
        <w:trPr>
          <w:trHeight w:val="280" w:hRule="exact"/>
        </w:trPr>
        <w:tc>
          <w:tcPr>
            <w:tcW w:w="4200" w:type="dxa"/>
          </w:tcPr>
          <w:p>
            <w:pPr>
              <w:pStyle w:val="TableParagraph"/>
              <w:spacing w:before="23"/>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2014</w:t>
            </w:r>
          </w:p>
        </w:tc>
        <w:tc>
          <w:tcPr>
            <w:tcW w:w="1280" w:type="dxa"/>
            <w:tcBorders>
              <w:top w:val="single" w:sz="8" w:space="0" w:color="231F20"/>
              <w:bottom w:val="single" w:sz="8" w:space="0" w:color="231F20"/>
            </w:tcBorders>
          </w:tcPr>
          <w:p>
            <w:pPr>
              <w:pStyle w:val="TableParagraph"/>
              <w:spacing w:before="13"/>
              <w:ind w:left="540"/>
              <w:rPr>
                <w:b/>
                <w:sz w:val="20"/>
              </w:rPr>
            </w:pPr>
            <w:r>
              <w:rPr>
                <w:b/>
                <w:color w:val="231F20"/>
                <w:sz w:val="20"/>
              </w:rPr>
              <w:t>2013</w:t>
            </w:r>
          </w:p>
        </w:tc>
        <w:tc>
          <w:tcPr>
            <w:tcW w:w="200" w:type="dxa"/>
          </w:tcPr>
          <w:p>
            <w:pPr/>
          </w:p>
        </w:tc>
        <w:tc>
          <w:tcPr>
            <w:tcW w:w="1127" w:type="dxa"/>
            <w:tcBorders>
              <w:bottom w:val="single" w:sz="8" w:space="0" w:color="231F20"/>
            </w:tcBorders>
          </w:tcPr>
          <w:p>
            <w:pPr>
              <w:pStyle w:val="TableParagraph"/>
              <w:spacing w:before="23"/>
              <w:ind w:left="240"/>
              <w:rPr>
                <w:b/>
                <w:sz w:val="20"/>
              </w:rPr>
            </w:pPr>
            <w:r>
              <w:rPr>
                <w:b/>
                <w:color w:val="231F20"/>
                <w:sz w:val="20"/>
              </w:rPr>
              <w:t>change</w:t>
            </w:r>
          </w:p>
        </w:tc>
        <w:tc>
          <w:tcPr>
            <w:tcW w:w="153" w:type="dxa"/>
          </w:tcPr>
          <w:p>
            <w:pPr/>
          </w:p>
        </w:tc>
        <w:tc>
          <w:tcPr>
            <w:tcW w:w="1113" w:type="dxa"/>
            <w:tcBorders>
              <w:bottom w:val="single" w:sz="8" w:space="0" w:color="231F20"/>
            </w:tcBorders>
          </w:tcPr>
          <w:p>
            <w:pPr>
              <w:pStyle w:val="TableParagraph"/>
              <w:spacing w:before="23"/>
              <w:ind w:left="240"/>
              <w:rPr>
                <w:b/>
                <w:sz w:val="20"/>
              </w:rPr>
            </w:pPr>
            <w:r>
              <w:rPr>
                <w:b/>
                <w:color w:val="231F20"/>
                <w:sz w:val="20"/>
              </w:rPr>
              <w:t>change</w:t>
            </w:r>
          </w:p>
        </w:tc>
      </w:tr>
      <w:tr>
        <w:trPr>
          <w:trHeight w:val="310" w:hRule="exact"/>
        </w:trPr>
        <w:tc>
          <w:tcPr>
            <w:tcW w:w="4200" w:type="dxa"/>
            <w:shd w:val="clear" w:color="auto" w:fill="CCECFC"/>
          </w:tcPr>
          <w:p>
            <w:pPr>
              <w:pStyle w:val="TableParagraph"/>
              <w:rPr>
                <w:sz w:val="20"/>
              </w:rPr>
            </w:pPr>
            <w:r>
              <w:rPr>
                <w:color w:val="231F20"/>
                <w:sz w:val="20"/>
              </w:rPr>
              <w:t>Salaries, wages, and benefits</w:t>
            </w:r>
          </w:p>
        </w:tc>
        <w:tc>
          <w:tcPr>
            <w:tcW w:w="1080" w:type="dxa"/>
            <w:tcBorders>
              <w:top w:val="single" w:sz="8" w:space="0" w:color="231F20"/>
            </w:tcBorders>
            <w:shd w:val="clear" w:color="auto" w:fill="CCECFC"/>
          </w:tcPr>
          <w:p>
            <w:pPr>
              <w:pStyle w:val="TableParagraph"/>
              <w:ind w:right="19"/>
              <w:jc w:val="right"/>
              <w:rPr>
                <w:sz w:val="20"/>
              </w:rPr>
            </w:pPr>
            <w:r>
              <w:rPr>
                <w:color w:val="231F20"/>
                <w:sz w:val="20"/>
              </w:rPr>
              <w:t>4.14¢</w:t>
            </w:r>
          </w:p>
        </w:tc>
        <w:tc>
          <w:tcPr>
            <w:tcW w:w="1280" w:type="dxa"/>
            <w:tcBorders>
              <w:top w:val="single" w:sz="8" w:space="0" w:color="231F20"/>
            </w:tcBorders>
            <w:shd w:val="clear" w:color="auto" w:fill="CCECFC"/>
          </w:tcPr>
          <w:p>
            <w:pPr>
              <w:pStyle w:val="TableParagraph"/>
              <w:ind w:right="19"/>
              <w:jc w:val="right"/>
              <w:rPr>
                <w:sz w:val="20"/>
              </w:rPr>
            </w:pPr>
            <w:r>
              <w:rPr>
                <w:color w:val="231F20"/>
                <w:sz w:val="20"/>
              </w:rPr>
              <w:t>3.86¢</w:t>
            </w:r>
          </w:p>
        </w:tc>
        <w:tc>
          <w:tcPr>
            <w:tcW w:w="200" w:type="dxa"/>
            <w:shd w:val="clear" w:color="auto" w:fill="CCECFC"/>
          </w:tcPr>
          <w:p>
            <w:pPr/>
          </w:p>
        </w:tc>
        <w:tc>
          <w:tcPr>
            <w:tcW w:w="1127" w:type="dxa"/>
            <w:tcBorders>
              <w:top w:val="single" w:sz="8" w:space="0" w:color="231F20"/>
            </w:tcBorders>
            <w:shd w:val="clear" w:color="auto" w:fill="CCECFC"/>
          </w:tcPr>
          <w:p>
            <w:pPr>
              <w:pStyle w:val="TableParagraph"/>
              <w:ind w:right="64"/>
              <w:jc w:val="right"/>
              <w:rPr>
                <w:sz w:val="20"/>
              </w:rPr>
            </w:pPr>
            <w:r>
              <w:rPr>
                <w:color w:val="231F20"/>
                <w:sz w:val="20"/>
              </w:rPr>
              <w:t>0.28¢</w:t>
            </w:r>
          </w:p>
        </w:tc>
        <w:tc>
          <w:tcPr>
            <w:tcW w:w="153" w:type="dxa"/>
            <w:shd w:val="clear" w:color="auto" w:fill="CCECFC"/>
          </w:tcPr>
          <w:p>
            <w:pPr/>
          </w:p>
        </w:tc>
        <w:tc>
          <w:tcPr>
            <w:tcW w:w="1113" w:type="dxa"/>
            <w:tcBorders>
              <w:top w:val="single" w:sz="8" w:space="0" w:color="231F20"/>
            </w:tcBorders>
            <w:shd w:val="clear" w:color="auto" w:fill="CCECFC"/>
          </w:tcPr>
          <w:p>
            <w:pPr>
              <w:pStyle w:val="TableParagraph"/>
              <w:ind w:right="63"/>
              <w:jc w:val="right"/>
              <w:rPr>
                <w:sz w:val="20"/>
              </w:rPr>
            </w:pPr>
            <w:r>
              <w:rPr>
                <w:color w:val="231F20"/>
                <w:sz w:val="20"/>
              </w:rPr>
              <w:t>7.3%</w:t>
            </w:r>
          </w:p>
        </w:tc>
      </w:tr>
      <w:tr>
        <w:trPr>
          <w:trHeight w:val="300" w:hRule="exact"/>
        </w:trPr>
        <w:tc>
          <w:tcPr>
            <w:tcW w:w="4200" w:type="dxa"/>
          </w:tcPr>
          <w:p>
            <w:pPr>
              <w:pStyle w:val="TableParagraph"/>
              <w:rPr>
                <w:sz w:val="20"/>
              </w:rPr>
            </w:pPr>
            <w:r>
              <w:rPr>
                <w:color w:val="231F20"/>
                <w:sz w:val="20"/>
              </w:rPr>
              <w:t>Fuel and oil</w:t>
            </w:r>
          </w:p>
        </w:tc>
        <w:tc>
          <w:tcPr>
            <w:tcW w:w="1080" w:type="dxa"/>
          </w:tcPr>
          <w:p>
            <w:pPr>
              <w:pStyle w:val="TableParagraph"/>
              <w:ind w:right="119"/>
              <w:jc w:val="right"/>
              <w:rPr>
                <w:sz w:val="20"/>
              </w:rPr>
            </w:pPr>
            <w:r>
              <w:rPr>
                <w:color w:val="231F20"/>
                <w:sz w:val="20"/>
              </w:rPr>
              <w:t>4.04</w:t>
            </w:r>
          </w:p>
        </w:tc>
        <w:tc>
          <w:tcPr>
            <w:tcW w:w="1280" w:type="dxa"/>
          </w:tcPr>
          <w:p>
            <w:pPr>
              <w:pStyle w:val="TableParagraph"/>
              <w:ind w:right="119"/>
              <w:jc w:val="right"/>
              <w:rPr>
                <w:sz w:val="20"/>
              </w:rPr>
            </w:pPr>
            <w:r>
              <w:rPr>
                <w:color w:val="231F20"/>
                <w:sz w:val="20"/>
              </w:rPr>
              <w:t>4.42</w:t>
            </w:r>
          </w:p>
        </w:tc>
        <w:tc>
          <w:tcPr>
            <w:tcW w:w="200" w:type="dxa"/>
          </w:tcPr>
          <w:p>
            <w:pPr/>
          </w:p>
        </w:tc>
        <w:tc>
          <w:tcPr>
            <w:tcW w:w="1127" w:type="dxa"/>
          </w:tcPr>
          <w:p>
            <w:pPr>
              <w:pStyle w:val="TableParagraph"/>
              <w:ind w:right="98"/>
              <w:jc w:val="right"/>
              <w:rPr>
                <w:sz w:val="20"/>
              </w:rPr>
            </w:pPr>
            <w:r>
              <w:rPr>
                <w:color w:val="231F20"/>
                <w:sz w:val="20"/>
              </w:rPr>
              <w:t>(0.38)</w:t>
            </w:r>
          </w:p>
        </w:tc>
        <w:tc>
          <w:tcPr>
            <w:tcW w:w="153" w:type="dxa"/>
          </w:tcPr>
          <w:p>
            <w:pPr/>
          </w:p>
        </w:tc>
        <w:tc>
          <w:tcPr>
            <w:tcW w:w="1113" w:type="dxa"/>
          </w:tcPr>
          <w:p>
            <w:pPr>
              <w:pStyle w:val="TableParagraph"/>
              <w:ind w:left="563"/>
              <w:rPr>
                <w:sz w:val="20"/>
              </w:rPr>
            </w:pPr>
            <w:r>
              <w:rPr>
                <w:color w:val="231F20"/>
                <w:sz w:val="20"/>
              </w:rPr>
              <w:t>(8.6)</w:t>
            </w:r>
          </w:p>
        </w:tc>
      </w:tr>
      <w:tr>
        <w:trPr>
          <w:trHeight w:val="300" w:hRule="exact"/>
        </w:trPr>
        <w:tc>
          <w:tcPr>
            <w:tcW w:w="4200" w:type="dxa"/>
            <w:shd w:val="clear" w:color="auto" w:fill="CCECFC"/>
          </w:tcPr>
          <w:p>
            <w:pPr>
              <w:pStyle w:val="TableParagraph"/>
              <w:rPr>
                <w:sz w:val="20"/>
              </w:rPr>
            </w:pPr>
            <w:r>
              <w:rPr>
                <w:color w:val="231F20"/>
                <w:sz w:val="20"/>
              </w:rPr>
              <w:t>Maintenance materials and repairs</w:t>
            </w:r>
          </w:p>
        </w:tc>
        <w:tc>
          <w:tcPr>
            <w:tcW w:w="1080" w:type="dxa"/>
            <w:shd w:val="clear" w:color="auto" w:fill="CCECFC"/>
          </w:tcPr>
          <w:p>
            <w:pPr>
              <w:pStyle w:val="TableParagraph"/>
              <w:ind w:right="117"/>
              <w:jc w:val="right"/>
              <w:rPr>
                <w:sz w:val="20"/>
              </w:rPr>
            </w:pPr>
            <w:r>
              <w:rPr>
                <w:color w:val="231F20"/>
                <w:sz w:val="20"/>
              </w:rPr>
              <w:t>0.75</w:t>
            </w:r>
          </w:p>
        </w:tc>
        <w:tc>
          <w:tcPr>
            <w:tcW w:w="1280" w:type="dxa"/>
            <w:shd w:val="clear" w:color="auto" w:fill="CCECFC"/>
          </w:tcPr>
          <w:p>
            <w:pPr>
              <w:pStyle w:val="TableParagraph"/>
              <w:ind w:right="117"/>
              <w:jc w:val="right"/>
              <w:rPr>
                <w:sz w:val="20"/>
              </w:rPr>
            </w:pPr>
            <w:r>
              <w:rPr>
                <w:color w:val="231F20"/>
                <w:sz w:val="20"/>
              </w:rPr>
              <w:t>0.83</w:t>
            </w:r>
          </w:p>
        </w:tc>
        <w:tc>
          <w:tcPr>
            <w:tcW w:w="200" w:type="dxa"/>
            <w:shd w:val="clear" w:color="auto" w:fill="CCECFC"/>
          </w:tcPr>
          <w:p>
            <w:pPr/>
          </w:p>
        </w:tc>
        <w:tc>
          <w:tcPr>
            <w:tcW w:w="1127" w:type="dxa"/>
            <w:shd w:val="clear" w:color="auto" w:fill="CCECFC"/>
          </w:tcPr>
          <w:p>
            <w:pPr>
              <w:pStyle w:val="TableParagraph"/>
              <w:ind w:right="98"/>
              <w:jc w:val="right"/>
              <w:rPr>
                <w:sz w:val="20"/>
              </w:rPr>
            </w:pPr>
            <w:r>
              <w:rPr>
                <w:color w:val="231F20"/>
                <w:sz w:val="20"/>
              </w:rPr>
              <w:t>(0.08)</w:t>
            </w:r>
          </w:p>
        </w:tc>
        <w:tc>
          <w:tcPr>
            <w:tcW w:w="153" w:type="dxa"/>
            <w:shd w:val="clear" w:color="auto" w:fill="CCECFC"/>
          </w:tcPr>
          <w:p>
            <w:pPr/>
          </w:p>
        </w:tc>
        <w:tc>
          <w:tcPr>
            <w:tcW w:w="1113" w:type="dxa"/>
            <w:shd w:val="clear" w:color="auto" w:fill="CCECFC"/>
          </w:tcPr>
          <w:p>
            <w:pPr>
              <w:pStyle w:val="TableParagraph"/>
              <w:ind w:left="563"/>
              <w:rPr>
                <w:sz w:val="20"/>
              </w:rPr>
            </w:pPr>
            <w:r>
              <w:rPr>
                <w:color w:val="231F20"/>
                <w:sz w:val="20"/>
              </w:rPr>
              <w:t>(9.6)</w:t>
            </w:r>
          </w:p>
        </w:tc>
      </w:tr>
      <w:tr>
        <w:trPr>
          <w:trHeight w:val="300" w:hRule="exact"/>
        </w:trPr>
        <w:tc>
          <w:tcPr>
            <w:tcW w:w="4200" w:type="dxa"/>
          </w:tcPr>
          <w:p>
            <w:pPr>
              <w:pStyle w:val="TableParagraph"/>
              <w:rPr>
                <w:sz w:val="20"/>
              </w:rPr>
            </w:pPr>
            <w:r>
              <w:rPr>
                <w:color w:val="231F20"/>
                <w:sz w:val="20"/>
              </w:rPr>
              <w:t>Aircraft rentals</w:t>
            </w:r>
          </w:p>
        </w:tc>
        <w:tc>
          <w:tcPr>
            <w:tcW w:w="1080" w:type="dxa"/>
          </w:tcPr>
          <w:p>
            <w:pPr>
              <w:pStyle w:val="TableParagraph"/>
              <w:ind w:right="119"/>
              <w:jc w:val="right"/>
              <w:rPr>
                <w:sz w:val="20"/>
              </w:rPr>
            </w:pPr>
            <w:r>
              <w:rPr>
                <w:color w:val="231F20"/>
                <w:sz w:val="20"/>
              </w:rPr>
              <w:t>0.22</w:t>
            </w:r>
          </w:p>
        </w:tc>
        <w:tc>
          <w:tcPr>
            <w:tcW w:w="1280" w:type="dxa"/>
          </w:tcPr>
          <w:p>
            <w:pPr>
              <w:pStyle w:val="TableParagraph"/>
              <w:ind w:right="119"/>
              <w:jc w:val="right"/>
              <w:rPr>
                <w:sz w:val="20"/>
              </w:rPr>
            </w:pPr>
            <w:r>
              <w:rPr>
                <w:color w:val="231F20"/>
                <w:sz w:val="20"/>
              </w:rPr>
              <w:t>0.28</w:t>
            </w:r>
          </w:p>
        </w:tc>
        <w:tc>
          <w:tcPr>
            <w:tcW w:w="200" w:type="dxa"/>
          </w:tcPr>
          <w:p>
            <w:pPr/>
          </w:p>
        </w:tc>
        <w:tc>
          <w:tcPr>
            <w:tcW w:w="1127" w:type="dxa"/>
          </w:tcPr>
          <w:p>
            <w:pPr>
              <w:pStyle w:val="TableParagraph"/>
              <w:ind w:right="98"/>
              <w:jc w:val="right"/>
              <w:rPr>
                <w:sz w:val="20"/>
              </w:rPr>
            </w:pPr>
            <w:r>
              <w:rPr>
                <w:color w:val="231F20"/>
                <w:sz w:val="20"/>
              </w:rPr>
              <w:t>(0.06)</w:t>
            </w:r>
          </w:p>
        </w:tc>
        <w:tc>
          <w:tcPr>
            <w:tcW w:w="153" w:type="dxa"/>
          </w:tcPr>
          <w:p>
            <w:pPr/>
          </w:p>
        </w:tc>
        <w:tc>
          <w:tcPr>
            <w:tcW w:w="1113" w:type="dxa"/>
          </w:tcPr>
          <w:p>
            <w:pPr>
              <w:pStyle w:val="TableParagraph"/>
              <w:ind w:left="463"/>
              <w:rPr>
                <w:sz w:val="20"/>
              </w:rPr>
            </w:pPr>
            <w:r>
              <w:rPr>
                <w:color w:val="231F20"/>
                <w:sz w:val="20"/>
              </w:rPr>
              <w:t>(21.4)</w:t>
            </w:r>
          </w:p>
        </w:tc>
      </w:tr>
      <w:tr>
        <w:trPr>
          <w:trHeight w:val="300" w:hRule="exact"/>
        </w:trPr>
        <w:tc>
          <w:tcPr>
            <w:tcW w:w="4200" w:type="dxa"/>
            <w:shd w:val="clear" w:color="auto" w:fill="CCECFC"/>
          </w:tcPr>
          <w:p>
            <w:pPr>
              <w:pStyle w:val="TableParagraph"/>
              <w:rPr>
                <w:sz w:val="20"/>
              </w:rPr>
            </w:pPr>
            <w:r>
              <w:rPr>
                <w:color w:val="231F20"/>
                <w:sz w:val="20"/>
              </w:rPr>
              <w:t>Landing fees and other rentals</w:t>
            </w:r>
          </w:p>
        </w:tc>
        <w:tc>
          <w:tcPr>
            <w:tcW w:w="1080" w:type="dxa"/>
            <w:shd w:val="clear" w:color="auto" w:fill="CCECFC"/>
          </w:tcPr>
          <w:p>
            <w:pPr>
              <w:pStyle w:val="TableParagraph"/>
              <w:ind w:right="119"/>
              <w:jc w:val="right"/>
              <w:rPr>
                <w:sz w:val="20"/>
              </w:rPr>
            </w:pPr>
            <w:r>
              <w:rPr>
                <w:color w:val="231F20"/>
                <w:sz w:val="20"/>
              </w:rPr>
              <w:t>0.85</w:t>
            </w:r>
          </w:p>
        </w:tc>
        <w:tc>
          <w:tcPr>
            <w:tcW w:w="1280" w:type="dxa"/>
            <w:shd w:val="clear" w:color="auto" w:fill="CCECFC"/>
          </w:tcPr>
          <w:p>
            <w:pPr>
              <w:pStyle w:val="TableParagraph"/>
              <w:ind w:right="119"/>
              <w:jc w:val="right"/>
              <w:rPr>
                <w:sz w:val="20"/>
              </w:rPr>
            </w:pPr>
            <w:r>
              <w:rPr>
                <w:color w:val="231F20"/>
                <w:sz w:val="20"/>
              </w:rPr>
              <w:t>0.85</w:t>
            </w:r>
          </w:p>
        </w:tc>
        <w:tc>
          <w:tcPr>
            <w:tcW w:w="200" w:type="dxa"/>
            <w:shd w:val="clear" w:color="auto" w:fill="CCECFC"/>
          </w:tcPr>
          <w:p>
            <w:pPr/>
          </w:p>
        </w:tc>
        <w:tc>
          <w:tcPr>
            <w:tcW w:w="1127" w:type="dxa"/>
            <w:shd w:val="clear" w:color="auto" w:fill="CCECFC"/>
          </w:tcPr>
          <w:p>
            <w:pPr>
              <w:pStyle w:val="TableParagraph"/>
              <w:ind w:right="164"/>
              <w:jc w:val="right"/>
              <w:rPr>
                <w:sz w:val="20"/>
              </w:rPr>
            </w:pPr>
            <w:r>
              <w:rPr>
                <w:color w:val="231F20"/>
                <w:sz w:val="20"/>
              </w:rPr>
              <w:t>—</w:t>
            </w:r>
          </w:p>
        </w:tc>
        <w:tc>
          <w:tcPr>
            <w:tcW w:w="153" w:type="dxa"/>
            <w:shd w:val="clear" w:color="auto" w:fill="CCECFC"/>
          </w:tcPr>
          <w:p>
            <w:pPr/>
          </w:p>
        </w:tc>
        <w:tc>
          <w:tcPr>
            <w:tcW w:w="1113" w:type="dxa"/>
            <w:shd w:val="clear" w:color="auto" w:fill="CCECFC"/>
          </w:tcPr>
          <w:p>
            <w:pPr>
              <w:pStyle w:val="TableParagraph"/>
              <w:ind w:left="680"/>
              <w:rPr>
                <w:sz w:val="20"/>
              </w:rPr>
            </w:pPr>
            <w:r>
              <w:rPr>
                <w:color w:val="231F20"/>
                <w:sz w:val="20"/>
              </w:rPr>
              <w:t>—</w:t>
            </w:r>
          </w:p>
        </w:tc>
      </w:tr>
      <w:tr>
        <w:trPr>
          <w:trHeight w:val="300" w:hRule="exact"/>
        </w:trPr>
        <w:tc>
          <w:tcPr>
            <w:tcW w:w="4200" w:type="dxa"/>
          </w:tcPr>
          <w:p>
            <w:pPr>
              <w:pStyle w:val="TableParagraph"/>
              <w:rPr>
                <w:sz w:val="20"/>
              </w:rPr>
            </w:pPr>
            <w:r>
              <w:rPr>
                <w:color w:val="231F20"/>
                <w:sz w:val="20"/>
              </w:rPr>
              <w:t>Depreciation and amortization</w:t>
            </w:r>
          </w:p>
        </w:tc>
        <w:tc>
          <w:tcPr>
            <w:tcW w:w="1080" w:type="dxa"/>
          </w:tcPr>
          <w:p>
            <w:pPr>
              <w:pStyle w:val="TableParagraph"/>
              <w:ind w:right="117"/>
              <w:jc w:val="right"/>
              <w:rPr>
                <w:sz w:val="20"/>
              </w:rPr>
            </w:pPr>
            <w:r>
              <w:rPr>
                <w:color w:val="231F20"/>
                <w:sz w:val="20"/>
              </w:rPr>
              <w:t>0.72</w:t>
            </w:r>
          </w:p>
        </w:tc>
        <w:tc>
          <w:tcPr>
            <w:tcW w:w="1280" w:type="dxa"/>
          </w:tcPr>
          <w:p>
            <w:pPr>
              <w:pStyle w:val="TableParagraph"/>
              <w:ind w:right="117"/>
              <w:jc w:val="right"/>
              <w:rPr>
                <w:sz w:val="20"/>
              </w:rPr>
            </w:pPr>
            <w:r>
              <w:rPr>
                <w:color w:val="231F20"/>
                <w:sz w:val="20"/>
              </w:rPr>
              <w:t>0.66</w:t>
            </w:r>
          </w:p>
        </w:tc>
        <w:tc>
          <w:tcPr>
            <w:tcW w:w="200" w:type="dxa"/>
          </w:tcPr>
          <w:p>
            <w:pPr/>
          </w:p>
        </w:tc>
        <w:tc>
          <w:tcPr>
            <w:tcW w:w="1127" w:type="dxa"/>
          </w:tcPr>
          <w:p>
            <w:pPr>
              <w:pStyle w:val="TableParagraph"/>
              <w:ind w:left="610"/>
              <w:rPr>
                <w:sz w:val="20"/>
              </w:rPr>
            </w:pPr>
            <w:r>
              <w:rPr>
                <w:color w:val="231F20"/>
                <w:sz w:val="20"/>
              </w:rPr>
              <w:t>0.06</w:t>
            </w:r>
          </w:p>
        </w:tc>
        <w:tc>
          <w:tcPr>
            <w:tcW w:w="153" w:type="dxa"/>
          </w:tcPr>
          <w:p>
            <w:pPr/>
          </w:p>
        </w:tc>
        <w:tc>
          <w:tcPr>
            <w:tcW w:w="1113" w:type="dxa"/>
          </w:tcPr>
          <w:p>
            <w:pPr>
              <w:pStyle w:val="TableParagraph"/>
              <w:ind w:left="630"/>
              <w:rPr>
                <w:sz w:val="20"/>
              </w:rPr>
            </w:pPr>
            <w:r>
              <w:rPr>
                <w:color w:val="231F20"/>
                <w:sz w:val="20"/>
              </w:rPr>
              <w:t>9.1</w:t>
            </w:r>
          </w:p>
        </w:tc>
      </w:tr>
      <w:tr>
        <w:trPr>
          <w:trHeight w:val="300" w:hRule="exact"/>
        </w:trPr>
        <w:tc>
          <w:tcPr>
            <w:tcW w:w="4200" w:type="dxa"/>
            <w:shd w:val="clear" w:color="auto" w:fill="CCECFC"/>
          </w:tcPr>
          <w:p>
            <w:pPr>
              <w:pStyle w:val="TableParagraph"/>
              <w:rPr>
                <w:sz w:val="20"/>
              </w:rPr>
            </w:pPr>
            <w:r>
              <w:rPr>
                <w:color w:val="231F20"/>
                <w:sz w:val="20"/>
              </w:rPr>
              <w:t>Acquisition and integration</w:t>
            </w:r>
          </w:p>
        </w:tc>
        <w:tc>
          <w:tcPr>
            <w:tcW w:w="1080" w:type="dxa"/>
            <w:shd w:val="clear" w:color="auto" w:fill="CCECFC"/>
          </w:tcPr>
          <w:p>
            <w:pPr>
              <w:pStyle w:val="TableParagraph"/>
              <w:ind w:right="117"/>
              <w:jc w:val="right"/>
              <w:rPr>
                <w:sz w:val="20"/>
              </w:rPr>
            </w:pPr>
            <w:r>
              <w:rPr>
                <w:color w:val="231F20"/>
                <w:sz w:val="20"/>
              </w:rPr>
              <w:t>0.10</w:t>
            </w:r>
          </w:p>
        </w:tc>
        <w:tc>
          <w:tcPr>
            <w:tcW w:w="1280" w:type="dxa"/>
            <w:shd w:val="clear" w:color="auto" w:fill="CCECFC"/>
          </w:tcPr>
          <w:p>
            <w:pPr>
              <w:pStyle w:val="TableParagraph"/>
              <w:ind w:right="117"/>
              <w:jc w:val="right"/>
              <w:rPr>
                <w:sz w:val="20"/>
              </w:rPr>
            </w:pPr>
            <w:r>
              <w:rPr>
                <w:color w:val="231F20"/>
                <w:sz w:val="20"/>
              </w:rPr>
              <w:t>0.07</w:t>
            </w:r>
          </w:p>
        </w:tc>
        <w:tc>
          <w:tcPr>
            <w:tcW w:w="200" w:type="dxa"/>
            <w:shd w:val="clear" w:color="auto" w:fill="CCECFC"/>
          </w:tcPr>
          <w:p>
            <w:pPr/>
          </w:p>
        </w:tc>
        <w:tc>
          <w:tcPr>
            <w:tcW w:w="1127" w:type="dxa"/>
            <w:shd w:val="clear" w:color="auto" w:fill="CCECFC"/>
          </w:tcPr>
          <w:p>
            <w:pPr>
              <w:pStyle w:val="TableParagraph"/>
              <w:ind w:left="610"/>
              <w:rPr>
                <w:sz w:val="20"/>
              </w:rPr>
            </w:pPr>
            <w:r>
              <w:rPr>
                <w:color w:val="231F20"/>
                <w:sz w:val="20"/>
              </w:rPr>
              <w:t>0.03</w:t>
            </w:r>
          </w:p>
        </w:tc>
        <w:tc>
          <w:tcPr>
            <w:tcW w:w="153" w:type="dxa"/>
            <w:shd w:val="clear" w:color="auto" w:fill="CCECFC"/>
          </w:tcPr>
          <w:p>
            <w:pPr/>
          </w:p>
        </w:tc>
        <w:tc>
          <w:tcPr>
            <w:tcW w:w="1113" w:type="dxa"/>
            <w:shd w:val="clear" w:color="auto" w:fill="CCECFC"/>
          </w:tcPr>
          <w:p>
            <w:pPr>
              <w:pStyle w:val="TableParagraph"/>
              <w:ind w:left="530"/>
              <w:rPr>
                <w:sz w:val="20"/>
              </w:rPr>
            </w:pPr>
            <w:r>
              <w:rPr>
                <w:color w:val="231F20"/>
                <w:sz w:val="20"/>
              </w:rPr>
              <w:t>42.9</w:t>
            </w:r>
          </w:p>
        </w:tc>
      </w:tr>
      <w:tr>
        <w:trPr>
          <w:trHeight w:val="315" w:hRule="exact"/>
        </w:trPr>
        <w:tc>
          <w:tcPr>
            <w:tcW w:w="4200" w:type="dxa"/>
          </w:tcPr>
          <w:p>
            <w:pPr>
              <w:pStyle w:val="TableParagraph"/>
              <w:rPr>
                <w:sz w:val="20"/>
              </w:rPr>
            </w:pPr>
            <w:r>
              <w:rPr>
                <w:color w:val="231F20"/>
                <w:sz w:val="20"/>
              </w:rPr>
              <w:t>Other operating expenses</w:t>
            </w:r>
          </w:p>
        </w:tc>
        <w:tc>
          <w:tcPr>
            <w:tcW w:w="1080" w:type="dxa"/>
            <w:tcBorders>
              <w:bottom w:val="single" w:sz="4" w:space="0" w:color="231F20"/>
            </w:tcBorders>
          </w:tcPr>
          <w:p>
            <w:pPr>
              <w:pStyle w:val="TableParagraph"/>
              <w:ind w:right="117"/>
              <w:jc w:val="right"/>
              <w:rPr>
                <w:sz w:val="20"/>
              </w:rPr>
            </w:pPr>
            <w:r>
              <w:rPr>
                <w:color w:val="231F20"/>
                <w:sz w:val="20"/>
              </w:rPr>
              <w:t>1.68</w:t>
            </w:r>
          </w:p>
        </w:tc>
        <w:tc>
          <w:tcPr>
            <w:tcW w:w="1280" w:type="dxa"/>
            <w:tcBorders>
              <w:bottom w:val="single" w:sz="4" w:space="0" w:color="231F20"/>
            </w:tcBorders>
          </w:tcPr>
          <w:p>
            <w:pPr>
              <w:pStyle w:val="TableParagraph"/>
              <w:ind w:right="117"/>
              <w:jc w:val="right"/>
              <w:rPr>
                <w:sz w:val="20"/>
              </w:rPr>
            </w:pPr>
            <w:r>
              <w:rPr>
                <w:color w:val="231F20"/>
                <w:sz w:val="20"/>
              </w:rPr>
              <w:t>1.63</w:t>
            </w:r>
          </w:p>
        </w:tc>
        <w:tc>
          <w:tcPr>
            <w:tcW w:w="200" w:type="dxa"/>
          </w:tcPr>
          <w:p>
            <w:pPr/>
          </w:p>
        </w:tc>
        <w:tc>
          <w:tcPr>
            <w:tcW w:w="1127" w:type="dxa"/>
            <w:tcBorders>
              <w:bottom w:val="single" w:sz="4" w:space="0" w:color="231F20"/>
            </w:tcBorders>
          </w:tcPr>
          <w:p>
            <w:pPr>
              <w:pStyle w:val="TableParagraph"/>
              <w:ind w:left="610"/>
              <w:rPr>
                <w:sz w:val="20"/>
              </w:rPr>
            </w:pPr>
            <w:r>
              <w:rPr>
                <w:color w:val="231F20"/>
                <w:sz w:val="20"/>
              </w:rPr>
              <w:t>0.05</w:t>
            </w:r>
          </w:p>
        </w:tc>
        <w:tc>
          <w:tcPr>
            <w:tcW w:w="153" w:type="dxa"/>
          </w:tcPr>
          <w:p>
            <w:pPr/>
          </w:p>
        </w:tc>
        <w:tc>
          <w:tcPr>
            <w:tcW w:w="1113" w:type="dxa"/>
            <w:tcBorders>
              <w:bottom w:val="single" w:sz="4" w:space="0" w:color="231F20"/>
            </w:tcBorders>
          </w:tcPr>
          <w:p>
            <w:pPr>
              <w:pStyle w:val="TableParagraph"/>
              <w:ind w:left="630"/>
              <w:rPr>
                <w:sz w:val="20"/>
              </w:rPr>
            </w:pPr>
            <w:r>
              <w:rPr>
                <w:color w:val="231F20"/>
                <w:sz w:val="20"/>
              </w:rPr>
              <w:t>3.1</w:t>
            </w:r>
          </w:p>
        </w:tc>
      </w:tr>
      <w:tr>
        <w:trPr>
          <w:trHeight w:val="360" w:hRule="exact"/>
        </w:trPr>
        <w:tc>
          <w:tcPr>
            <w:tcW w:w="4200" w:type="dxa"/>
            <w:shd w:val="clear" w:color="auto" w:fill="CCECFC"/>
          </w:tcPr>
          <w:p>
            <w:pPr>
              <w:pStyle w:val="TableParagraph"/>
              <w:rPr>
                <w:sz w:val="20"/>
              </w:rPr>
            </w:pPr>
            <w:r>
              <w:rPr>
                <w:color w:val="231F20"/>
                <w:sz w:val="20"/>
              </w:rPr>
              <w:t>Total</w:t>
            </w:r>
          </w:p>
        </w:tc>
        <w:tc>
          <w:tcPr>
            <w:tcW w:w="1080" w:type="dxa"/>
            <w:tcBorders>
              <w:top w:val="single" w:sz="4" w:space="0" w:color="231F20"/>
              <w:bottom w:val="single" w:sz="4" w:space="0" w:color="231F20"/>
            </w:tcBorders>
            <w:shd w:val="clear" w:color="auto" w:fill="CCECFC"/>
          </w:tcPr>
          <w:p>
            <w:pPr>
              <w:pStyle w:val="TableParagraph"/>
              <w:ind w:right="17"/>
              <w:jc w:val="right"/>
              <w:rPr>
                <w:sz w:val="20"/>
              </w:rPr>
            </w:pPr>
            <w:r>
              <w:rPr>
                <w:color w:val="231F20"/>
                <w:sz w:val="20"/>
              </w:rPr>
              <w:t>12.50¢</w:t>
            </w:r>
          </w:p>
        </w:tc>
        <w:tc>
          <w:tcPr>
            <w:tcW w:w="1280" w:type="dxa"/>
            <w:tcBorders>
              <w:top w:val="single" w:sz="4" w:space="0" w:color="231F20"/>
              <w:bottom w:val="single" w:sz="4" w:space="0" w:color="231F20"/>
            </w:tcBorders>
            <w:shd w:val="clear" w:color="auto" w:fill="CCECFC"/>
          </w:tcPr>
          <w:p>
            <w:pPr>
              <w:pStyle w:val="TableParagraph"/>
              <w:ind w:right="17"/>
              <w:jc w:val="right"/>
              <w:rPr>
                <w:sz w:val="20"/>
              </w:rPr>
            </w:pPr>
            <w:r>
              <w:rPr>
                <w:color w:val="231F20"/>
                <w:sz w:val="20"/>
              </w:rPr>
              <w:t>12.60¢</w:t>
            </w:r>
          </w:p>
        </w:tc>
        <w:tc>
          <w:tcPr>
            <w:tcW w:w="200" w:type="dxa"/>
            <w:shd w:val="clear" w:color="auto" w:fill="CCECFC"/>
          </w:tcPr>
          <w:p>
            <w:pPr/>
          </w:p>
        </w:tc>
        <w:tc>
          <w:tcPr>
            <w:tcW w:w="1127" w:type="dxa"/>
            <w:tcBorders>
              <w:top w:val="single" w:sz="4" w:space="0" w:color="231F20"/>
              <w:bottom w:val="single" w:sz="4" w:space="0" w:color="231F20"/>
            </w:tcBorders>
            <w:shd w:val="clear" w:color="auto" w:fill="CCECFC"/>
          </w:tcPr>
          <w:p>
            <w:pPr>
              <w:pStyle w:val="TableParagraph"/>
              <w:jc w:val="right"/>
              <w:rPr>
                <w:sz w:val="20"/>
              </w:rPr>
            </w:pPr>
            <w:r>
              <w:rPr>
                <w:color w:val="231F20"/>
                <w:sz w:val="20"/>
              </w:rPr>
              <w:t>(0.10)¢</w:t>
            </w:r>
          </w:p>
        </w:tc>
        <w:tc>
          <w:tcPr>
            <w:tcW w:w="153" w:type="dxa"/>
            <w:shd w:val="clear" w:color="auto" w:fill="CCECFC"/>
          </w:tcPr>
          <w:p>
            <w:pPr/>
          </w:p>
        </w:tc>
        <w:tc>
          <w:tcPr>
            <w:tcW w:w="1113" w:type="dxa"/>
            <w:tcBorders>
              <w:top w:val="single" w:sz="4" w:space="0" w:color="231F20"/>
              <w:bottom w:val="single" w:sz="4" w:space="0" w:color="231F20"/>
            </w:tcBorders>
            <w:shd w:val="clear" w:color="auto" w:fill="CCECFC"/>
          </w:tcPr>
          <w:p>
            <w:pPr>
              <w:pStyle w:val="TableParagraph"/>
              <w:spacing w:before="48"/>
              <w:jc w:val="right"/>
              <w:rPr>
                <w:sz w:val="20"/>
              </w:rPr>
            </w:pPr>
            <w:r>
              <w:rPr>
                <w:color w:val="231F20"/>
                <w:sz w:val="20"/>
              </w:rPr>
              <w:t>(0.8)%</w:t>
            </w:r>
          </w:p>
        </w:tc>
      </w:tr>
    </w:tbl>
    <w:p>
      <w:pPr>
        <w:pStyle w:val="BodyText"/>
        <w:spacing w:before="2"/>
        <w:rPr>
          <w:sz w:val="25"/>
        </w:rPr>
      </w:pPr>
    </w:p>
    <w:p>
      <w:pPr>
        <w:pStyle w:val="BodyText"/>
        <w:spacing w:line="247" w:lineRule="auto"/>
        <w:ind w:left="100" w:right="137" w:firstLine="720"/>
        <w:jc w:val="both"/>
      </w:pPr>
      <w:r>
        <w:rPr/>
        <w:pict>
          <v:line style="position:absolute;mso-position-horizontal-relative:page;mso-position-vertical-relative:paragraph;z-index:-407656" from="279pt,-16.980469pt" to="333pt,-16.980469pt" stroked="true" strokeweight=".5pt" strokecolor="#231f20">
            <v:stroke dashstyle="solid"/>
            <w10:wrap type="none"/>
          </v:line>
        </w:pict>
      </w:r>
      <w:r>
        <w:rPr/>
        <w:pict>
          <v:line style="position:absolute;mso-position-horizontal-relative:page;mso-position-vertical-relative:paragraph;z-index:-407632" from="343pt,-16.980469pt" to="397pt,-16.980469pt" stroked="true" strokeweight=".5pt" strokecolor="#231f20">
            <v:stroke dashstyle="solid"/>
            <w10:wrap type="none"/>
          </v:line>
        </w:pict>
      </w:r>
      <w:r>
        <w:rPr/>
        <w:pict>
          <v:line style="position:absolute;mso-position-horizontal-relative:page;mso-position-vertical-relative:paragraph;z-index:-407608" from="407pt,-16.980469pt" to="461pt,-16.980469pt" stroked="true" strokeweight=".5pt" strokecolor="#231f20">
            <v:stroke dashstyle="solid"/>
            <w10:wrap type="none"/>
          </v:line>
        </w:pict>
      </w:r>
      <w:r>
        <w:rPr>
          <w:color w:val="231F20"/>
        </w:rPr>
        <w:t>Operating expenses per ASM for 2014 decreased 0.8 percent, compared with 2013, primarily due to a decrease in Fuel and oil expense, partially offset by an increase in Salaries, wages, and  benefits expense. On a non-GAAP basis, Operating expenses per ASM for 2014, excluding fuel and special items, increased 3.1 percent year-over-year primarily due to higher Salaries, wages, and  benefits expense. Based on current cost trends, the Company expects its first quarter 2015 unit costs, excluding fuel, special items, and profitsharing to decrease in the one to two percent range, compared with first quarter 2014. See the previous Note Regarding Use of Non-GAAP Financial</w:t>
      </w:r>
      <w:r>
        <w:rPr>
          <w:color w:val="231F20"/>
          <w:spacing w:val="-4"/>
        </w:rPr>
        <w:t> </w:t>
      </w:r>
      <w:r>
        <w:rPr>
          <w:color w:val="231F20"/>
        </w:rPr>
        <w:t>Measures.</w:t>
      </w:r>
    </w:p>
    <w:p>
      <w:pPr>
        <w:pStyle w:val="BodyText"/>
        <w:spacing w:before="9"/>
        <w:rPr>
          <w:sz w:val="20"/>
        </w:rPr>
      </w:pPr>
    </w:p>
    <w:p>
      <w:pPr>
        <w:pStyle w:val="BodyText"/>
        <w:spacing w:line="247" w:lineRule="auto"/>
        <w:ind w:left="100" w:right="137" w:firstLine="720"/>
        <w:jc w:val="both"/>
      </w:pPr>
      <w:r>
        <w:rPr>
          <w:color w:val="231F20"/>
        </w:rPr>
        <w:t>Salaries, wages, and benefits expense for 2014 increased by $399 million, or 7.9 percent, compared with 2013. Salaries, wages, and benefits expense per ASM for 2014 increased 7.3 percent, compared with 2013. On both a dollar and per ASM basis, approximately 60 percent of these increases were the result of higher salaries primarily due to increased training, additional headcount, and contractual increases. The majority of the remaining increase was the result of higher profitsharing expense due to increased profits in 2014. The Company’s profitsharing expense is based on profits that exclude the unrealized gains and/or losses the Company records for its fuel hedging program. Additionally, pursuant to the terms of the Company’s ProfitSharing Plan (the “Plan”), acquisition and integration costs were excluded from the calculation of profitsharing expense from April 1, 2011, through December 31, 2013. These costs, totaling $385 million, are being amortized on a pro rata basis as a reduction of operating profits, as defined by the Plan, from 2014 through 2018. In addition, Acquisition and integration costs incurred during 2014 and in future periods will reduce operating profits, as defined, in the calculation of profitsharing. Based on current cost trends, the Company expects first quarter 2015 Salaries, wages, and benefits expense per ASM, excluding profitsharing, to increase, compared with fourth quarter 2014.</w:t>
      </w:r>
    </w:p>
    <w:p>
      <w:pPr>
        <w:pStyle w:val="BodyText"/>
        <w:spacing w:before="9"/>
        <w:rPr>
          <w:sz w:val="20"/>
        </w:rPr>
      </w:pPr>
    </w:p>
    <w:p>
      <w:pPr>
        <w:pStyle w:val="BodyText"/>
        <w:spacing w:line="247" w:lineRule="auto"/>
        <w:ind w:left="100" w:right="137" w:firstLine="720"/>
        <w:jc w:val="both"/>
      </w:pPr>
      <w:r>
        <w:rPr>
          <w:color w:val="231F20"/>
        </w:rPr>
        <w:t>The Company and its Customer Service Agents and Customer Representatives, represented by the International Association of Machinists and Aerospace Workers (“IAM”), reached an agreement in favor of a</w:t>
      </w:r>
      <w:r>
        <w:rPr>
          <w:color w:val="231F20"/>
          <w:spacing w:val="50"/>
        </w:rPr>
        <w:t> </w:t>
      </w:r>
      <w:r>
        <w:rPr>
          <w:color w:val="231F20"/>
        </w:rPr>
        <w:t>new</w:t>
      </w:r>
      <w:r>
        <w:rPr>
          <w:color w:val="231F20"/>
          <w:spacing w:val="50"/>
        </w:rPr>
        <w:t> </w:t>
      </w:r>
      <w:r>
        <w:rPr>
          <w:color w:val="231F20"/>
        </w:rPr>
        <w:t>four year</w:t>
      </w:r>
      <w:r>
        <w:rPr>
          <w:color w:val="231F20"/>
          <w:spacing w:val="50"/>
        </w:rPr>
        <w:t> </w:t>
      </w:r>
      <w:r>
        <w:rPr>
          <w:color w:val="231F20"/>
        </w:rPr>
        <w:t>contract</w:t>
      </w:r>
      <w:r>
        <w:rPr>
          <w:color w:val="231F20"/>
          <w:spacing w:val="50"/>
        </w:rPr>
        <w:t> </w:t>
      </w:r>
      <w:r>
        <w:rPr>
          <w:color w:val="231F20"/>
        </w:rPr>
        <w:t>during fourth quarter 2014. The following table sets</w:t>
      </w:r>
      <w:r>
        <w:rPr>
          <w:color w:val="231F20"/>
          <w:spacing w:val="50"/>
        </w:rPr>
        <w:t> </w:t>
      </w:r>
      <w:r>
        <w:rPr>
          <w:color w:val="231F20"/>
        </w:rPr>
        <w:t>forth the</w:t>
      </w:r>
    </w:p>
    <w:p>
      <w:pPr>
        <w:spacing w:after="0" w:line="247" w:lineRule="auto"/>
        <w:jc w:val="both"/>
        <w:sectPr>
          <w:pgSz w:w="11880" w:h="15480"/>
          <w:pgMar w:header="0" w:footer="1240" w:top="1240" w:bottom="1420" w:left="1280" w:right="1240"/>
        </w:sectPr>
      </w:pPr>
    </w:p>
    <w:p>
      <w:pPr>
        <w:pStyle w:val="BodyText"/>
        <w:spacing w:line="247" w:lineRule="auto" w:before="74"/>
        <w:ind w:left="120"/>
      </w:pPr>
      <w:r>
        <w:rPr>
          <w:color w:val="231F20"/>
        </w:rPr>
        <w:t>Company’s unionized Employee groups that are currently in negotiations on collective-bargaining agreements:</w:t>
      </w:r>
    </w:p>
    <w:p>
      <w:pPr>
        <w:pStyle w:val="BodyText"/>
        <w:spacing w:before="3"/>
        <w:rPr>
          <w:sz w:val="8"/>
        </w:rPr>
      </w:pPr>
    </w:p>
    <w:tbl>
      <w:tblPr>
        <w:tblW w:w="0" w:type="auto"/>
        <w:jc w:val="left"/>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971"/>
        <w:gridCol w:w="1755"/>
        <w:gridCol w:w="2972"/>
        <w:gridCol w:w="1402"/>
      </w:tblGrid>
      <w:tr>
        <w:trPr>
          <w:trHeight w:val="360" w:hRule="exact"/>
        </w:trPr>
        <w:tc>
          <w:tcPr>
            <w:tcW w:w="2971" w:type="dxa"/>
          </w:tcPr>
          <w:p>
            <w:pPr>
              <w:pStyle w:val="TableParagraph"/>
              <w:spacing w:before="150"/>
              <w:ind w:left="40"/>
              <w:rPr>
                <w:b/>
                <w:sz w:val="16"/>
              </w:rPr>
            </w:pPr>
            <w:r>
              <w:rPr>
                <w:b/>
                <w:color w:val="231F20"/>
                <w:sz w:val="16"/>
              </w:rPr>
              <w:t>Employee Group</w:t>
            </w:r>
          </w:p>
        </w:tc>
        <w:tc>
          <w:tcPr>
            <w:tcW w:w="1755" w:type="dxa"/>
          </w:tcPr>
          <w:p>
            <w:pPr>
              <w:pStyle w:val="TableParagraph"/>
              <w:spacing w:line="160" w:lineRule="exact" w:before="12"/>
              <w:ind w:left="180" w:right="19"/>
              <w:rPr>
                <w:b/>
                <w:sz w:val="16"/>
              </w:rPr>
            </w:pPr>
            <w:r>
              <w:rPr>
                <w:b/>
                <w:color w:val="231F20"/>
                <w:sz w:val="16"/>
              </w:rPr>
              <w:t>Approximate Number of Employees</w:t>
            </w:r>
          </w:p>
        </w:tc>
        <w:tc>
          <w:tcPr>
            <w:tcW w:w="2972" w:type="dxa"/>
          </w:tcPr>
          <w:p>
            <w:pPr>
              <w:pStyle w:val="TableParagraph"/>
              <w:spacing w:before="150"/>
              <w:ind w:left="120"/>
              <w:rPr>
                <w:b/>
                <w:sz w:val="16"/>
              </w:rPr>
            </w:pPr>
            <w:r>
              <w:rPr>
                <w:b/>
                <w:color w:val="231F20"/>
                <w:sz w:val="16"/>
              </w:rPr>
              <w:t>Representatives</w:t>
            </w:r>
          </w:p>
        </w:tc>
        <w:tc>
          <w:tcPr>
            <w:tcW w:w="1402" w:type="dxa"/>
          </w:tcPr>
          <w:p>
            <w:pPr>
              <w:pStyle w:val="TableParagraph"/>
              <w:spacing w:before="150"/>
              <w:ind w:left="200"/>
              <w:rPr>
                <w:b/>
                <w:sz w:val="16"/>
              </w:rPr>
            </w:pPr>
            <w:r>
              <w:rPr>
                <w:b/>
                <w:color w:val="231F20"/>
                <w:sz w:val="16"/>
              </w:rPr>
              <w:t>Amendable Date</w:t>
            </w:r>
          </w:p>
        </w:tc>
      </w:tr>
      <w:tr>
        <w:trPr>
          <w:trHeight w:val="460" w:hRule="exact"/>
        </w:trPr>
        <w:tc>
          <w:tcPr>
            <w:tcW w:w="2971" w:type="dxa"/>
            <w:shd w:val="clear" w:color="auto" w:fill="CCECFC"/>
          </w:tcPr>
          <w:p>
            <w:pPr>
              <w:pStyle w:val="TableParagraph"/>
              <w:spacing w:before="1"/>
              <w:rPr>
                <w:sz w:val="20"/>
              </w:rPr>
            </w:pPr>
          </w:p>
          <w:p>
            <w:pPr>
              <w:pStyle w:val="TableParagraph"/>
              <w:spacing w:before="1"/>
              <w:ind w:left="40"/>
              <w:rPr>
                <w:sz w:val="18"/>
              </w:rPr>
            </w:pPr>
            <w:r>
              <w:rPr>
                <w:color w:val="231F20"/>
                <w:sz w:val="18"/>
              </w:rPr>
              <w:t>Southwest Pilots</w:t>
            </w:r>
          </w:p>
        </w:tc>
        <w:tc>
          <w:tcPr>
            <w:tcW w:w="1755" w:type="dxa"/>
            <w:shd w:val="clear" w:color="auto" w:fill="CCECFC"/>
          </w:tcPr>
          <w:p>
            <w:pPr>
              <w:pStyle w:val="TableParagraph"/>
              <w:spacing w:before="1"/>
              <w:rPr>
                <w:sz w:val="20"/>
              </w:rPr>
            </w:pPr>
          </w:p>
          <w:p>
            <w:pPr>
              <w:pStyle w:val="TableParagraph"/>
              <w:spacing w:before="1"/>
              <w:ind w:left="669" w:right="530"/>
              <w:jc w:val="center"/>
              <w:rPr>
                <w:sz w:val="18"/>
              </w:rPr>
            </w:pPr>
            <w:r>
              <w:rPr>
                <w:color w:val="231F20"/>
                <w:sz w:val="18"/>
              </w:rPr>
              <w:t>7,500</w:t>
            </w:r>
          </w:p>
        </w:tc>
        <w:tc>
          <w:tcPr>
            <w:tcW w:w="2972" w:type="dxa"/>
            <w:shd w:val="clear" w:color="auto" w:fill="CCECFC"/>
          </w:tcPr>
          <w:p>
            <w:pPr>
              <w:pStyle w:val="TableParagraph"/>
              <w:spacing w:line="200" w:lineRule="exact" w:before="40"/>
              <w:ind w:left="119" w:right="28"/>
              <w:rPr>
                <w:sz w:val="18"/>
              </w:rPr>
            </w:pPr>
            <w:r>
              <w:rPr>
                <w:color w:val="231F20"/>
                <w:sz w:val="18"/>
              </w:rPr>
              <w:t>Southwest Airlines Pilots’ Association (“SWAPA”)</w:t>
            </w:r>
          </w:p>
        </w:tc>
        <w:tc>
          <w:tcPr>
            <w:tcW w:w="1402" w:type="dxa"/>
            <w:shd w:val="clear" w:color="auto" w:fill="CCECFC"/>
          </w:tcPr>
          <w:p>
            <w:pPr>
              <w:pStyle w:val="TableParagraph"/>
              <w:spacing w:before="1"/>
              <w:rPr>
                <w:sz w:val="20"/>
              </w:rPr>
            </w:pPr>
          </w:p>
          <w:p>
            <w:pPr>
              <w:pStyle w:val="TableParagraph"/>
              <w:spacing w:before="1"/>
              <w:ind w:left="199"/>
              <w:rPr>
                <w:sz w:val="18"/>
              </w:rPr>
            </w:pPr>
            <w:r>
              <w:rPr>
                <w:color w:val="231F20"/>
                <w:sz w:val="18"/>
              </w:rPr>
              <w:t>August 2012</w:t>
            </w:r>
          </w:p>
        </w:tc>
      </w:tr>
      <w:tr>
        <w:trPr>
          <w:trHeight w:val="460" w:hRule="exact"/>
        </w:trPr>
        <w:tc>
          <w:tcPr>
            <w:tcW w:w="2971" w:type="dxa"/>
          </w:tcPr>
          <w:p>
            <w:pPr>
              <w:pStyle w:val="TableParagraph"/>
              <w:spacing w:before="1"/>
              <w:rPr>
                <w:sz w:val="20"/>
              </w:rPr>
            </w:pPr>
          </w:p>
          <w:p>
            <w:pPr>
              <w:pStyle w:val="TableParagraph"/>
              <w:spacing w:before="1"/>
              <w:ind w:left="39"/>
              <w:rPr>
                <w:sz w:val="18"/>
              </w:rPr>
            </w:pPr>
            <w:r>
              <w:rPr>
                <w:color w:val="231F20"/>
                <w:sz w:val="18"/>
              </w:rPr>
              <w:t>Southwest Flight Attendants</w:t>
            </w:r>
          </w:p>
        </w:tc>
        <w:tc>
          <w:tcPr>
            <w:tcW w:w="1755" w:type="dxa"/>
          </w:tcPr>
          <w:p>
            <w:pPr>
              <w:pStyle w:val="TableParagraph"/>
              <w:spacing w:before="1"/>
              <w:rPr>
                <w:sz w:val="20"/>
              </w:rPr>
            </w:pPr>
          </w:p>
          <w:p>
            <w:pPr>
              <w:pStyle w:val="TableParagraph"/>
              <w:spacing w:before="1"/>
              <w:ind w:left="669" w:right="530"/>
              <w:jc w:val="center"/>
              <w:rPr>
                <w:sz w:val="18"/>
              </w:rPr>
            </w:pPr>
            <w:r>
              <w:rPr>
                <w:color w:val="231F20"/>
                <w:sz w:val="18"/>
              </w:rPr>
              <w:t>11,850</w:t>
            </w:r>
          </w:p>
        </w:tc>
        <w:tc>
          <w:tcPr>
            <w:tcW w:w="2972" w:type="dxa"/>
          </w:tcPr>
          <w:p>
            <w:pPr>
              <w:pStyle w:val="TableParagraph"/>
              <w:spacing w:line="200" w:lineRule="exact" w:before="40"/>
              <w:ind w:left="119" w:right="200"/>
              <w:rPr>
                <w:sz w:val="18"/>
              </w:rPr>
            </w:pPr>
            <w:r>
              <w:rPr>
                <w:color w:val="231F20"/>
                <w:sz w:val="18"/>
              </w:rPr>
              <w:t>Transportation Workers of America, AFL-CIO, Local 556 (“TWU 556”)</w:t>
            </w:r>
          </w:p>
        </w:tc>
        <w:tc>
          <w:tcPr>
            <w:tcW w:w="1402" w:type="dxa"/>
          </w:tcPr>
          <w:p>
            <w:pPr>
              <w:pStyle w:val="TableParagraph"/>
              <w:spacing w:before="1"/>
              <w:rPr>
                <w:sz w:val="20"/>
              </w:rPr>
            </w:pPr>
          </w:p>
          <w:p>
            <w:pPr>
              <w:pStyle w:val="TableParagraph"/>
              <w:spacing w:before="1"/>
              <w:ind w:left="199"/>
              <w:rPr>
                <w:sz w:val="18"/>
              </w:rPr>
            </w:pPr>
            <w:r>
              <w:rPr>
                <w:color w:val="231F20"/>
                <w:sz w:val="18"/>
              </w:rPr>
              <w:t>May 2013</w:t>
            </w:r>
          </w:p>
        </w:tc>
      </w:tr>
      <w:tr>
        <w:trPr>
          <w:trHeight w:val="460" w:hRule="exact"/>
        </w:trPr>
        <w:tc>
          <w:tcPr>
            <w:tcW w:w="2971" w:type="dxa"/>
            <w:shd w:val="clear" w:color="auto" w:fill="CCECFC"/>
          </w:tcPr>
          <w:p>
            <w:pPr>
              <w:pStyle w:val="TableParagraph"/>
              <w:spacing w:line="200" w:lineRule="exact" w:before="40"/>
              <w:ind w:left="39" w:right="742"/>
              <w:rPr>
                <w:sz w:val="18"/>
              </w:rPr>
            </w:pPr>
            <w:r>
              <w:rPr>
                <w:color w:val="231F20"/>
                <w:sz w:val="18"/>
              </w:rPr>
              <w:t>Southwest Ramp, Operations, Provisioning, Freight Agents</w:t>
            </w:r>
          </w:p>
        </w:tc>
        <w:tc>
          <w:tcPr>
            <w:tcW w:w="1755" w:type="dxa"/>
            <w:shd w:val="clear" w:color="auto" w:fill="CCECFC"/>
          </w:tcPr>
          <w:p>
            <w:pPr>
              <w:pStyle w:val="TableParagraph"/>
              <w:spacing w:before="1"/>
              <w:rPr>
                <w:sz w:val="20"/>
              </w:rPr>
            </w:pPr>
          </w:p>
          <w:p>
            <w:pPr>
              <w:pStyle w:val="TableParagraph"/>
              <w:spacing w:before="1"/>
              <w:ind w:left="669" w:right="530"/>
              <w:jc w:val="center"/>
              <w:rPr>
                <w:sz w:val="18"/>
              </w:rPr>
            </w:pPr>
            <w:r>
              <w:rPr>
                <w:color w:val="231F20"/>
                <w:sz w:val="18"/>
              </w:rPr>
              <w:t>10,000</w:t>
            </w:r>
          </w:p>
        </w:tc>
        <w:tc>
          <w:tcPr>
            <w:tcW w:w="2972" w:type="dxa"/>
            <w:shd w:val="clear" w:color="auto" w:fill="CCECFC"/>
          </w:tcPr>
          <w:p>
            <w:pPr>
              <w:pStyle w:val="TableParagraph"/>
              <w:spacing w:line="200" w:lineRule="exact" w:before="40"/>
              <w:ind w:left="119" w:right="200"/>
              <w:rPr>
                <w:sz w:val="18"/>
              </w:rPr>
            </w:pPr>
            <w:r>
              <w:rPr>
                <w:color w:val="231F20"/>
                <w:sz w:val="18"/>
              </w:rPr>
              <w:t>Transportation Workers of America, AFL-CIO, Local 555 (“TWU 555”)</w:t>
            </w:r>
          </w:p>
        </w:tc>
        <w:tc>
          <w:tcPr>
            <w:tcW w:w="1402" w:type="dxa"/>
            <w:shd w:val="clear" w:color="auto" w:fill="CCECFC"/>
          </w:tcPr>
          <w:p>
            <w:pPr>
              <w:pStyle w:val="TableParagraph"/>
              <w:spacing w:before="1"/>
              <w:rPr>
                <w:sz w:val="20"/>
              </w:rPr>
            </w:pPr>
          </w:p>
          <w:p>
            <w:pPr>
              <w:pStyle w:val="TableParagraph"/>
              <w:spacing w:before="1"/>
              <w:ind w:left="199"/>
              <w:rPr>
                <w:sz w:val="18"/>
              </w:rPr>
            </w:pPr>
            <w:r>
              <w:rPr>
                <w:color w:val="231F20"/>
                <w:sz w:val="18"/>
              </w:rPr>
              <w:t>June 2011</w:t>
            </w:r>
          </w:p>
        </w:tc>
      </w:tr>
      <w:tr>
        <w:trPr>
          <w:trHeight w:val="460" w:hRule="exact"/>
        </w:trPr>
        <w:tc>
          <w:tcPr>
            <w:tcW w:w="2971" w:type="dxa"/>
          </w:tcPr>
          <w:p>
            <w:pPr>
              <w:pStyle w:val="TableParagraph"/>
              <w:spacing w:line="200" w:lineRule="exact" w:before="40"/>
              <w:ind w:left="39" w:right="442"/>
              <w:rPr>
                <w:sz w:val="18"/>
              </w:rPr>
            </w:pPr>
            <w:r>
              <w:rPr>
                <w:color w:val="231F20"/>
                <w:sz w:val="18"/>
              </w:rPr>
              <w:t>Southwest Material Specialists (formerly known as Stock Clerks)</w:t>
            </w:r>
          </w:p>
        </w:tc>
        <w:tc>
          <w:tcPr>
            <w:tcW w:w="1755" w:type="dxa"/>
          </w:tcPr>
          <w:p>
            <w:pPr>
              <w:pStyle w:val="TableParagraph"/>
              <w:spacing w:before="1"/>
              <w:rPr>
                <w:sz w:val="20"/>
              </w:rPr>
            </w:pPr>
          </w:p>
          <w:p>
            <w:pPr>
              <w:pStyle w:val="TableParagraph"/>
              <w:spacing w:before="1"/>
              <w:ind w:left="668" w:right="530"/>
              <w:jc w:val="center"/>
              <w:rPr>
                <w:sz w:val="18"/>
              </w:rPr>
            </w:pPr>
            <w:r>
              <w:rPr>
                <w:color w:val="231F20"/>
                <w:sz w:val="18"/>
              </w:rPr>
              <w:t>250</w:t>
            </w:r>
          </w:p>
        </w:tc>
        <w:tc>
          <w:tcPr>
            <w:tcW w:w="2972" w:type="dxa"/>
          </w:tcPr>
          <w:p>
            <w:pPr>
              <w:pStyle w:val="TableParagraph"/>
              <w:spacing w:line="200" w:lineRule="exact" w:before="40"/>
              <w:ind w:left="119" w:right="508"/>
              <w:rPr>
                <w:sz w:val="18"/>
              </w:rPr>
            </w:pPr>
            <w:r>
              <w:rPr>
                <w:color w:val="231F20"/>
                <w:sz w:val="18"/>
              </w:rPr>
              <w:t>International Brotherhood of Teamsters, Local 19 (“IBT 19”)</w:t>
            </w:r>
          </w:p>
        </w:tc>
        <w:tc>
          <w:tcPr>
            <w:tcW w:w="1402" w:type="dxa"/>
          </w:tcPr>
          <w:p>
            <w:pPr>
              <w:pStyle w:val="TableParagraph"/>
              <w:spacing w:before="1"/>
              <w:rPr>
                <w:sz w:val="20"/>
              </w:rPr>
            </w:pPr>
          </w:p>
          <w:p>
            <w:pPr>
              <w:pStyle w:val="TableParagraph"/>
              <w:spacing w:before="1"/>
              <w:ind w:left="200"/>
              <w:rPr>
                <w:sz w:val="18"/>
              </w:rPr>
            </w:pPr>
            <w:r>
              <w:rPr>
                <w:color w:val="231F20"/>
                <w:sz w:val="18"/>
              </w:rPr>
              <w:t>August 2013</w:t>
            </w:r>
          </w:p>
        </w:tc>
      </w:tr>
      <w:tr>
        <w:trPr>
          <w:trHeight w:val="460" w:hRule="exact"/>
        </w:trPr>
        <w:tc>
          <w:tcPr>
            <w:tcW w:w="2971" w:type="dxa"/>
            <w:shd w:val="clear" w:color="auto" w:fill="CCECFC"/>
          </w:tcPr>
          <w:p>
            <w:pPr>
              <w:pStyle w:val="TableParagraph"/>
              <w:spacing w:before="1"/>
              <w:rPr>
                <w:sz w:val="20"/>
              </w:rPr>
            </w:pPr>
          </w:p>
          <w:p>
            <w:pPr>
              <w:pStyle w:val="TableParagraph"/>
              <w:spacing w:before="1"/>
              <w:ind w:left="39"/>
              <w:rPr>
                <w:sz w:val="18"/>
              </w:rPr>
            </w:pPr>
            <w:r>
              <w:rPr>
                <w:color w:val="231F20"/>
                <w:sz w:val="18"/>
              </w:rPr>
              <w:t>Southwest Mechanics</w:t>
            </w:r>
          </w:p>
        </w:tc>
        <w:tc>
          <w:tcPr>
            <w:tcW w:w="1755" w:type="dxa"/>
            <w:shd w:val="clear" w:color="auto" w:fill="CCECFC"/>
          </w:tcPr>
          <w:p>
            <w:pPr>
              <w:pStyle w:val="TableParagraph"/>
              <w:spacing w:before="1"/>
              <w:rPr>
                <w:sz w:val="20"/>
              </w:rPr>
            </w:pPr>
          </w:p>
          <w:p>
            <w:pPr>
              <w:pStyle w:val="TableParagraph"/>
              <w:spacing w:before="1"/>
              <w:ind w:left="669" w:right="530"/>
              <w:jc w:val="center"/>
              <w:rPr>
                <w:sz w:val="18"/>
              </w:rPr>
            </w:pPr>
            <w:r>
              <w:rPr>
                <w:color w:val="231F20"/>
                <w:sz w:val="18"/>
              </w:rPr>
              <w:t>2,100</w:t>
            </w:r>
          </w:p>
        </w:tc>
        <w:tc>
          <w:tcPr>
            <w:tcW w:w="2972" w:type="dxa"/>
            <w:shd w:val="clear" w:color="auto" w:fill="CCECFC"/>
          </w:tcPr>
          <w:p>
            <w:pPr>
              <w:pStyle w:val="TableParagraph"/>
              <w:spacing w:line="200" w:lineRule="exact" w:before="40"/>
              <w:ind w:left="119" w:right="724"/>
              <w:rPr>
                <w:sz w:val="18"/>
              </w:rPr>
            </w:pPr>
            <w:r>
              <w:rPr>
                <w:color w:val="231F20"/>
                <w:sz w:val="18"/>
              </w:rPr>
              <w:t>Aircraft Mechanics Fraternal Association (“AMFA”)</w:t>
            </w:r>
          </w:p>
        </w:tc>
        <w:tc>
          <w:tcPr>
            <w:tcW w:w="1402" w:type="dxa"/>
            <w:shd w:val="clear" w:color="auto" w:fill="CCECFC"/>
          </w:tcPr>
          <w:p>
            <w:pPr>
              <w:pStyle w:val="TableParagraph"/>
              <w:spacing w:before="1"/>
              <w:rPr>
                <w:sz w:val="20"/>
              </w:rPr>
            </w:pPr>
          </w:p>
          <w:p>
            <w:pPr>
              <w:pStyle w:val="TableParagraph"/>
              <w:spacing w:before="1"/>
              <w:ind w:left="199"/>
              <w:rPr>
                <w:sz w:val="18"/>
              </w:rPr>
            </w:pPr>
            <w:r>
              <w:rPr>
                <w:color w:val="231F20"/>
                <w:sz w:val="18"/>
              </w:rPr>
              <w:t>August 2012</w:t>
            </w:r>
          </w:p>
        </w:tc>
      </w:tr>
      <w:tr>
        <w:trPr>
          <w:trHeight w:val="460" w:hRule="exact"/>
        </w:trPr>
        <w:tc>
          <w:tcPr>
            <w:tcW w:w="2971" w:type="dxa"/>
          </w:tcPr>
          <w:p>
            <w:pPr>
              <w:pStyle w:val="TableParagraph"/>
              <w:spacing w:line="200" w:lineRule="exact" w:before="40"/>
              <w:ind w:left="39" w:right="462"/>
              <w:rPr>
                <w:sz w:val="18"/>
              </w:rPr>
            </w:pPr>
            <w:r>
              <w:rPr>
                <w:color w:val="231F20"/>
                <w:sz w:val="18"/>
              </w:rPr>
              <w:t>Southwest Facilities Maintenance Technicians</w:t>
            </w:r>
          </w:p>
        </w:tc>
        <w:tc>
          <w:tcPr>
            <w:tcW w:w="1755" w:type="dxa"/>
          </w:tcPr>
          <w:p>
            <w:pPr>
              <w:pStyle w:val="TableParagraph"/>
              <w:spacing w:before="1"/>
              <w:rPr>
                <w:sz w:val="20"/>
              </w:rPr>
            </w:pPr>
          </w:p>
          <w:p>
            <w:pPr>
              <w:pStyle w:val="TableParagraph"/>
              <w:spacing w:before="1"/>
              <w:ind w:left="668" w:right="530"/>
              <w:jc w:val="center"/>
              <w:rPr>
                <w:sz w:val="18"/>
              </w:rPr>
            </w:pPr>
            <w:r>
              <w:rPr>
                <w:color w:val="231F20"/>
                <w:sz w:val="18"/>
              </w:rPr>
              <w:t>40</w:t>
            </w:r>
          </w:p>
        </w:tc>
        <w:tc>
          <w:tcPr>
            <w:tcW w:w="2972" w:type="dxa"/>
          </w:tcPr>
          <w:p>
            <w:pPr>
              <w:pStyle w:val="TableParagraph"/>
              <w:spacing w:before="1"/>
              <w:rPr>
                <w:sz w:val="20"/>
              </w:rPr>
            </w:pPr>
          </w:p>
          <w:p>
            <w:pPr>
              <w:pStyle w:val="TableParagraph"/>
              <w:spacing w:before="1"/>
              <w:ind w:left="119"/>
              <w:rPr>
                <w:sz w:val="18"/>
              </w:rPr>
            </w:pPr>
            <w:r>
              <w:rPr>
                <w:color w:val="231F20"/>
                <w:sz w:val="18"/>
              </w:rPr>
              <w:t>AMFA</w:t>
            </w:r>
          </w:p>
        </w:tc>
        <w:tc>
          <w:tcPr>
            <w:tcW w:w="1402" w:type="dxa"/>
          </w:tcPr>
          <w:p>
            <w:pPr>
              <w:pStyle w:val="TableParagraph"/>
              <w:spacing w:before="1"/>
              <w:rPr>
                <w:sz w:val="20"/>
              </w:rPr>
            </w:pPr>
          </w:p>
          <w:p>
            <w:pPr>
              <w:pStyle w:val="TableParagraph"/>
              <w:spacing w:before="1"/>
              <w:ind w:left="199"/>
              <w:rPr>
                <w:sz w:val="18"/>
              </w:rPr>
            </w:pPr>
            <w:r>
              <w:rPr>
                <w:color w:val="231F20"/>
                <w:sz w:val="18"/>
              </w:rPr>
              <w:t>N/A</w:t>
            </w:r>
          </w:p>
        </w:tc>
      </w:tr>
    </w:tbl>
    <w:p>
      <w:pPr>
        <w:pStyle w:val="BodyText"/>
        <w:spacing w:line="247" w:lineRule="auto" w:before="206"/>
        <w:ind w:left="120" w:right="117" w:firstLine="720"/>
        <w:jc w:val="both"/>
      </w:pPr>
      <w:r>
        <w:rPr>
          <w:color w:val="231F20"/>
        </w:rPr>
        <w:t>Fuel and oil expense for 2014 decreased by $470 million, or 8.2 percent, compared with 2013. On a per ASM basis, Fuel and oil expense for 2014 decreased 8.6 percent, compared with 2013. Excluding the impact of fuel hedge accounting, both the dollar and per ASM decreases were primarily attributable to lower jet fuel prices. The Company’s average economic jet fuel price per gallon decreased 6.4 percent year-over-year, from $3.12 for 2013 to $2.92 for 2014. In addition, fuel efficiency improved slightly due to the Company’s fleet modernization efforts, as fuel gallons consumed  decreased  0.9  percent,  compared  with  2013,  while  year-over-year  capacity     increased</w:t>
      </w:r>
    </w:p>
    <w:p>
      <w:pPr>
        <w:pStyle w:val="BodyText"/>
        <w:spacing w:line="247" w:lineRule="auto"/>
        <w:ind w:left="120" w:right="117"/>
        <w:jc w:val="both"/>
      </w:pPr>
      <w:r>
        <w:rPr>
          <w:color w:val="231F20"/>
        </w:rPr>
        <w:t>0.5  percent.  As  a  result  of  the  Company’s  fuel  hedging  program,  the  Company  recognized     net   gains   totaling   $28    million    in    Fuel    and    oil    expense    for    2014,    compared    to    net losses totaling $118 million for 2013. These totals include cash settlements realized from the settlement of fuel derivative contracts totaling $56 million received from counterparties for 2014, compared to $34 million paid to counterparties for 2013, although such totals exclude gains and/or losses recognized from hedge ineffectiveness and from derivatives that do not qualify for hedge accounting. These impacts are recorded as a component of Other (gains) losses, net. See Note 10 to the Consolidated Financial Statements.</w:t>
      </w:r>
    </w:p>
    <w:p>
      <w:pPr>
        <w:pStyle w:val="BodyText"/>
        <w:spacing w:line="247" w:lineRule="auto" w:before="151"/>
        <w:ind w:left="120" w:right="119" w:firstLine="720"/>
        <w:jc w:val="both"/>
      </w:pPr>
      <w:r>
        <w:rPr>
          <w:color w:val="231F20"/>
        </w:rPr>
        <w:t>As of </w:t>
      </w:r>
      <w:r>
        <w:rPr>
          <w:color w:val="231F20"/>
          <w:spacing w:val="-4"/>
        </w:rPr>
        <w:t>January </w:t>
      </w:r>
      <w:r>
        <w:rPr>
          <w:color w:val="231F20"/>
          <w:spacing w:val="-3"/>
        </w:rPr>
        <w:t>16, </w:t>
      </w:r>
      <w:r>
        <w:rPr>
          <w:color w:val="231F20"/>
          <w:spacing w:val="-4"/>
        </w:rPr>
        <w:t>2015, </w:t>
      </w:r>
      <w:r>
        <w:rPr>
          <w:color w:val="231F20"/>
        </w:rPr>
        <w:t>as a </w:t>
      </w:r>
      <w:r>
        <w:rPr>
          <w:color w:val="231F20"/>
          <w:spacing w:val="-4"/>
        </w:rPr>
        <w:t>result </w:t>
      </w:r>
      <w:r>
        <w:rPr>
          <w:color w:val="231F20"/>
        </w:rPr>
        <w:t>of </w:t>
      </w:r>
      <w:r>
        <w:rPr>
          <w:color w:val="231F20"/>
          <w:spacing w:val="-3"/>
        </w:rPr>
        <w:t>the </w:t>
      </w:r>
      <w:r>
        <w:rPr>
          <w:color w:val="231F20"/>
          <w:spacing w:val="-4"/>
        </w:rPr>
        <w:t>significant decline </w:t>
      </w:r>
      <w:r>
        <w:rPr>
          <w:color w:val="231F20"/>
          <w:spacing w:val="-3"/>
        </w:rPr>
        <w:t>in </w:t>
      </w:r>
      <w:r>
        <w:rPr>
          <w:color w:val="231F20"/>
          <w:spacing w:val="-4"/>
        </w:rPr>
        <w:t>fuel prices during </w:t>
      </w:r>
      <w:r>
        <w:rPr>
          <w:color w:val="231F20"/>
          <w:spacing w:val="-3"/>
        </w:rPr>
        <w:t>the </w:t>
      </w:r>
      <w:r>
        <w:rPr>
          <w:color w:val="231F20"/>
          <w:spacing w:val="-4"/>
        </w:rPr>
        <w:t>second </w:t>
      </w:r>
      <w:r>
        <w:rPr>
          <w:color w:val="231F20"/>
          <w:spacing w:val="-3"/>
        </w:rPr>
        <w:t>half </w:t>
      </w:r>
      <w:r>
        <w:rPr>
          <w:color w:val="231F20"/>
          <w:spacing w:val="-4"/>
        </w:rPr>
        <w:t>of 2014, </w:t>
      </w:r>
      <w:r>
        <w:rPr>
          <w:color w:val="231F20"/>
          <w:spacing w:val="-3"/>
        </w:rPr>
        <w:t>the </w:t>
      </w:r>
      <w:r>
        <w:rPr>
          <w:color w:val="231F20"/>
          <w:spacing w:val="-4"/>
        </w:rPr>
        <w:t>Company </w:t>
      </w:r>
      <w:r>
        <w:rPr>
          <w:color w:val="231F20"/>
          <w:spacing w:val="-3"/>
        </w:rPr>
        <w:t>had </w:t>
      </w:r>
      <w:r>
        <w:rPr>
          <w:color w:val="231F20"/>
          <w:spacing w:val="-4"/>
        </w:rPr>
        <w:t>reduced </w:t>
      </w:r>
      <w:r>
        <w:rPr>
          <w:color w:val="231F20"/>
          <w:spacing w:val="-3"/>
        </w:rPr>
        <w:t>its fuel </w:t>
      </w:r>
      <w:r>
        <w:rPr>
          <w:color w:val="231F20"/>
          <w:spacing w:val="-4"/>
        </w:rPr>
        <w:t>hedging position </w:t>
      </w:r>
      <w:r>
        <w:rPr>
          <w:color w:val="231F20"/>
          <w:spacing w:val="-3"/>
        </w:rPr>
        <w:t>for </w:t>
      </w:r>
      <w:r>
        <w:rPr>
          <w:color w:val="231F20"/>
          <w:spacing w:val="-4"/>
        </w:rPr>
        <w:t>future years, </w:t>
      </w:r>
      <w:r>
        <w:rPr>
          <w:color w:val="231F20"/>
          <w:spacing w:val="-3"/>
        </w:rPr>
        <w:t>and the </w:t>
      </w:r>
      <w:r>
        <w:rPr>
          <w:color w:val="231F20"/>
          <w:spacing w:val="-4"/>
        </w:rPr>
        <w:t>Company </w:t>
      </w:r>
      <w:r>
        <w:rPr>
          <w:color w:val="231F20"/>
          <w:spacing w:val="-3"/>
        </w:rPr>
        <w:t>had </w:t>
      </w:r>
      <w:r>
        <w:rPr>
          <w:color w:val="231F20"/>
          <w:spacing w:val="-4"/>
        </w:rPr>
        <w:t>derivative contracts </w:t>
      </w:r>
      <w:r>
        <w:rPr>
          <w:color w:val="231F20"/>
          <w:spacing w:val="-3"/>
        </w:rPr>
        <w:t>in </w:t>
      </w:r>
      <w:r>
        <w:rPr>
          <w:color w:val="231F20"/>
          <w:spacing w:val="-4"/>
        </w:rPr>
        <w:t>place, </w:t>
      </w:r>
      <w:r>
        <w:rPr>
          <w:color w:val="231F20"/>
        </w:rPr>
        <w:t>on an </w:t>
      </w:r>
      <w:r>
        <w:rPr>
          <w:color w:val="231F20"/>
          <w:spacing w:val="-4"/>
        </w:rPr>
        <w:t>economic basis, related </w:t>
      </w:r>
      <w:r>
        <w:rPr>
          <w:color w:val="231F20"/>
          <w:spacing w:val="-3"/>
        </w:rPr>
        <w:t>to </w:t>
      </w:r>
      <w:r>
        <w:rPr>
          <w:color w:val="231F20"/>
          <w:spacing w:val="-4"/>
        </w:rPr>
        <w:t>expected future </w:t>
      </w:r>
      <w:r>
        <w:rPr>
          <w:color w:val="231F20"/>
          <w:spacing w:val="-3"/>
        </w:rPr>
        <w:t>fuel </w:t>
      </w:r>
      <w:r>
        <w:rPr>
          <w:color w:val="231F20"/>
          <w:spacing w:val="-4"/>
        </w:rPr>
        <w:t>consumption </w:t>
      </w:r>
      <w:r>
        <w:rPr>
          <w:color w:val="231F20"/>
        </w:rPr>
        <w:t>as </w:t>
      </w:r>
      <w:r>
        <w:rPr>
          <w:color w:val="231F20"/>
          <w:spacing w:val="-5"/>
        </w:rPr>
        <w:t>follows:</w:t>
      </w:r>
    </w:p>
    <w:p>
      <w:pPr>
        <w:spacing w:line="249" w:lineRule="auto" w:before="109"/>
        <w:ind w:left="4134" w:right="231" w:hanging="19"/>
        <w:jc w:val="left"/>
        <w:rPr>
          <w:b/>
          <w:sz w:val="20"/>
        </w:rPr>
      </w:pPr>
      <w:r>
        <w:rPr>
          <w:b/>
          <w:color w:val="231F20"/>
          <w:sz w:val="20"/>
        </w:rPr>
        <w:t>Average percent of estimated fuel consumption covered by fuel derivative contracts at varying WTI/Brent Crude Oil,</w:t>
      </w:r>
    </w:p>
    <w:p>
      <w:pPr>
        <w:tabs>
          <w:tab w:pos="4068" w:val="left" w:leader="none"/>
          <w:tab w:pos="6513" w:val="left" w:leader="none"/>
        </w:tabs>
        <w:spacing w:line="312" w:lineRule="auto" w:before="1"/>
        <w:ind w:left="1652" w:right="199" w:firstLine="59"/>
        <w:jc w:val="left"/>
        <w:rPr>
          <w:sz w:val="20"/>
        </w:rPr>
      </w:pPr>
      <w:r>
        <w:rPr/>
        <w:pict>
          <v:group style="position:absolute;margin-left:68.75pt;margin-top:11.885941pt;width:456.5pt;height:15.5pt;mso-position-horizontal-relative:page;mso-position-vertical-relative:paragraph;z-index:-407584" coordorigin="1375,238" coordsize="9130,310">
            <v:rect style="position:absolute;left:1380;top:248;width:9120;height:300" filled="true" fillcolor="#ccecfc" stroked="false">
              <v:fill type="solid"/>
            </v:rect>
            <v:line style="position:absolute" from="10500,243" to="1380,243" stroked="true" strokeweight=".5pt" strokecolor="#231f20">
              <v:stroke dashstyle="solid"/>
            </v:line>
            <w10:wrap type="none"/>
          </v:group>
        </w:pict>
      </w:r>
      <w:r>
        <w:rPr>
          <w:b/>
          <w:color w:val="231F20"/>
          <w:sz w:val="20"/>
        </w:rPr>
        <w:t>Period</w:t>
        <w:tab/>
        <w:t>Heating Oil, and Gulf Coast Jet Fuel-equivalent</w:t>
      </w:r>
      <w:r>
        <w:rPr>
          <w:b/>
          <w:color w:val="231F20"/>
          <w:spacing w:val="3"/>
          <w:sz w:val="20"/>
        </w:rPr>
        <w:t> </w:t>
      </w:r>
      <w:r>
        <w:rPr>
          <w:b/>
          <w:color w:val="231F20"/>
          <w:sz w:val="20"/>
        </w:rPr>
        <w:t>price levels</w:t>
      </w:r>
      <w:r>
        <w:rPr>
          <w:b/>
          <w:color w:val="231F20"/>
          <w:w w:val="100"/>
          <w:sz w:val="20"/>
        </w:rPr>
        <w:t> </w:t>
      </w:r>
      <w:r>
        <w:rPr>
          <w:b/>
          <w:color w:val="231F20"/>
          <w:sz w:val="20"/>
        </w:rPr>
        <w:t>2015 (1)</w:t>
        <w:tab/>
        <w:tab/>
      </w:r>
      <w:r>
        <w:rPr>
          <w:color w:val="231F20"/>
          <w:sz w:val="20"/>
        </w:rPr>
        <w:t>—</w:t>
      </w:r>
    </w:p>
    <w:p>
      <w:pPr>
        <w:tabs>
          <w:tab w:pos="6183" w:val="left" w:leader="none"/>
        </w:tabs>
        <w:spacing w:before="3"/>
        <w:ind w:left="1793" w:right="0" w:firstLine="0"/>
        <w:jc w:val="left"/>
        <w:rPr>
          <w:sz w:val="20"/>
        </w:rPr>
      </w:pPr>
      <w:r>
        <w:rPr/>
        <w:pict>
          <v:rect style="position:absolute;margin-left:69pt;margin-top:12.485941pt;width:456pt;height:15pt;mso-position-horizontal-relative:page;mso-position-vertical-relative:paragraph;z-index:-407560" filled="true" fillcolor="#ccecfc" stroked="false">
            <v:fill type="solid"/>
            <w10:wrap type="none"/>
          </v:rect>
        </w:pict>
      </w:r>
      <w:r>
        <w:rPr>
          <w:b/>
          <w:color w:val="231F20"/>
          <w:sz w:val="20"/>
        </w:rPr>
        <w:t>2016</w:t>
        <w:tab/>
      </w:r>
      <w:r>
        <w:rPr>
          <w:color w:val="231F20"/>
          <w:sz w:val="20"/>
        </w:rPr>
        <w:t>Approx. 10%</w:t>
      </w:r>
    </w:p>
    <w:p>
      <w:pPr>
        <w:tabs>
          <w:tab w:pos="6183" w:val="left" w:leader="none"/>
        </w:tabs>
        <w:spacing w:before="69"/>
        <w:ind w:left="1793" w:right="0" w:firstLine="0"/>
        <w:jc w:val="left"/>
        <w:rPr>
          <w:sz w:val="20"/>
        </w:rPr>
      </w:pPr>
      <w:r>
        <w:rPr>
          <w:b/>
          <w:color w:val="231F20"/>
          <w:sz w:val="20"/>
        </w:rPr>
        <w:t>2017</w:t>
        <w:tab/>
      </w:r>
      <w:r>
        <w:rPr>
          <w:color w:val="231F20"/>
          <w:sz w:val="20"/>
        </w:rPr>
        <w:t>Approx. 30%</w:t>
      </w:r>
    </w:p>
    <w:p>
      <w:pPr>
        <w:tabs>
          <w:tab w:pos="6513" w:val="left" w:leader="none"/>
        </w:tabs>
        <w:spacing w:before="69"/>
        <w:ind w:left="1652" w:right="0" w:firstLine="0"/>
        <w:jc w:val="left"/>
        <w:rPr>
          <w:sz w:val="20"/>
        </w:rPr>
      </w:pPr>
      <w:r>
        <w:rPr>
          <w:b/>
          <w:color w:val="231F20"/>
          <w:sz w:val="20"/>
        </w:rPr>
        <w:t>2018 (1)</w:t>
        <w:tab/>
      </w:r>
      <w:r>
        <w:rPr>
          <w:color w:val="231F20"/>
          <w:sz w:val="20"/>
        </w:rPr>
        <w:t>—</w:t>
      </w:r>
    </w:p>
    <w:p>
      <w:pPr>
        <w:pStyle w:val="BodyText"/>
        <w:spacing w:before="1"/>
        <w:rPr>
          <w:sz w:val="19"/>
        </w:rPr>
      </w:pPr>
    </w:p>
    <w:p>
      <w:pPr>
        <w:spacing w:line="249" w:lineRule="auto" w:before="1"/>
        <w:ind w:left="120" w:right="117" w:firstLine="0"/>
        <w:jc w:val="left"/>
        <w:rPr>
          <w:sz w:val="20"/>
        </w:rPr>
      </w:pPr>
      <w:r>
        <w:rPr>
          <w:color w:val="231F20"/>
          <w:sz w:val="20"/>
        </w:rPr>
        <w:t>(1)</w:t>
      </w:r>
      <w:r>
        <w:rPr>
          <w:color w:val="231F20"/>
          <w:spacing w:val="-11"/>
          <w:sz w:val="20"/>
        </w:rPr>
        <w:t> </w:t>
      </w:r>
      <w:r>
        <w:rPr>
          <w:color w:val="231F20"/>
          <w:sz w:val="20"/>
        </w:rPr>
        <w:t>In</w:t>
      </w:r>
      <w:r>
        <w:rPr>
          <w:color w:val="231F20"/>
          <w:spacing w:val="-11"/>
          <w:sz w:val="20"/>
        </w:rPr>
        <w:t> </w:t>
      </w:r>
      <w:r>
        <w:rPr>
          <w:color w:val="231F20"/>
          <w:sz w:val="20"/>
        </w:rPr>
        <w:t>response</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precipitous</w:t>
      </w:r>
      <w:r>
        <w:rPr>
          <w:color w:val="231F20"/>
          <w:spacing w:val="-11"/>
          <w:sz w:val="20"/>
        </w:rPr>
        <w:t> </w:t>
      </w:r>
      <w:r>
        <w:rPr>
          <w:color w:val="231F20"/>
          <w:sz w:val="20"/>
        </w:rPr>
        <w:t>decline</w:t>
      </w:r>
      <w:r>
        <w:rPr>
          <w:color w:val="231F20"/>
          <w:spacing w:val="-11"/>
          <w:sz w:val="20"/>
        </w:rPr>
        <w:t> </w:t>
      </w:r>
      <w:r>
        <w:rPr>
          <w:color w:val="231F20"/>
          <w:sz w:val="20"/>
        </w:rPr>
        <w:t>in</w:t>
      </w:r>
      <w:r>
        <w:rPr>
          <w:color w:val="231F20"/>
          <w:spacing w:val="-11"/>
          <w:sz w:val="20"/>
        </w:rPr>
        <w:t> </w:t>
      </w:r>
      <w:r>
        <w:rPr>
          <w:color w:val="231F20"/>
          <w:sz w:val="20"/>
        </w:rPr>
        <w:t>oil</w:t>
      </w:r>
      <w:r>
        <w:rPr>
          <w:color w:val="231F20"/>
          <w:spacing w:val="-11"/>
          <w:sz w:val="20"/>
        </w:rPr>
        <w:t> </w:t>
      </w:r>
      <w:r>
        <w:rPr>
          <w:color w:val="231F20"/>
          <w:sz w:val="20"/>
        </w:rPr>
        <w:t>and</w:t>
      </w:r>
      <w:r>
        <w:rPr>
          <w:color w:val="231F20"/>
          <w:spacing w:val="-11"/>
          <w:sz w:val="20"/>
        </w:rPr>
        <w:t> </w:t>
      </w:r>
      <w:r>
        <w:rPr>
          <w:color w:val="231F20"/>
          <w:sz w:val="20"/>
        </w:rPr>
        <w:t>jet</w:t>
      </w:r>
      <w:r>
        <w:rPr>
          <w:color w:val="231F20"/>
          <w:spacing w:val="-11"/>
          <w:sz w:val="20"/>
        </w:rPr>
        <w:t> </w:t>
      </w:r>
      <w:r>
        <w:rPr>
          <w:color w:val="231F20"/>
          <w:sz w:val="20"/>
        </w:rPr>
        <w:t>fuel</w:t>
      </w:r>
      <w:r>
        <w:rPr>
          <w:color w:val="231F20"/>
          <w:spacing w:val="-11"/>
          <w:sz w:val="20"/>
        </w:rPr>
        <w:t> </w:t>
      </w:r>
      <w:r>
        <w:rPr>
          <w:color w:val="231F20"/>
          <w:sz w:val="20"/>
        </w:rPr>
        <w:t>prices</w:t>
      </w:r>
      <w:r>
        <w:rPr>
          <w:color w:val="231F20"/>
          <w:spacing w:val="-11"/>
          <w:sz w:val="20"/>
        </w:rPr>
        <w:t> </w:t>
      </w:r>
      <w:r>
        <w:rPr>
          <w:color w:val="231F20"/>
          <w:sz w:val="20"/>
        </w:rPr>
        <w:t>during</w:t>
      </w:r>
      <w:r>
        <w:rPr>
          <w:color w:val="231F20"/>
          <w:spacing w:val="-11"/>
          <w:sz w:val="20"/>
        </w:rPr>
        <w:t> </w:t>
      </w:r>
      <w:r>
        <w:rPr>
          <w:color w:val="231F20"/>
          <w:sz w:val="20"/>
        </w:rPr>
        <w:t>the</w:t>
      </w:r>
      <w:r>
        <w:rPr>
          <w:color w:val="231F20"/>
          <w:spacing w:val="-11"/>
          <w:sz w:val="20"/>
        </w:rPr>
        <w:t> </w:t>
      </w:r>
      <w:r>
        <w:rPr>
          <w:color w:val="231F20"/>
          <w:sz w:val="20"/>
        </w:rPr>
        <w:t>second</w:t>
      </w:r>
      <w:r>
        <w:rPr>
          <w:color w:val="231F20"/>
          <w:spacing w:val="-11"/>
          <w:sz w:val="20"/>
        </w:rPr>
        <w:t> </w:t>
      </w:r>
      <w:r>
        <w:rPr>
          <w:color w:val="231F20"/>
          <w:sz w:val="20"/>
        </w:rPr>
        <w:t>half</w:t>
      </w:r>
      <w:r>
        <w:rPr>
          <w:color w:val="231F20"/>
          <w:spacing w:val="-11"/>
          <w:sz w:val="20"/>
        </w:rPr>
        <w:t> </w:t>
      </w:r>
      <w:r>
        <w:rPr>
          <w:color w:val="231F20"/>
          <w:sz w:val="20"/>
        </w:rPr>
        <w:t>of</w:t>
      </w:r>
      <w:r>
        <w:rPr>
          <w:color w:val="231F20"/>
          <w:spacing w:val="-11"/>
          <w:sz w:val="20"/>
        </w:rPr>
        <w:t> </w:t>
      </w:r>
      <w:r>
        <w:rPr>
          <w:color w:val="231F20"/>
          <w:sz w:val="20"/>
        </w:rPr>
        <w:t>2014,</w:t>
      </w:r>
      <w:r>
        <w:rPr>
          <w:color w:val="231F20"/>
          <w:spacing w:val="-11"/>
          <w:sz w:val="20"/>
        </w:rPr>
        <w:t> </w:t>
      </w:r>
      <w:r>
        <w:rPr>
          <w:color w:val="231F20"/>
          <w:sz w:val="20"/>
        </w:rPr>
        <w:t>the</w:t>
      </w:r>
      <w:r>
        <w:rPr>
          <w:color w:val="231F20"/>
          <w:spacing w:val="-11"/>
          <w:sz w:val="20"/>
        </w:rPr>
        <w:t> </w:t>
      </w:r>
      <w:r>
        <w:rPr>
          <w:color w:val="231F20"/>
          <w:sz w:val="20"/>
        </w:rPr>
        <w:t>Company</w:t>
      </w:r>
      <w:r>
        <w:rPr>
          <w:color w:val="231F20"/>
          <w:spacing w:val="-11"/>
          <w:sz w:val="20"/>
        </w:rPr>
        <w:t> </w:t>
      </w:r>
      <w:r>
        <w:rPr>
          <w:color w:val="231F20"/>
          <w:sz w:val="20"/>
        </w:rPr>
        <w:t>took action</w:t>
      </w:r>
      <w:r>
        <w:rPr>
          <w:color w:val="231F20"/>
          <w:spacing w:val="-12"/>
          <w:sz w:val="20"/>
        </w:rPr>
        <w:t> </w:t>
      </w:r>
      <w:r>
        <w:rPr>
          <w:color w:val="231F20"/>
          <w:sz w:val="20"/>
        </w:rPr>
        <w:t>to</w:t>
      </w:r>
      <w:r>
        <w:rPr>
          <w:color w:val="231F20"/>
          <w:spacing w:val="-12"/>
          <w:sz w:val="20"/>
        </w:rPr>
        <w:t> </w:t>
      </w:r>
      <w:r>
        <w:rPr>
          <w:color w:val="231F20"/>
          <w:sz w:val="20"/>
        </w:rPr>
        <w:t>offset</w:t>
      </w:r>
      <w:r>
        <w:rPr>
          <w:color w:val="231F20"/>
          <w:spacing w:val="-12"/>
          <w:sz w:val="20"/>
        </w:rPr>
        <w:t> </w:t>
      </w:r>
      <w:r>
        <w:rPr>
          <w:color w:val="231F20"/>
          <w:sz w:val="20"/>
        </w:rPr>
        <w:t>its</w:t>
      </w:r>
      <w:r>
        <w:rPr>
          <w:color w:val="231F20"/>
          <w:spacing w:val="-12"/>
          <w:sz w:val="20"/>
        </w:rPr>
        <w:t> </w:t>
      </w:r>
      <w:r>
        <w:rPr>
          <w:color w:val="231F20"/>
          <w:sz w:val="20"/>
        </w:rPr>
        <w:t>2015</w:t>
      </w:r>
      <w:r>
        <w:rPr>
          <w:color w:val="231F20"/>
          <w:spacing w:val="-12"/>
          <w:sz w:val="20"/>
        </w:rPr>
        <w:t> </w:t>
      </w:r>
      <w:r>
        <w:rPr>
          <w:color w:val="231F20"/>
          <w:sz w:val="20"/>
        </w:rPr>
        <w:t>and</w:t>
      </w:r>
      <w:r>
        <w:rPr>
          <w:color w:val="231F20"/>
          <w:spacing w:val="-12"/>
          <w:sz w:val="20"/>
        </w:rPr>
        <w:t> </w:t>
      </w:r>
      <w:r>
        <w:rPr>
          <w:color w:val="231F20"/>
          <w:sz w:val="20"/>
        </w:rPr>
        <w:t>2018</w:t>
      </w:r>
      <w:r>
        <w:rPr>
          <w:color w:val="231F20"/>
          <w:spacing w:val="-12"/>
          <w:sz w:val="20"/>
        </w:rPr>
        <w:t> </w:t>
      </w:r>
      <w:r>
        <w:rPr>
          <w:color w:val="231F20"/>
          <w:sz w:val="20"/>
        </w:rPr>
        <w:t>fuel</w:t>
      </w:r>
      <w:r>
        <w:rPr>
          <w:color w:val="231F20"/>
          <w:spacing w:val="-12"/>
          <w:sz w:val="20"/>
        </w:rPr>
        <w:t> </w:t>
      </w:r>
      <w:r>
        <w:rPr>
          <w:color w:val="231F20"/>
          <w:sz w:val="20"/>
        </w:rPr>
        <w:t>derivative</w:t>
      </w:r>
      <w:r>
        <w:rPr>
          <w:color w:val="231F20"/>
          <w:spacing w:val="-12"/>
          <w:sz w:val="20"/>
        </w:rPr>
        <w:t> </w:t>
      </w:r>
      <w:r>
        <w:rPr>
          <w:color w:val="231F20"/>
          <w:sz w:val="20"/>
        </w:rPr>
        <w:t>portfolios</w:t>
      </w:r>
      <w:r>
        <w:rPr>
          <w:color w:val="231F20"/>
          <w:spacing w:val="-12"/>
          <w:sz w:val="20"/>
        </w:rPr>
        <w:t> </w:t>
      </w:r>
      <w:r>
        <w:rPr>
          <w:color w:val="231F20"/>
          <w:sz w:val="20"/>
        </w:rPr>
        <w:t>and</w:t>
      </w:r>
      <w:r>
        <w:rPr>
          <w:color w:val="231F20"/>
          <w:spacing w:val="-12"/>
          <w:sz w:val="20"/>
        </w:rPr>
        <w:t> </w:t>
      </w:r>
      <w:r>
        <w:rPr>
          <w:color w:val="231F20"/>
          <w:sz w:val="20"/>
        </w:rPr>
        <w:t>is</w:t>
      </w:r>
      <w:r>
        <w:rPr>
          <w:color w:val="231F20"/>
          <w:spacing w:val="-12"/>
          <w:sz w:val="20"/>
        </w:rPr>
        <w:t> </w:t>
      </w:r>
      <w:r>
        <w:rPr>
          <w:color w:val="231F20"/>
          <w:sz w:val="20"/>
        </w:rPr>
        <w:t>now</w:t>
      </w:r>
      <w:r>
        <w:rPr>
          <w:color w:val="231F20"/>
          <w:spacing w:val="-13"/>
          <w:sz w:val="20"/>
        </w:rPr>
        <w:t> </w:t>
      </w:r>
      <w:r>
        <w:rPr>
          <w:color w:val="231F20"/>
          <w:sz w:val="20"/>
        </w:rPr>
        <w:t>effectively</w:t>
      </w:r>
      <w:r>
        <w:rPr>
          <w:color w:val="231F20"/>
          <w:spacing w:val="-12"/>
          <w:sz w:val="20"/>
        </w:rPr>
        <w:t> </w:t>
      </w:r>
      <w:r>
        <w:rPr>
          <w:color w:val="231F20"/>
          <w:sz w:val="20"/>
        </w:rPr>
        <w:t>unhedged</w:t>
      </w:r>
      <w:r>
        <w:rPr>
          <w:color w:val="231F20"/>
          <w:spacing w:val="-12"/>
          <w:sz w:val="20"/>
        </w:rPr>
        <w:t> </w:t>
      </w:r>
      <w:r>
        <w:rPr>
          <w:color w:val="231F20"/>
          <w:sz w:val="20"/>
        </w:rPr>
        <w:t>at</w:t>
      </w:r>
      <w:r>
        <w:rPr>
          <w:color w:val="231F20"/>
          <w:spacing w:val="-12"/>
          <w:sz w:val="20"/>
        </w:rPr>
        <w:t> </w:t>
      </w:r>
      <w:r>
        <w:rPr>
          <w:color w:val="231F20"/>
          <w:sz w:val="20"/>
        </w:rPr>
        <w:t>current</w:t>
      </w:r>
      <w:r>
        <w:rPr>
          <w:color w:val="231F20"/>
          <w:spacing w:val="-12"/>
          <w:sz w:val="20"/>
        </w:rPr>
        <w:t> </w:t>
      </w:r>
      <w:r>
        <w:rPr>
          <w:color w:val="231F20"/>
          <w:sz w:val="20"/>
        </w:rPr>
        <w:t>price</w:t>
      </w:r>
      <w:r>
        <w:rPr>
          <w:color w:val="231F20"/>
          <w:spacing w:val="-12"/>
          <w:sz w:val="20"/>
        </w:rPr>
        <w:t> </w:t>
      </w:r>
      <w:r>
        <w:rPr>
          <w:color w:val="231F20"/>
          <w:sz w:val="20"/>
        </w:rPr>
        <w:t>levels. While</w:t>
      </w:r>
      <w:r>
        <w:rPr>
          <w:color w:val="231F20"/>
          <w:spacing w:val="-12"/>
          <w:sz w:val="20"/>
        </w:rPr>
        <w:t> </w:t>
      </w:r>
      <w:r>
        <w:rPr>
          <w:color w:val="231F20"/>
          <w:sz w:val="20"/>
        </w:rPr>
        <w:t>the</w:t>
      </w:r>
      <w:r>
        <w:rPr>
          <w:color w:val="231F20"/>
          <w:spacing w:val="-12"/>
          <w:sz w:val="20"/>
        </w:rPr>
        <w:t> </w:t>
      </w:r>
      <w:r>
        <w:rPr>
          <w:color w:val="231F20"/>
          <w:sz w:val="20"/>
        </w:rPr>
        <w:t>Company</w:t>
      </w:r>
      <w:r>
        <w:rPr>
          <w:color w:val="231F20"/>
          <w:spacing w:val="-12"/>
          <w:sz w:val="20"/>
        </w:rPr>
        <w:t> </w:t>
      </w:r>
      <w:r>
        <w:rPr>
          <w:color w:val="231F20"/>
          <w:sz w:val="20"/>
        </w:rPr>
        <w:t>still</w:t>
      </w:r>
      <w:r>
        <w:rPr>
          <w:color w:val="231F20"/>
          <w:spacing w:val="-12"/>
          <w:sz w:val="20"/>
        </w:rPr>
        <w:t> </w:t>
      </w:r>
      <w:r>
        <w:rPr>
          <w:color w:val="231F20"/>
          <w:sz w:val="20"/>
        </w:rPr>
        <w:t>holds</w:t>
      </w:r>
      <w:r>
        <w:rPr>
          <w:color w:val="231F20"/>
          <w:spacing w:val="-12"/>
          <w:sz w:val="20"/>
        </w:rPr>
        <w:t> </w:t>
      </w:r>
      <w:r>
        <w:rPr>
          <w:color w:val="231F20"/>
          <w:sz w:val="20"/>
        </w:rPr>
        <w:t>derivative</w:t>
      </w:r>
      <w:r>
        <w:rPr>
          <w:color w:val="231F20"/>
          <w:spacing w:val="-12"/>
          <w:sz w:val="20"/>
        </w:rPr>
        <w:t> </w:t>
      </w:r>
      <w:r>
        <w:rPr>
          <w:color w:val="231F20"/>
          <w:sz w:val="20"/>
        </w:rPr>
        <w:t>contracts</w:t>
      </w:r>
      <w:r>
        <w:rPr>
          <w:color w:val="231F20"/>
          <w:spacing w:val="-12"/>
          <w:sz w:val="20"/>
        </w:rPr>
        <w:t> </w:t>
      </w:r>
      <w:r>
        <w:rPr>
          <w:color w:val="231F20"/>
          <w:sz w:val="20"/>
        </w:rPr>
        <w:t>as</w:t>
      </w:r>
      <w:r>
        <w:rPr>
          <w:color w:val="231F20"/>
          <w:spacing w:val="-12"/>
          <w:sz w:val="20"/>
        </w:rPr>
        <w:t> </w:t>
      </w:r>
      <w:r>
        <w:rPr>
          <w:color w:val="231F20"/>
          <w:sz w:val="20"/>
        </w:rPr>
        <w:t>of</w:t>
      </w:r>
      <w:r>
        <w:rPr>
          <w:color w:val="231F20"/>
          <w:spacing w:val="-12"/>
          <w:sz w:val="20"/>
        </w:rPr>
        <w:t> </w:t>
      </w:r>
      <w:r>
        <w:rPr>
          <w:color w:val="231F20"/>
          <w:sz w:val="20"/>
        </w:rPr>
        <w:t>December</w:t>
      </w:r>
      <w:r>
        <w:rPr>
          <w:color w:val="231F20"/>
          <w:spacing w:val="-12"/>
          <w:sz w:val="20"/>
        </w:rPr>
        <w:t> </w:t>
      </w:r>
      <w:r>
        <w:rPr>
          <w:color w:val="231F20"/>
          <w:sz w:val="20"/>
        </w:rPr>
        <w:t>31,</w:t>
      </w:r>
      <w:r>
        <w:rPr>
          <w:color w:val="231F20"/>
          <w:spacing w:val="-12"/>
          <w:sz w:val="20"/>
        </w:rPr>
        <w:t> </w:t>
      </w:r>
      <w:r>
        <w:rPr>
          <w:color w:val="231F20"/>
          <w:sz w:val="20"/>
        </w:rPr>
        <w:t>2014,</w:t>
      </w:r>
      <w:r>
        <w:rPr>
          <w:color w:val="231F20"/>
          <w:spacing w:val="-12"/>
          <w:sz w:val="20"/>
        </w:rPr>
        <w:t> </w:t>
      </w:r>
      <w:r>
        <w:rPr>
          <w:color w:val="231F20"/>
          <w:sz w:val="20"/>
        </w:rPr>
        <w:t>that</w:t>
      </w:r>
      <w:r>
        <w:rPr>
          <w:color w:val="231F20"/>
          <w:spacing w:val="-12"/>
          <w:sz w:val="20"/>
        </w:rPr>
        <w:t> </w:t>
      </w:r>
      <w:r>
        <w:rPr>
          <w:color w:val="231F20"/>
          <w:sz w:val="20"/>
        </w:rPr>
        <w:t>will</w:t>
      </w:r>
      <w:r>
        <w:rPr>
          <w:color w:val="231F20"/>
          <w:spacing w:val="-12"/>
          <w:sz w:val="20"/>
        </w:rPr>
        <w:t> </w:t>
      </w:r>
      <w:r>
        <w:rPr>
          <w:color w:val="231F20"/>
          <w:sz w:val="20"/>
        </w:rPr>
        <w:t>settle</w:t>
      </w:r>
      <w:r>
        <w:rPr>
          <w:color w:val="231F20"/>
          <w:spacing w:val="-12"/>
          <w:sz w:val="20"/>
        </w:rPr>
        <w:t> </w:t>
      </w:r>
      <w:r>
        <w:rPr>
          <w:color w:val="231F20"/>
          <w:sz w:val="20"/>
        </w:rPr>
        <w:t>during</w:t>
      </w:r>
      <w:r>
        <w:rPr>
          <w:color w:val="231F20"/>
          <w:spacing w:val="-12"/>
          <w:sz w:val="20"/>
        </w:rPr>
        <w:t> </w:t>
      </w:r>
      <w:r>
        <w:rPr>
          <w:color w:val="231F20"/>
          <w:sz w:val="20"/>
        </w:rPr>
        <w:t>2015</w:t>
      </w:r>
      <w:r>
        <w:rPr>
          <w:color w:val="231F20"/>
          <w:spacing w:val="-12"/>
          <w:sz w:val="20"/>
        </w:rPr>
        <w:t> </w:t>
      </w:r>
      <w:r>
        <w:rPr>
          <w:color w:val="231F20"/>
          <w:sz w:val="20"/>
        </w:rPr>
        <w:t>and</w:t>
      </w:r>
      <w:r>
        <w:rPr>
          <w:color w:val="231F20"/>
          <w:spacing w:val="-12"/>
          <w:sz w:val="20"/>
        </w:rPr>
        <w:t> </w:t>
      </w:r>
      <w:r>
        <w:rPr>
          <w:color w:val="231F20"/>
          <w:sz w:val="20"/>
        </w:rPr>
        <w:t>2018, the</w:t>
      </w:r>
      <w:r>
        <w:rPr>
          <w:color w:val="231F20"/>
          <w:spacing w:val="-14"/>
          <w:sz w:val="20"/>
        </w:rPr>
        <w:t> </w:t>
      </w:r>
      <w:r>
        <w:rPr>
          <w:color w:val="231F20"/>
          <w:sz w:val="20"/>
        </w:rPr>
        <w:t>majority</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losses</w:t>
      </w:r>
      <w:r>
        <w:rPr>
          <w:color w:val="231F20"/>
          <w:spacing w:val="-14"/>
          <w:sz w:val="20"/>
        </w:rPr>
        <w:t> </w:t>
      </w:r>
      <w:r>
        <w:rPr>
          <w:color w:val="231F20"/>
          <w:sz w:val="20"/>
        </w:rPr>
        <w:t>associated</w:t>
      </w:r>
      <w:r>
        <w:rPr>
          <w:color w:val="231F20"/>
          <w:spacing w:val="-14"/>
          <w:sz w:val="20"/>
        </w:rPr>
        <w:t> </w:t>
      </w:r>
      <w:r>
        <w:rPr>
          <w:color w:val="231F20"/>
          <w:sz w:val="20"/>
        </w:rPr>
        <w:t>with</w:t>
      </w:r>
      <w:r>
        <w:rPr>
          <w:color w:val="231F20"/>
          <w:spacing w:val="-14"/>
          <w:sz w:val="20"/>
        </w:rPr>
        <w:t> </w:t>
      </w:r>
      <w:r>
        <w:rPr>
          <w:color w:val="231F20"/>
          <w:sz w:val="20"/>
        </w:rPr>
        <w:t>those</w:t>
      </w:r>
      <w:r>
        <w:rPr>
          <w:color w:val="231F20"/>
          <w:spacing w:val="-14"/>
          <w:sz w:val="20"/>
        </w:rPr>
        <w:t> </w:t>
      </w:r>
      <w:r>
        <w:rPr>
          <w:color w:val="231F20"/>
          <w:sz w:val="20"/>
        </w:rPr>
        <w:t>contracts</w:t>
      </w:r>
      <w:r>
        <w:rPr>
          <w:color w:val="231F20"/>
          <w:spacing w:val="-14"/>
          <w:sz w:val="20"/>
        </w:rPr>
        <w:t> </w:t>
      </w:r>
      <w:r>
        <w:rPr>
          <w:color w:val="231F20"/>
          <w:sz w:val="20"/>
        </w:rPr>
        <w:t>are</w:t>
      </w:r>
      <w:r>
        <w:rPr>
          <w:color w:val="231F20"/>
          <w:spacing w:val="-14"/>
          <w:sz w:val="20"/>
        </w:rPr>
        <w:t> </w:t>
      </w:r>
      <w:r>
        <w:rPr>
          <w:color w:val="231F20"/>
          <w:sz w:val="20"/>
        </w:rPr>
        <w:t>substantially</w:t>
      </w:r>
      <w:r>
        <w:rPr>
          <w:color w:val="231F20"/>
          <w:spacing w:val="-14"/>
          <w:sz w:val="20"/>
        </w:rPr>
        <w:t> </w:t>
      </w:r>
      <w:r>
        <w:rPr>
          <w:color w:val="231F20"/>
          <w:sz w:val="20"/>
        </w:rPr>
        <w:t>locked</w:t>
      </w:r>
      <w:r>
        <w:rPr>
          <w:color w:val="231F20"/>
          <w:spacing w:val="-14"/>
          <w:sz w:val="20"/>
        </w:rPr>
        <w:t> </w:t>
      </w:r>
      <w:r>
        <w:rPr>
          <w:color w:val="231F20"/>
          <w:sz w:val="20"/>
        </w:rPr>
        <w:t>in.</w:t>
      </w:r>
      <w:r>
        <w:rPr>
          <w:color w:val="231F20"/>
          <w:spacing w:val="-14"/>
          <w:sz w:val="20"/>
        </w:rPr>
        <w:t> </w:t>
      </w:r>
      <w:r>
        <w:rPr>
          <w:color w:val="231F20"/>
          <w:sz w:val="20"/>
        </w:rPr>
        <w:t>However,</w:t>
      </w:r>
      <w:r>
        <w:rPr>
          <w:color w:val="231F20"/>
          <w:spacing w:val="-14"/>
          <w:sz w:val="20"/>
        </w:rPr>
        <w:t> </w:t>
      </w:r>
      <w:r>
        <w:rPr>
          <w:color w:val="231F20"/>
          <w:sz w:val="20"/>
        </w:rPr>
        <w:t>if</w:t>
      </w:r>
      <w:r>
        <w:rPr>
          <w:color w:val="231F20"/>
          <w:spacing w:val="-14"/>
          <w:sz w:val="20"/>
        </w:rPr>
        <w:t> </w:t>
      </w:r>
      <w:r>
        <w:rPr>
          <w:color w:val="231F20"/>
          <w:sz w:val="20"/>
        </w:rPr>
        <w:t>market</w:t>
      </w:r>
      <w:r>
        <w:rPr>
          <w:color w:val="231F20"/>
          <w:spacing w:val="-14"/>
          <w:sz w:val="20"/>
        </w:rPr>
        <w:t> </w:t>
      </w:r>
      <w:r>
        <w:rPr>
          <w:color w:val="231F20"/>
          <w:sz w:val="20"/>
        </w:rPr>
        <w:t>prices</w:t>
      </w:r>
      <w:r>
        <w:rPr>
          <w:color w:val="231F20"/>
          <w:spacing w:val="-14"/>
          <w:sz w:val="20"/>
        </w:rPr>
        <w:t> </w:t>
      </w:r>
      <w:r>
        <w:rPr>
          <w:color w:val="231F20"/>
          <w:sz w:val="20"/>
        </w:rPr>
        <w:t>were to</w:t>
      </w:r>
      <w:r>
        <w:rPr>
          <w:color w:val="231F20"/>
          <w:spacing w:val="-14"/>
          <w:sz w:val="20"/>
        </w:rPr>
        <w:t> </w:t>
      </w:r>
      <w:r>
        <w:rPr>
          <w:color w:val="231F20"/>
          <w:sz w:val="20"/>
        </w:rPr>
        <w:t>increase</w:t>
      </w:r>
      <w:r>
        <w:rPr>
          <w:color w:val="231F20"/>
          <w:spacing w:val="-14"/>
          <w:sz w:val="20"/>
        </w:rPr>
        <w:t> </w:t>
      </w:r>
      <w:r>
        <w:rPr>
          <w:color w:val="231F20"/>
          <w:sz w:val="20"/>
        </w:rPr>
        <w:t>or</w:t>
      </w:r>
      <w:r>
        <w:rPr>
          <w:color w:val="231F20"/>
          <w:spacing w:val="-14"/>
          <w:sz w:val="20"/>
        </w:rPr>
        <w:t> </w:t>
      </w:r>
      <w:r>
        <w:rPr>
          <w:color w:val="231F20"/>
          <w:sz w:val="20"/>
        </w:rPr>
        <w:t>decrease</w:t>
      </w:r>
      <w:r>
        <w:rPr>
          <w:color w:val="231F20"/>
          <w:spacing w:val="-14"/>
          <w:sz w:val="20"/>
        </w:rPr>
        <w:t> </w:t>
      </w:r>
      <w:r>
        <w:rPr>
          <w:color w:val="231F20"/>
          <w:sz w:val="20"/>
        </w:rPr>
        <w:t>significantly</w:t>
      </w:r>
      <w:r>
        <w:rPr>
          <w:color w:val="231F20"/>
          <w:spacing w:val="-14"/>
          <w:sz w:val="20"/>
        </w:rPr>
        <w:t> </w:t>
      </w:r>
      <w:r>
        <w:rPr>
          <w:color w:val="231F20"/>
          <w:sz w:val="20"/>
        </w:rPr>
        <w:t>related</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2015</w:t>
      </w:r>
      <w:r>
        <w:rPr>
          <w:color w:val="231F20"/>
          <w:spacing w:val="-14"/>
          <w:sz w:val="20"/>
        </w:rPr>
        <w:t> </w:t>
      </w:r>
      <w:r>
        <w:rPr>
          <w:color w:val="231F20"/>
          <w:sz w:val="20"/>
        </w:rPr>
        <w:t>positions</w:t>
      </w:r>
      <w:r>
        <w:rPr>
          <w:color w:val="231F20"/>
          <w:spacing w:val="-14"/>
          <w:sz w:val="20"/>
        </w:rPr>
        <w:t> </w:t>
      </w:r>
      <w:r>
        <w:rPr>
          <w:color w:val="231F20"/>
          <w:sz w:val="20"/>
        </w:rPr>
        <w:t>prior</w:t>
      </w:r>
      <w:r>
        <w:rPr>
          <w:color w:val="231F20"/>
          <w:spacing w:val="-14"/>
          <w:sz w:val="20"/>
        </w:rPr>
        <w:t> </w:t>
      </w:r>
      <w:r>
        <w:rPr>
          <w:color w:val="231F20"/>
          <w:sz w:val="20"/>
        </w:rPr>
        <w:t>to</w:t>
      </w:r>
      <w:r>
        <w:rPr>
          <w:color w:val="231F20"/>
          <w:spacing w:val="-14"/>
          <w:sz w:val="20"/>
        </w:rPr>
        <w:t> </w:t>
      </w:r>
      <w:r>
        <w:rPr>
          <w:color w:val="231F20"/>
          <w:sz w:val="20"/>
        </w:rPr>
        <w:t>these</w:t>
      </w:r>
      <w:r>
        <w:rPr>
          <w:color w:val="231F20"/>
          <w:spacing w:val="-14"/>
          <w:sz w:val="20"/>
        </w:rPr>
        <w:t> </w:t>
      </w:r>
      <w:r>
        <w:rPr>
          <w:color w:val="231F20"/>
          <w:sz w:val="20"/>
        </w:rPr>
        <w:t>contracts</w:t>
      </w:r>
      <w:r>
        <w:rPr>
          <w:color w:val="231F20"/>
          <w:spacing w:val="-14"/>
          <w:sz w:val="20"/>
        </w:rPr>
        <w:t> </w:t>
      </w:r>
      <w:r>
        <w:rPr>
          <w:color w:val="231F20"/>
          <w:sz w:val="20"/>
        </w:rPr>
        <w:t>settling,</w:t>
      </w:r>
      <w:r>
        <w:rPr>
          <w:color w:val="231F20"/>
          <w:spacing w:val="-14"/>
          <w:sz w:val="20"/>
        </w:rPr>
        <w:t> </w:t>
      </w:r>
      <w:r>
        <w:rPr>
          <w:color w:val="231F20"/>
          <w:sz w:val="20"/>
        </w:rPr>
        <w:t>the</w:t>
      </w:r>
      <w:r>
        <w:rPr>
          <w:color w:val="231F20"/>
          <w:spacing w:val="-14"/>
          <w:sz w:val="20"/>
        </w:rPr>
        <w:t> </w:t>
      </w:r>
      <w:r>
        <w:rPr>
          <w:color w:val="231F20"/>
          <w:sz w:val="20"/>
        </w:rPr>
        <w:t>losses</w:t>
      </w:r>
      <w:r>
        <w:rPr>
          <w:color w:val="231F20"/>
          <w:spacing w:val="-14"/>
          <w:sz w:val="20"/>
        </w:rPr>
        <w:t> </w:t>
      </w:r>
      <w:r>
        <w:rPr>
          <w:color w:val="231F20"/>
          <w:sz w:val="20"/>
        </w:rPr>
        <w:t>incurred at</w:t>
      </w:r>
      <w:r>
        <w:rPr>
          <w:color w:val="231F20"/>
          <w:spacing w:val="-14"/>
          <w:sz w:val="20"/>
        </w:rPr>
        <w:t> </w:t>
      </w:r>
      <w:r>
        <w:rPr>
          <w:color w:val="231F20"/>
          <w:sz w:val="20"/>
        </w:rPr>
        <w:t>settlement</w:t>
      </w:r>
      <w:r>
        <w:rPr>
          <w:color w:val="231F20"/>
          <w:spacing w:val="-14"/>
          <w:sz w:val="20"/>
        </w:rPr>
        <w:t> </w:t>
      </w:r>
      <w:r>
        <w:rPr>
          <w:color w:val="231F20"/>
          <w:sz w:val="20"/>
        </w:rPr>
        <w:t>could</w:t>
      </w:r>
      <w:r>
        <w:rPr>
          <w:color w:val="231F20"/>
          <w:spacing w:val="-14"/>
          <w:sz w:val="20"/>
        </w:rPr>
        <w:t> </w:t>
      </w:r>
      <w:r>
        <w:rPr>
          <w:color w:val="231F20"/>
          <w:sz w:val="20"/>
        </w:rPr>
        <w:t>be</w:t>
      </w:r>
      <w:r>
        <w:rPr>
          <w:color w:val="231F20"/>
          <w:spacing w:val="-14"/>
          <w:sz w:val="20"/>
        </w:rPr>
        <w:t> </w:t>
      </w:r>
      <w:r>
        <w:rPr>
          <w:color w:val="231F20"/>
          <w:sz w:val="20"/>
        </w:rPr>
        <w:t>slightly</w:t>
      </w:r>
      <w:r>
        <w:rPr>
          <w:color w:val="231F20"/>
          <w:spacing w:val="-14"/>
          <w:sz w:val="20"/>
        </w:rPr>
        <w:t> </w:t>
      </w:r>
      <w:r>
        <w:rPr>
          <w:color w:val="231F20"/>
          <w:sz w:val="20"/>
        </w:rPr>
        <w:t>lower</w:t>
      </w:r>
      <w:r>
        <w:rPr>
          <w:color w:val="231F20"/>
          <w:spacing w:val="-14"/>
          <w:sz w:val="20"/>
        </w:rPr>
        <w:t> </w:t>
      </w:r>
      <w:r>
        <w:rPr>
          <w:color w:val="231F20"/>
          <w:sz w:val="20"/>
        </w:rPr>
        <w:t>or</w:t>
      </w:r>
      <w:r>
        <w:rPr>
          <w:color w:val="231F20"/>
          <w:spacing w:val="-14"/>
          <w:sz w:val="20"/>
        </w:rPr>
        <w:t> </w:t>
      </w:r>
      <w:r>
        <w:rPr>
          <w:color w:val="231F20"/>
          <w:sz w:val="20"/>
        </w:rPr>
        <w:t>higher</w:t>
      </w:r>
      <w:r>
        <w:rPr>
          <w:color w:val="231F20"/>
          <w:spacing w:val="-14"/>
          <w:sz w:val="20"/>
        </w:rPr>
        <w:t> </w:t>
      </w:r>
      <w:r>
        <w:rPr>
          <w:color w:val="231F20"/>
          <w:sz w:val="20"/>
        </w:rPr>
        <w:t>than</w:t>
      </w:r>
      <w:r>
        <w:rPr>
          <w:color w:val="231F20"/>
          <w:spacing w:val="-14"/>
          <w:sz w:val="20"/>
        </w:rPr>
        <w:t> </w:t>
      </w:r>
      <w:r>
        <w:rPr>
          <w:color w:val="231F20"/>
          <w:sz w:val="20"/>
        </w:rPr>
        <w:t>currently</w:t>
      </w:r>
      <w:r>
        <w:rPr>
          <w:color w:val="231F20"/>
          <w:spacing w:val="-14"/>
          <w:sz w:val="20"/>
        </w:rPr>
        <w:t> </w:t>
      </w:r>
      <w:r>
        <w:rPr>
          <w:color w:val="231F20"/>
          <w:sz w:val="20"/>
        </w:rPr>
        <w:t>expected</w:t>
      </w:r>
      <w:r>
        <w:rPr>
          <w:color w:val="231F20"/>
          <w:spacing w:val="-14"/>
          <w:sz w:val="20"/>
        </w:rPr>
        <w:t> </w:t>
      </w:r>
      <w:r>
        <w:rPr>
          <w:color w:val="231F20"/>
          <w:sz w:val="20"/>
        </w:rPr>
        <w:t>amounts</w:t>
      </w:r>
      <w:r>
        <w:rPr>
          <w:color w:val="231F20"/>
          <w:spacing w:val="-14"/>
          <w:sz w:val="20"/>
        </w:rPr>
        <w:t> </w:t>
      </w:r>
      <w:r>
        <w:rPr>
          <w:color w:val="231F20"/>
          <w:sz w:val="20"/>
        </w:rPr>
        <w:t>during</w:t>
      </w:r>
      <w:r>
        <w:rPr>
          <w:color w:val="231F20"/>
          <w:spacing w:val="-14"/>
          <w:sz w:val="20"/>
        </w:rPr>
        <w:t> </w:t>
      </w:r>
      <w:r>
        <w:rPr>
          <w:color w:val="231F20"/>
          <w:sz w:val="20"/>
        </w:rPr>
        <w:t>that</w:t>
      </w:r>
      <w:r>
        <w:rPr>
          <w:color w:val="231F20"/>
          <w:spacing w:val="-14"/>
          <w:sz w:val="20"/>
        </w:rPr>
        <w:t> </w:t>
      </w:r>
      <w:r>
        <w:rPr>
          <w:color w:val="231F20"/>
          <w:sz w:val="20"/>
        </w:rPr>
        <w:t>period.</w:t>
      </w:r>
    </w:p>
    <w:p>
      <w:pPr>
        <w:spacing w:after="0" w:line="249" w:lineRule="auto"/>
        <w:jc w:val="left"/>
        <w:rPr>
          <w:sz w:val="20"/>
        </w:rPr>
        <w:sectPr>
          <w:pgSz w:w="11880" w:h="15480"/>
          <w:pgMar w:header="0" w:footer="1240" w:top="1240" w:bottom="1420" w:left="1260" w:right="1260"/>
        </w:sectPr>
      </w:pPr>
    </w:p>
    <w:p>
      <w:pPr>
        <w:pStyle w:val="BodyText"/>
        <w:spacing w:line="247" w:lineRule="auto" w:before="74"/>
        <w:ind w:left="120" w:right="117" w:firstLine="720"/>
        <w:jc w:val="both"/>
      </w:pPr>
      <w:r>
        <w:rPr>
          <w:color w:val="231F20"/>
        </w:rPr>
        <w:t>As a result of applying hedge accounting in prior periods, a portion of the amounts in Accumulated other comprehensive income (loss) (“AOCI”) are considered “frozen,” and these  amounts will be recognized in earnings in future periods when the underlying fuel derivative contracts settle. The following table displays the Company’s estimated fair value of remaining fuel derivative contracts (not considering the impact of the cash collateral provided to or received from counterparties (See Note 10 to the Consolidated Financial Statements for further information), as well as the amount of deferred gains/losses in AOCI at December 31, 2014, and the expected future periods in which these items are expected to settle and/or be recognized in earnings (in</w:t>
      </w:r>
      <w:r>
        <w:rPr>
          <w:color w:val="231F20"/>
          <w:spacing w:val="-2"/>
        </w:rPr>
        <w:t> </w:t>
      </w:r>
      <w:r>
        <w:rPr>
          <w:color w:val="231F20"/>
        </w:rPr>
        <w:t>millions):</w:t>
      </w:r>
    </w:p>
    <w:p>
      <w:pPr>
        <w:spacing w:after="0" w:line="247" w:lineRule="auto"/>
        <w:jc w:val="both"/>
        <w:sectPr>
          <w:pgSz w:w="11880" w:h="15480"/>
          <w:pgMar w:header="0" w:footer="1240" w:top="1240" w:bottom="1420" w:left="1260" w:right="1260"/>
        </w:sectPr>
      </w:pPr>
    </w:p>
    <w:p>
      <w:pPr>
        <w:spacing w:line="200" w:lineRule="exact" w:before="188"/>
        <w:ind w:left="3930" w:right="-17" w:firstLine="117"/>
        <w:jc w:val="left"/>
        <w:rPr>
          <w:b/>
          <w:sz w:val="20"/>
        </w:rPr>
      </w:pPr>
      <w:r>
        <w:rPr/>
        <w:pict>
          <v:shape style="position:absolute;margin-left:69pt;margin-top:28.099987pt;width:456.25pt;height:92.55pt;mso-position-horizontal-relative:page;mso-position-vertical-relative:paragraph;z-index:24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200"/>
                    <w:gridCol w:w="2840"/>
                    <w:gridCol w:w="300"/>
                    <w:gridCol w:w="2740"/>
                  </w:tblGrid>
                  <w:tr>
                    <w:trPr>
                      <w:trHeight w:val="256" w:hRule="exact"/>
                    </w:trPr>
                    <w:tc>
                      <w:tcPr>
                        <w:tcW w:w="3040" w:type="dxa"/>
                      </w:tcPr>
                      <w:p>
                        <w:pPr>
                          <w:pStyle w:val="TableParagraph"/>
                          <w:spacing w:line="229" w:lineRule="exact" w:before="0"/>
                          <w:ind w:right="1308"/>
                          <w:jc w:val="right"/>
                          <w:rPr>
                            <w:b/>
                            <w:sz w:val="20"/>
                          </w:rPr>
                        </w:pPr>
                        <w:r>
                          <w:rPr>
                            <w:b/>
                            <w:color w:val="231F20"/>
                            <w:sz w:val="20"/>
                          </w:rPr>
                          <w:t>Year</w:t>
                        </w:r>
                      </w:p>
                    </w:tc>
                    <w:tc>
                      <w:tcPr>
                        <w:tcW w:w="200" w:type="dxa"/>
                      </w:tcPr>
                      <w:p>
                        <w:pPr/>
                      </w:p>
                    </w:tc>
                    <w:tc>
                      <w:tcPr>
                        <w:tcW w:w="2840" w:type="dxa"/>
                        <w:tcBorders>
                          <w:bottom w:val="single" w:sz="8" w:space="0" w:color="231F20"/>
                        </w:tcBorders>
                      </w:tcPr>
                      <w:p>
                        <w:pPr>
                          <w:pStyle w:val="TableParagraph"/>
                          <w:spacing w:line="229" w:lineRule="exact" w:before="0"/>
                          <w:ind w:left="502"/>
                          <w:rPr>
                            <w:b/>
                            <w:sz w:val="20"/>
                          </w:rPr>
                        </w:pPr>
                        <w:r>
                          <w:rPr>
                            <w:b/>
                            <w:color w:val="231F20"/>
                            <w:sz w:val="20"/>
                          </w:rPr>
                          <w:t>at December 31, 2014</w:t>
                        </w:r>
                      </w:p>
                    </w:tc>
                    <w:tc>
                      <w:tcPr>
                        <w:tcW w:w="300" w:type="dxa"/>
                      </w:tcPr>
                      <w:p>
                        <w:pPr/>
                      </w:p>
                    </w:tc>
                    <w:tc>
                      <w:tcPr>
                        <w:tcW w:w="2740" w:type="dxa"/>
                        <w:tcBorders>
                          <w:bottom w:val="single" w:sz="8" w:space="0" w:color="231F20"/>
                        </w:tcBorders>
                      </w:tcPr>
                      <w:p>
                        <w:pPr>
                          <w:pStyle w:val="TableParagraph"/>
                          <w:spacing w:line="229" w:lineRule="exact" w:before="0"/>
                          <w:ind w:left="676"/>
                          <w:rPr>
                            <w:b/>
                            <w:sz w:val="20"/>
                          </w:rPr>
                        </w:pPr>
                        <w:r>
                          <w:rPr>
                            <w:b/>
                            <w:color w:val="231F20"/>
                            <w:sz w:val="20"/>
                          </w:rPr>
                          <w:t>2014 (net of tax)</w:t>
                        </w:r>
                      </w:p>
                    </w:tc>
                  </w:tr>
                  <w:tr>
                    <w:trPr>
                      <w:trHeight w:val="310" w:hRule="exact"/>
                    </w:trPr>
                    <w:tc>
                      <w:tcPr>
                        <w:tcW w:w="3040" w:type="dxa"/>
                        <w:shd w:val="clear" w:color="auto" w:fill="CCECFC"/>
                      </w:tcPr>
                      <w:p>
                        <w:pPr>
                          <w:pStyle w:val="TableParagraph"/>
                          <w:ind w:right="1319"/>
                          <w:jc w:val="right"/>
                          <w:rPr>
                            <w:sz w:val="20"/>
                          </w:rPr>
                        </w:pPr>
                        <w:r>
                          <w:rPr>
                            <w:color w:val="231F20"/>
                            <w:sz w:val="20"/>
                          </w:rPr>
                          <w:t>2015</w:t>
                        </w:r>
                      </w:p>
                    </w:tc>
                    <w:tc>
                      <w:tcPr>
                        <w:tcW w:w="200" w:type="dxa"/>
                        <w:shd w:val="clear" w:color="auto" w:fill="CCECFC"/>
                      </w:tcPr>
                      <w:p>
                        <w:pPr/>
                      </w:p>
                    </w:tc>
                    <w:tc>
                      <w:tcPr>
                        <w:tcW w:w="2840" w:type="dxa"/>
                        <w:tcBorders>
                          <w:top w:val="single" w:sz="8" w:space="0" w:color="231F20"/>
                        </w:tcBorders>
                        <w:shd w:val="clear" w:color="auto" w:fill="CCECFC"/>
                      </w:tcPr>
                      <w:p>
                        <w:pPr>
                          <w:pStyle w:val="TableParagraph"/>
                          <w:tabs>
                            <w:tab w:pos="2299" w:val="left" w:leader="none"/>
                          </w:tabs>
                          <w:jc w:val="right"/>
                          <w:rPr>
                            <w:sz w:val="20"/>
                          </w:rPr>
                        </w:pPr>
                        <w:r>
                          <w:rPr>
                            <w:color w:val="231F20"/>
                            <w:sz w:val="20"/>
                          </w:rPr>
                          <w:t>$</w:t>
                          <w:tab/>
                          <w:t>(242)</w:t>
                        </w:r>
                      </w:p>
                    </w:tc>
                    <w:tc>
                      <w:tcPr>
                        <w:tcW w:w="300" w:type="dxa"/>
                        <w:shd w:val="clear" w:color="auto" w:fill="CCECFC"/>
                      </w:tcPr>
                      <w:p>
                        <w:pPr/>
                      </w:p>
                    </w:tc>
                    <w:tc>
                      <w:tcPr>
                        <w:tcW w:w="2740" w:type="dxa"/>
                        <w:tcBorders>
                          <w:top w:val="single" w:sz="8" w:space="0" w:color="231F20"/>
                        </w:tcBorders>
                        <w:shd w:val="clear" w:color="auto" w:fill="CCECFC"/>
                      </w:tcPr>
                      <w:p>
                        <w:pPr>
                          <w:pStyle w:val="TableParagraph"/>
                          <w:tabs>
                            <w:tab w:pos="2299" w:val="left" w:leader="none"/>
                          </w:tabs>
                          <w:jc w:val="right"/>
                          <w:rPr>
                            <w:sz w:val="20"/>
                          </w:rPr>
                        </w:pPr>
                        <w:r>
                          <w:rPr>
                            <w:color w:val="231F20"/>
                            <w:sz w:val="20"/>
                          </w:rPr>
                          <w:t>$</w:t>
                          <w:tab/>
                          <w:t>(219)</w:t>
                        </w:r>
                      </w:p>
                    </w:tc>
                  </w:tr>
                  <w:tr>
                    <w:trPr>
                      <w:trHeight w:val="300" w:hRule="exact"/>
                    </w:trPr>
                    <w:tc>
                      <w:tcPr>
                        <w:tcW w:w="3040" w:type="dxa"/>
                      </w:tcPr>
                      <w:p>
                        <w:pPr>
                          <w:pStyle w:val="TableParagraph"/>
                          <w:ind w:right="1319"/>
                          <w:jc w:val="right"/>
                          <w:rPr>
                            <w:sz w:val="20"/>
                          </w:rPr>
                        </w:pPr>
                        <w:r>
                          <w:rPr>
                            <w:color w:val="231F20"/>
                            <w:sz w:val="20"/>
                          </w:rPr>
                          <w:t>2016</w:t>
                        </w:r>
                      </w:p>
                    </w:tc>
                    <w:tc>
                      <w:tcPr>
                        <w:tcW w:w="200" w:type="dxa"/>
                      </w:tcPr>
                      <w:p>
                        <w:pPr/>
                      </w:p>
                    </w:tc>
                    <w:tc>
                      <w:tcPr>
                        <w:tcW w:w="2840" w:type="dxa"/>
                      </w:tcPr>
                      <w:p>
                        <w:pPr>
                          <w:pStyle w:val="TableParagraph"/>
                          <w:jc w:val="right"/>
                          <w:rPr>
                            <w:sz w:val="20"/>
                          </w:rPr>
                        </w:pPr>
                        <w:r>
                          <w:rPr>
                            <w:color w:val="231F20"/>
                            <w:sz w:val="20"/>
                          </w:rPr>
                          <w:t>(472)</w:t>
                        </w:r>
                      </w:p>
                    </w:tc>
                    <w:tc>
                      <w:tcPr>
                        <w:tcW w:w="300" w:type="dxa"/>
                      </w:tcPr>
                      <w:p>
                        <w:pPr/>
                      </w:p>
                    </w:tc>
                    <w:tc>
                      <w:tcPr>
                        <w:tcW w:w="2740" w:type="dxa"/>
                      </w:tcPr>
                      <w:p>
                        <w:pPr>
                          <w:pStyle w:val="TableParagraph"/>
                          <w:jc w:val="right"/>
                          <w:rPr>
                            <w:sz w:val="20"/>
                          </w:rPr>
                        </w:pPr>
                        <w:r>
                          <w:rPr>
                            <w:color w:val="231F20"/>
                            <w:sz w:val="20"/>
                          </w:rPr>
                          <w:t>(347)</w:t>
                        </w:r>
                      </w:p>
                    </w:tc>
                  </w:tr>
                  <w:tr>
                    <w:trPr>
                      <w:trHeight w:val="300" w:hRule="exact"/>
                    </w:trPr>
                    <w:tc>
                      <w:tcPr>
                        <w:tcW w:w="3040" w:type="dxa"/>
                        <w:shd w:val="clear" w:color="auto" w:fill="CCECFC"/>
                      </w:tcPr>
                      <w:p>
                        <w:pPr>
                          <w:pStyle w:val="TableParagraph"/>
                          <w:ind w:right="1319"/>
                          <w:jc w:val="right"/>
                          <w:rPr>
                            <w:sz w:val="20"/>
                          </w:rPr>
                        </w:pPr>
                        <w:r>
                          <w:rPr>
                            <w:color w:val="231F20"/>
                            <w:sz w:val="20"/>
                          </w:rPr>
                          <w:t>2017</w:t>
                        </w:r>
                      </w:p>
                    </w:tc>
                    <w:tc>
                      <w:tcPr>
                        <w:tcW w:w="200" w:type="dxa"/>
                        <w:shd w:val="clear" w:color="auto" w:fill="CCECFC"/>
                      </w:tcPr>
                      <w:p>
                        <w:pPr/>
                      </w:p>
                    </w:tc>
                    <w:tc>
                      <w:tcPr>
                        <w:tcW w:w="2840" w:type="dxa"/>
                        <w:shd w:val="clear" w:color="auto" w:fill="CCECFC"/>
                      </w:tcPr>
                      <w:p>
                        <w:pPr>
                          <w:pStyle w:val="TableParagraph"/>
                          <w:jc w:val="right"/>
                          <w:rPr>
                            <w:sz w:val="20"/>
                          </w:rPr>
                        </w:pPr>
                        <w:r>
                          <w:rPr>
                            <w:color w:val="231F20"/>
                            <w:sz w:val="20"/>
                          </w:rPr>
                          <w:t>(287)</w:t>
                        </w:r>
                      </w:p>
                    </w:tc>
                    <w:tc>
                      <w:tcPr>
                        <w:tcW w:w="300" w:type="dxa"/>
                        <w:shd w:val="clear" w:color="auto" w:fill="CCECFC"/>
                      </w:tcPr>
                      <w:p>
                        <w:pPr/>
                      </w:p>
                    </w:tc>
                    <w:tc>
                      <w:tcPr>
                        <w:tcW w:w="2740" w:type="dxa"/>
                        <w:shd w:val="clear" w:color="auto" w:fill="CCECFC"/>
                      </w:tcPr>
                      <w:p>
                        <w:pPr>
                          <w:pStyle w:val="TableParagraph"/>
                          <w:jc w:val="right"/>
                          <w:rPr>
                            <w:sz w:val="20"/>
                          </w:rPr>
                        </w:pPr>
                        <w:r>
                          <w:rPr>
                            <w:color w:val="231F20"/>
                            <w:sz w:val="20"/>
                          </w:rPr>
                          <w:t>(157)</w:t>
                        </w:r>
                      </w:p>
                    </w:tc>
                  </w:tr>
                  <w:tr>
                    <w:trPr>
                      <w:trHeight w:val="315" w:hRule="exact"/>
                    </w:trPr>
                    <w:tc>
                      <w:tcPr>
                        <w:tcW w:w="3040" w:type="dxa"/>
                      </w:tcPr>
                      <w:p>
                        <w:pPr>
                          <w:pStyle w:val="TableParagraph"/>
                          <w:ind w:right="1319"/>
                          <w:jc w:val="right"/>
                          <w:rPr>
                            <w:sz w:val="20"/>
                          </w:rPr>
                        </w:pPr>
                        <w:r>
                          <w:rPr>
                            <w:color w:val="231F20"/>
                            <w:sz w:val="20"/>
                          </w:rPr>
                          <w:t>2018</w:t>
                        </w:r>
                      </w:p>
                    </w:tc>
                    <w:tc>
                      <w:tcPr>
                        <w:tcW w:w="200" w:type="dxa"/>
                      </w:tcPr>
                      <w:p>
                        <w:pPr/>
                      </w:p>
                    </w:tc>
                    <w:tc>
                      <w:tcPr>
                        <w:tcW w:w="2840" w:type="dxa"/>
                        <w:tcBorders>
                          <w:bottom w:val="single" w:sz="4" w:space="0" w:color="231F20"/>
                        </w:tcBorders>
                      </w:tcPr>
                      <w:p>
                        <w:pPr>
                          <w:pStyle w:val="TableParagraph"/>
                          <w:ind w:right="66"/>
                          <w:jc w:val="right"/>
                          <w:rPr>
                            <w:sz w:val="20"/>
                          </w:rPr>
                        </w:pPr>
                        <w:r>
                          <w:rPr>
                            <w:color w:val="231F20"/>
                            <w:sz w:val="20"/>
                          </w:rPr>
                          <w:t>—</w:t>
                        </w:r>
                      </w:p>
                    </w:tc>
                    <w:tc>
                      <w:tcPr>
                        <w:tcW w:w="300" w:type="dxa"/>
                      </w:tcPr>
                      <w:p>
                        <w:pPr/>
                      </w:p>
                    </w:tc>
                    <w:tc>
                      <w:tcPr>
                        <w:tcW w:w="2740" w:type="dxa"/>
                        <w:tcBorders>
                          <w:bottom w:val="single" w:sz="4" w:space="0" w:color="231F20"/>
                        </w:tcBorders>
                      </w:tcPr>
                      <w:p>
                        <w:pPr>
                          <w:pStyle w:val="TableParagraph"/>
                          <w:jc w:val="right"/>
                          <w:rPr>
                            <w:sz w:val="20"/>
                          </w:rPr>
                        </w:pPr>
                        <w:r>
                          <w:rPr>
                            <w:color w:val="231F20"/>
                            <w:sz w:val="20"/>
                          </w:rPr>
                          <w:t>(17)</w:t>
                        </w:r>
                      </w:p>
                    </w:tc>
                  </w:tr>
                  <w:tr>
                    <w:trPr>
                      <w:trHeight w:val="360" w:hRule="exact"/>
                    </w:trPr>
                    <w:tc>
                      <w:tcPr>
                        <w:tcW w:w="3040" w:type="dxa"/>
                        <w:shd w:val="clear" w:color="auto" w:fill="CCECFC"/>
                      </w:tcPr>
                      <w:p>
                        <w:pPr>
                          <w:pStyle w:val="TableParagraph"/>
                          <w:ind w:right="1307"/>
                          <w:jc w:val="right"/>
                          <w:rPr>
                            <w:sz w:val="20"/>
                          </w:rPr>
                        </w:pPr>
                        <w:r>
                          <w:rPr>
                            <w:color w:val="231F20"/>
                            <w:sz w:val="20"/>
                          </w:rPr>
                          <w:t>Total</w:t>
                        </w:r>
                      </w:p>
                    </w:tc>
                    <w:tc>
                      <w:tcPr>
                        <w:tcW w:w="200" w:type="dxa"/>
                        <w:shd w:val="clear" w:color="auto" w:fill="CCECFC"/>
                      </w:tcPr>
                      <w:p>
                        <w:pPr/>
                      </w:p>
                    </w:tc>
                    <w:tc>
                      <w:tcPr>
                        <w:tcW w:w="2840" w:type="dxa"/>
                        <w:tcBorders>
                          <w:top w:val="single" w:sz="4" w:space="0" w:color="231F20"/>
                          <w:bottom w:val="single" w:sz="4" w:space="0" w:color="231F20"/>
                        </w:tcBorders>
                        <w:shd w:val="clear" w:color="auto" w:fill="CCECFC"/>
                      </w:tcPr>
                      <w:p>
                        <w:pPr>
                          <w:pStyle w:val="TableParagraph"/>
                          <w:tabs>
                            <w:tab w:pos="2199" w:val="left" w:leader="none"/>
                          </w:tabs>
                          <w:jc w:val="right"/>
                          <w:rPr>
                            <w:sz w:val="20"/>
                          </w:rPr>
                        </w:pPr>
                        <w:r>
                          <w:rPr>
                            <w:color w:val="231F20"/>
                            <w:sz w:val="20"/>
                          </w:rPr>
                          <w:t>$</w:t>
                          <w:tab/>
                          <w:t>(1,001)</w:t>
                        </w:r>
                      </w:p>
                    </w:tc>
                    <w:tc>
                      <w:tcPr>
                        <w:tcW w:w="300" w:type="dxa"/>
                        <w:shd w:val="clear" w:color="auto" w:fill="CCECFC"/>
                      </w:tcPr>
                      <w:p>
                        <w:pPr/>
                      </w:p>
                    </w:tc>
                    <w:tc>
                      <w:tcPr>
                        <w:tcW w:w="2740" w:type="dxa"/>
                        <w:tcBorders>
                          <w:top w:val="single" w:sz="4" w:space="0" w:color="231F20"/>
                          <w:bottom w:val="single" w:sz="4" w:space="0" w:color="231F20"/>
                        </w:tcBorders>
                        <w:shd w:val="clear" w:color="auto" w:fill="CCECFC"/>
                      </w:tcPr>
                      <w:p>
                        <w:pPr>
                          <w:pStyle w:val="TableParagraph"/>
                          <w:tabs>
                            <w:tab w:pos="2299" w:val="left" w:leader="none"/>
                          </w:tabs>
                          <w:jc w:val="right"/>
                          <w:rPr>
                            <w:sz w:val="20"/>
                          </w:rPr>
                        </w:pPr>
                        <w:r>
                          <w:rPr>
                            <w:color w:val="231F20"/>
                            <w:sz w:val="20"/>
                          </w:rPr>
                          <w:t>$</w:t>
                          <w:tab/>
                          <w:t>(740)</w:t>
                        </w:r>
                      </w:p>
                    </w:tc>
                  </w:tr>
                </w:tbl>
                <w:p>
                  <w:pPr>
                    <w:pStyle w:val="BodyText"/>
                  </w:pPr>
                </w:p>
              </w:txbxContent>
            </v:textbox>
            <w10:wrap type="none"/>
          </v:shape>
        </w:pict>
      </w:r>
      <w:r>
        <w:rPr>
          <w:b/>
          <w:color w:val="231F20"/>
          <w:sz w:val="20"/>
        </w:rPr>
        <w:t>Fair value of fuel derivative contracts</w:t>
      </w:r>
    </w:p>
    <w:p>
      <w:pPr>
        <w:spacing w:line="200" w:lineRule="exact" w:before="188"/>
        <w:ind w:left="1116" w:right="357" w:hanging="28"/>
        <w:jc w:val="left"/>
        <w:rPr>
          <w:b/>
          <w:sz w:val="20"/>
        </w:rPr>
      </w:pPr>
      <w:r>
        <w:rPr/>
        <w:br w:type="column"/>
      </w:r>
      <w:r>
        <w:rPr>
          <w:b/>
          <w:color w:val="231F20"/>
          <w:sz w:val="20"/>
        </w:rPr>
        <w:t>Amount of losses deferred</w:t>
      </w:r>
      <w:r>
        <w:rPr>
          <w:b/>
          <w:color w:val="231F20"/>
          <w:w w:val="100"/>
          <w:sz w:val="20"/>
        </w:rPr>
        <w:t> </w:t>
      </w:r>
      <w:r>
        <w:rPr>
          <w:b/>
          <w:color w:val="231F20"/>
          <w:sz w:val="20"/>
        </w:rPr>
        <w:t>in AOCI at December 31,</w:t>
      </w:r>
    </w:p>
    <w:p>
      <w:pPr>
        <w:spacing w:after="0" w:line="200" w:lineRule="exact"/>
        <w:jc w:val="left"/>
        <w:rPr>
          <w:sz w:val="20"/>
        </w:rPr>
        <w:sectPr>
          <w:type w:val="continuous"/>
          <w:pgSz w:w="11880" w:h="15480"/>
          <w:pgMar w:top="1260" w:bottom="280" w:left="1260" w:right="1260"/>
          <w:cols w:num="2" w:equalWidth="0">
            <w:col w:w="5627" w:space="40"/>
            <w:col w:w="3693"/>
          </w:cols>
        </w:sectPr>
      </w:pPr>
    </w:p>
    <w:p>
      <w:pPr>
        <w:pStyle w:val="BodyText"/>
        <w:spacing w:before="1"/>
        <w:rPr>
          <w:b/>
          <w:sz w:val="19"/>
        </w:rPr>
      </w:pPr>
    </w:p>
    <w:p>
      <w:pPr>
        <w:pStyle w:val="BodyText"/>
        <w:spacing w:line="20" w:lineRule="exact"/>
        <w:ind w:left="110"/>
        <w:rPr>
          <w:sz w:val="2"/>
        </w:rPr>
      </w:pPr>
      <w:r>
        <w:rPr>
          <w:sz w:val="2"/>
        </w:rPr>
        <w:pict>
          <v:group style="width:153pt;height:1pt;mso-position-horizontal-relative:char;mso-position-vertical-relative:line" coordorigin="0,0" coordsize="3060,20">
            <v:line style="position:absolute" from="10,10" to="305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9"/>
        </w:rPr>
      </w:pPr>
      <w:r>
        <w:rPr/>
        <w:pict>
          <v:line style="position:absolute;mso-position-horizontal-relative:page;mso-position-vertical-relative:paragraph;z-index:2344;mso-wrap-distance-left:0;mso-wrap-distance-right:0" from="231pt,19.254694pt" to="373pt,19.254694pt" stroked="true" strokeweight=".5pt" strokecolor="#231f20">
            <v:stroke dashstyle="solid"/>
            <w10:wrap type="topAndBottom"/>
          </v:line>
        </w:pict>
      </w:r>
      <w:r>
        <w:rPr/>
        <w:pict>
          <v:line style="position:absolute;mso-position-horizontal-relative:page;mso-position-vertical-relative:paragraph;z-index:2368;mso-wrap-distance-left:0;mso-wrap-distance-right:0" from="388pt,19.254694pt" to="525pt,19.254694pt" stroked="true" strokeweight=".5pt" strokecolor="#231f20">
            <v:stroke dashstyle="solid"/>
            <w10:wrap type="topAndBottom"/>
          </v:line>
        </w:pict>
      </w:r>
    </w:p>
    <w:p>
      <w:pPr>
        <w:pStyle w:val="BodyText"/>
        <w:spacing w:before="4"/>
        <w:rPr>
          <w:b/>
          <w:sz w:val="15"/>
        </w:rPr>
      </w:pPr>
    </w:p>
    <w:p>
      <w:pPr>
        <w:pStyle w:val="BodyText"/>
        <w:spacing w:line="247" w:lineRule="auto" w:before="93"/>
        <w:ind w:left="120" w:right="117" w:firstLine="720"/>
        <w:jc w:val="both"/>
      </w:pPr>
      <w:r>
        <w:rPr>
          <w:color w:val="231F20"/>
        </w:rPr>
        <w:t>Based on forward market prices and the amounts in the above table (and excluding any other subsequent changes to the fuel hedge portfolio), the Company’s jet fuel costs per gallon could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a sensitivity table for first quarter 2015, and full year 2015, jet fuel prices at different crude oil assumptions as of January 16, 2015, and for expected premium costs associated with settling contracts each period, respectively.</w:t>
      </w:r>
    </w:p>
    <w:p>
      <w:pPr>
        <w:spacing w:line="200" w:lineRule="exact" w:before="189" w:after="19"/>
        <w:ind w:left="6297" w:right="501" w:hanging="1263"/>
        <w:jc w:val="left"/>
        <w:rPr>
          <w:b/>
          <w:sz w:val="20"/>
        </w:rPr>
      </w:pPr>
      <w:r>
        <w:rPr>
          <w:b/>
          <w:color w:val="231F20"/>
          <w:sz w:val="20"/>
        </w:rPr>
        <w:t>Estimated economic jet fuel price per gallon, including taxes</w:t>
      </w:r>
    </w:p>
    <w:p>
      <w:pPr>
        <w:pStyle w:val="BodyText"/>
        <w:spacing w:line="20" w:lineRule="exact"/>
        <w:ind w:left="4630"/>
        <w:rPr>
          <w:sz w:val="2"/>
        </w:rPr>
      </w:pPr>
      <w:r>
        <w:rPr>
          <w:sz w:val="2"/>
        </w:rPr>
        <w:pict>
          <v:group style="width:231pt;height:1pt;mso-position-horizontal-relative:char;mso-position-vertical-relative:line" coordorigin="0,0" coordsize="4620,20">
            <v:line style="position:absolute" from="10,10" to="4610,10" stroked="true" strokeweight="1pt" strokecolor="#231f20">
              <v:stroke dashstyle="solid"/>
            </v:line>
          </v:group>
        </w:pict>
      </w:r>
      <w:r>
        <w:rPr>
          <w:sz w:val="2"/>
        </w:rPr>
      </w:r>
    </w:p>
    <w:p>
      <w:pPr>
        <w:spacing w:before="13"/>
        <w:ind w:left="1199" w:right="0" w:firstLine="0"/>
        <w:jc w:val="left"/>
        <w:rPr>
          <w:b/>
          <w:sz w:val="20"/>
        </w:rPr>
      </w:pPr>
      <w:r>
        <w:rPr/>
        <w:pict>
          <v:shape style="position:absolute;margin-left:69pt;margin-top:10.685931pt;width:456pt;height:101.5pt;mso-position-horizontal-relative:page;mso-position-vertical-relative:paragraph;z-index:24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89"/>
                    <w:gridCol w:w="2392"/>
                    <w:gridCol w:w="2139"/>
                  </w:tblGrid>
                  <w:tr>
                    <w:trPr>
                      <w:trHeight w:val="236" w:hRule="exact"/>
                    </w:trPr>
                    <w:tc>
                      <w:tcPr>
                        <w:tcW w:w="4589" w:type="dxa"/>
                        <w:tcBorders>
                          <w:bottom w:val="single" w:sz="8" w:space="0" w:color="231F20"/>
                        </w:tcBorders>
                      </w:tcPr>
                      <w:p>
                        <w:pPr>
                          <w:pStyle w:val="TableParagraph"/>
                          <w:spacing w:line="229" w:lineRule="exact" w:before="0"/>
                          <w:ind w:left="248" w:right="516"/>
                          <w:jc w:val="center"/>
                          <w:rPr>
                            <w:b/>
                            <w:sz w:val="20"/>
                          </w:rPr>
                        </w:pPr>
                        <w:r>
                          <w:rPr>
                            <w:b/>
                            <w:color w:val="231F20"/>
                            <w:sz w:val="20"/>
                          </w:rPr>
                          <w:t>price per barrel</w:t>
                        </w:r>
                      </w:p>
                    </w:tc>
                    <w:tc>
                      <w:tcPr>
                        <w:tcW w:w="2392" w:type="dxa"/>
                        <w:tcBorders>
                          <w:bottom w:val="single" w:sz="8" w:space="0" w:color="231F20"/>
                        </w:tcBorders>
                      </w:tcPr>
                      <w:p>
                        <w:pPr>
                          <w:pStyle w:val="TableParagraph"/>
                          <w:spacing w:line="229" w:lineRule="exact" w:before="0"/>
                          <w:ind w:left="536"/>
                          <w:rPr>
                            <w:b/>
                            <w:sz w:val="20"/>
                          </w:rPr>
                        </w:pPr>
                        <w:r>
                          <w:rPr>
                            <w:b/>
                            <w:color w:val="231F20"/>
                            <w:sz w:val="20"/>
                          </w:rPr>
                          <w:t>1Q 2015 (2)</w:t>
                        </w:r>
                      </w:p>
                    </w:tc>
                    <w:tc>
                      <w:tcPr>
                        <w:tcW w:w="2139" w:type="dxa"/>
                        <w:tcBorders>
                          <w:bottom w:val="single" w:sz="8" w:space="0" w:color="231F20"/>
                        </w:tcBorders>
                      </w:tcPr>
                      <w:p>
                        <w:pPr>
                          <w:pStyle w:val="TableParagraph"/>
                          <w:spacing w:line="229" w:lineRule="exact" w:before="0"/>
                          <w:ind w:left="263"/>
                          <w:rPr>
                            <w:b/>
                            <w:sz w:val="20"/>
                          </w:rPr>
                        </w:pPr>
                        <w:r>
                          <w:rPr>
                            <w:b/>
                            <w:color w:val="231F20"/>
                            <w:sz w:val="20"/>
                          </w:rPr>
                          <w:t>Full Year 2015 (2)</w:t>
                        </w:r>
                      </w:p>
                    </w:tc>
                  </w:tr>
                  <w:tr>
                    <w:trPr>
                      <w:trHeight w:val="310" w:hRule="exact"/>
                    </w:trPr>
                    <w:tc>
                      <w:tcPr>
                        <w:tcW w:w="4589" w:type="dxa"/>
                        <w:tcBorders>
                          <w:top w:val="single" w:sz="8" w:space="0" w:color="231F20"/>
                        </w:tcBorders>
                        <w:shd w:val="clear" w:color="auto" w:fill="CCECFC"/>
                      </w:tcPr>
                      <w:p>
                        <w:pPr>
                          <w:pStyle w:val="TableParagraph"/>
                          <w:ind w:left="248" w:right="514"/>
                          <w:jc w:val="center"/>
                          <w:rPr>
                            <w:b/>
                            <w:sz w:val="20"/>
                          </w:rPr>
                        </w:pPr>
                        <w:r>
                          <w:rPr>
                            <w:b/>
                            <w:color w:val="231F20"/>
                            <w:sz w:val="20"/>
                          </w:rPr>
                          <w:t>$30</w:t>
                        </w:r>
                      </w:p>
                    </w:tc>
                    <w:tc>
                      <w:tcPr>
                        <w:tcW w:w="2392" w:type="dxa"/>
                        <w:tcBorders>
                          <w:top w:val="single" w:sz="8" w:space="0" w:color="231F20"/>
                        </w:tcBorders>
                        <w:shd w:val="clear" w:color="auto" w:fill="CCECFC"/>
                      </w:tcPr>
                      <w:p>
                        <w:pPr>
                          <w:pStyle w:val="TableParagraph"/>
                          <w:ind w:left="899"/>
                          <w:rPr>
                            <w:sz w:val="20"/>
                          </w:rPr>
                        </w:pPr>
                        <w:r>
                          <w:rPr>
                            <w:color w:val="231F20"/>
                            <w:sz w:val="20"/>
                          </w:rPr>
                          <w:t>$1.15 - $1.20</w:t>
                        </w:r>
                      </w:p>
                    </w:tc>
                    <w:tc>
                      <w:tcPr>
                        <w:tcW w:w="2139" w:type="dxa"/>
                        <w:tcBorders>
                          <w:top w:val="single" w:sz="8" w:space="0" w:color="231F20"/>
                        </w:tcBorders>
                        <w:shd w:val="clear" w:color="auto" w:fill="CCECFC"/>
                      </w:tcPr>
                      <w:p>
                        <w:pPr>
                          <w:pStyle w:val="TableParagraph"/>
                          <w:ind w:left="806"/>
                          <w:rPr>
                            <w:sz w:val="20"/>
                          </w:rPr>
                        </w:pPr>
                        <w:r>
                          <w:rPr>
                            <w:color w:val="231F20"/>
                            <w:sz w:val="20"/>
                          </w:rPr>
                          <w:t>$1.15 - $1.25</w:t>
                        </w:r>
                      </w:p>
                    </w:tc>
                  </w:tr>
                  <w:tr>
                    <w:trPr>
                      <w:trHeight w:val="300" w:hRule="exact"/>
                    </w:trPr>
                    <w:tc>
                      <w:tcPr>
                        <w:tcW w:w="4589" w:type="dxa"/>
                      </w:tcPr>
                      <w:p>
                        <w:pPr>
                          <w:pStyle w:val="TableParagraph"/>
                          <w:ind w:left="248" w:right="514"/>
                          <w:jc w:val="center"/>
                          <w:rPr>
                            <w:b/>
                            <w:sz w:val="20"/>
                          </w:rPr>
                        </w:pPr>
                        <w:r>
                          <w:rPr>
                            <w:b/>
                            <w:color w:val="231F20"/>
                            <w:sz w:val="20"/>
                          </w:rPr>
                          <w:t>$40</w:t>
                        </w:r>
                      </w:p>
                    </w:tc>
                    <w:tc>
                      <w:tcPr>
                        <w:tcW w:w="2392" w:type="dxa"/>
                      </w:tcPr>
                      <w:p>
                        <w:pPr>
                          <w:pStyle w:val="TableParagraph"/>
                          <w:ind w:left="899"/>
                          <w:rPr>
                            <w:sz w:val="20"/>
                          </w:rPr>
                        </w:pPr>
                        <w:r>
                          <w:rPr>
                            <w:color w:val="231F20"/>
                            <w:sz w:val="20"/>
                          </w:rPr>
                          <w:t>$1.50 - $1.55</w:t>
                        </w:r>
                      </w:p>
                    </w:tc>
                    <w:tc>
                      <w:tcPr>
                        <w:tcW w:w="2139" w:type="dxa"/>
                      </w:tcPr>
                      <w:p>
                        <w:pPr>
                          <w:pStyle w:val="TableParagraph"/>
                          <w:ind w:left="806"/>
                          <w:rPr>
                            <w:sz w:val="20"/>
                          </w:rPr>
                        </w:pPr>
                        <w:r>
                          <w:rPr>
                            <w:color w:val="231F20"/>
                            <w:sz w:val="20"/>
                          </w:rPr>
                          <w:t>$1.45 - $1.55</w:t>
                        </w:r>
                      </w:p>
                    </w:tc>
                  </w:tr>
                  <w:tr>
                    <w:trPr>
                      <w:trHeight w:val="300" w:hRule="exact"/>
                    </w:trPr>
                    <w:tc>
                      <w:tcPr>
                        <w:tcW w:w="4589" w:type="dxa"/>
                        <w:shd w:val="clear" w:color="auto" w:fill="CCECFC"/>
                      </w:tcPr>
                      <w:p>
                        <w:pPr>
                          <w:pStyle w:val="TableParagraph"/>
                          <w:ind w:left="248" w:right="516"/>
                          <w:jc w:val="center"/>
                          <w:rPr>
                            <w:b/>
                            <w:sz w:val="20"/>
                          </w:rPr>
                        </w:pPr>
                        <w:r>
                          <w:rPr>
                            <w:b/>
                            <w:color w:val="231F20"/>
                            <w:sz w:val="20"/>
                          </w:rPr>
                          <w:t>Current Market (1)</w:t>
                        </w:r>
                      </w:p>
                    </w:tc>
                    <w:tc>
                      <w:tcPr>
                        <w:tcW w:w="2392" w:type="dxa"/>
                        <w:shd w:val="clear" w:color="auto" w:fill="CCECFC"/>
                      </w:tcPr>
                      <w:p>
                        <w:pPr>
                          <w:pStyle w:val="TableParagraph"/>
                          <w:ind w:left="899"/>
                          <w:rPr>
                            <w:sz w:val="20"/>
                          </w:rPr>
                        </w:pPr>
                        <w:r>
                          <w:rPr>
                            <w:color w:val="231F20"/>
                            <w:sz w:val="20"/>
                          </w:rPr>
                          <w:t>$1.85 - $1.90</w:t>
                        </w:r>
                      </w:p>
                    </w:tc>
                    <w:tc>
                      <w:tcPr>
                        <w:tcW w:w="2139" w:type="dxa"/>
                        <w:shd w:val="clear" w:color="auto" w:fill="CCECFC"/>
                      </w:tcPr>
                      <w:p>
                        <w:pPr>
                          <w:pStyle w:val="TableParagraph"/>
                          <w:ind w:left="806"/>
                          <w:rPr>
                            <w:sz w:val="20"/>
                          </w:rPr>
                        </w:pPr>
                        <w:r>
                          <w:rPr>
                            <w:color w:val="231F20"/>
                            <w:sz w:val="20"/>
                          </w:rPr>
                          <w:t>$1.95 - $2.05</w:t>
                        </w:r>
                      </w:p>
                    </w:tc>
                  </w:tr>
                  <w:tr>
                    <w:trPr>
                      <w:trHeight w:val="300" w:hRule="exact"/>
                    </w:trPr>
                    <w:tc>
                      <w:tcPr>
                        <w:tcW w:w="4589" w:type="dxa"/>
                      </w:tcPr>
                      <w:p>
                        <w:pPr>
                          <w:pStyle w:val="TableParagraph"/>
                          <w:ind w:left="248" w:right="514"/>
                          <w:jc w:val="center"/>
                          <w:rPr>
                            <w:b/>
                            <w:sz w:val="20"/>
                          </w:rPr>
                        </w:pPr>
                        <w:r>
                          <w:rPr>
                            <w:b/>
                            <w:color w:val="231F20"/>
                            <w:sz w:val="20"/>
                          </w:rPr>
                          <w:t>$60</w:t>
                        </w:r>
                      </w:p>
                    </w:tc>
                    <w:tc>
                      <w:tcPr>
                        <w:tcW w:w="2392" w:type="dxa"/>
                      </w:tcPr>
                      <w:p>
                        <w:pPr>
                          <w:pStyle w:val="TableParagraph"/>
                          <w:ind w:left="899"/>
                          <w:rPr>
                            <w:sz w:val="20"/>
                          </w:rPr>
                        </w:pPr>
                        <w:r>
                          <w:rPr>
                            <w:color w:val="231F20"/>
                            <w:sz w:val="20"/>
                          </w:rPr>
                          <w:t>$2.15 - $2.20</w:t>
                        </w:r>
                      </w:p>
                    </w:tc>
                    <w:tc>
                      <w:tcPr>
                        <w:tcW w:w="2139" w:type="dxa"/>
                      </w:tcPr>
                      <w:p>
                        <w:pPr>
                          <w:pStyle w:val="TableParagraph"/>
                          <w:ind w:left="806"/>
                          <w:rPr>
                            <w:sz w:val="20"/>
                          </w:rPr>
                        </w:pPr>
                        <w:r>
                          <w:rPr>
                            <w:color w:val="231F20"/>
                            <w:sz w:val="20"/>
                          </w:rPr>
                          <w:t>$2.10 - $2.20</w:t>
                        </w:r>
                      </w:p>
                    </w:tc>
                  </w:tr>
                  <w:tr>
                    <w:trPr>
                      <w:trHeight w:val="300" w:hRule="exact"/>
                    </w:trPr>
                    <w:tc>
                      <w:tcPr>
                        <w:tcW w:w="4589" w:type="dxa"/>
                        <w:shd w:val="clear" w:color="auto" w:fill="CCECFC"/>
                      </w:tcPr>
                      <w:p>
                        <w:pPr>
                          <w:pStyle w:val="TableParagraph"/>
                          <w:ind w:left="248" w:right="514"/>
                          <w:jc w:val="center"/>
                          <w:rPr>
                            <w:b/>
                            <w:sz w:val="20"/>
                          </w:rPr>
                        </w:pPr>
                        <w:r>
                          <w:rPr>
                            <w:b/>
                            <w:color w:val="231F20"/>
                            <w:sz w:val="20"/>
                          </w:rPr>
                          <w:t>$70</w:t>
                        </w:r>
                      </w:p>
                    </w:tc>
                    <w:tc>
                      <w:tcPr>
                        <w:tcW w:w="2392" w:type="dxa"/>
                        <w:shd w:val="clear" w:color="auto" w:fill="CCECFC"/>
                      </w:tcPr>
                      <w:p>
                        <w:pPr>
                          <w:pStyle w:val="TableParagraph"/>
                          <w:ind w:left="899"/>
                          <w:rPr>
                            <w:sz w:val="20"/>
                          </w:rPr>
                        </w:pPr>
                        <w:r>
                          <w:rPr>
                            <w:color w:val="231F20"/>
                            <w:sz w:val="20"/>
                          </w:rPr>
                          <w:t>$2.45 - $2.50</w:t>
                        </w:r>
                      </w:p>
                    </w:tc>
                    <w:tc>
                      <w:tcPr>
                        <w:tcW w:w="2139" w:type="dxa"/>
                        <w:shd w:val="clear" w:color="auto" w:fill="CCECFC"/>
                      </w:tcPr>
                      <w:p>
                        <w:pPr>
                          <w:pStyle w:val="TableParagraph"/>
                          <w:ind w:left="806"/>
                          <w:rPr>
                            <w:sz w:val="20"/>
                          </w:rPr>
                        </w:pPr>
                        <w:r>
                          <w:rPr>
                            <w:color w:val="231F20"/>
                            <w:sz w:val="20"/>
                          </w:rPr>
                          <w:t>$2.40 - $2.50</w:t>
                        </w:r>
                      </w:p>
                    </w:tc>
                  </w:tr>
                  <w:tr>
                    <w:trPr>
                      <w:trHeight w:val="284" w:hRule="exact"/>
                    </w:trPr>
                    <w:tc>
                      <w:tcPr>
                        <w:tcW w:w="4589" w:type="dxa"/>
                      </w:tcPr>
                      <w:p>
                        <w:pPr>
                          <w:pStyle w:val="TableParagraph"/>
                          <w:ind w:left="248" w:right="516"/>
                          <w:jc w:val="center"/>
                          <w:rPr>
                            <w:b/>
                            <w:sz w:val="20"/>
                          </w:rPr>
                        </w:pPr>
                        <w:r>
                          <w:rPr>
                            <w:b/>
                            <w:color w:val="231F20"/>
                            <w:sz w:val="20"/>
                          </w:rPr>
                          <w:t>Estimated Fuel Hedge Premium Expense (3)</w:t>
                        </w:r>
                      </w:p>
                    </w:tc>
                    <w:tc>
                      <w:tcPr>
                        <w:tcW w:w="2392" w:type="dxa"/>
                      </w:tcPr>
                      <w:p>
                        <w:pPr>
                          <w:pStyle w:val="TableParagraph"/>
                          <w:ind w:left="734"/>
                          <w:rPr>
                            <w:sz w:val="20"/>
                          </w:rPr>
                        </w:pPr>
                        <w:r>
                          <w:rPr>
                            <w:color w:val="231F20"/>
                            <w:sz w:val="20"/>
                          </w:rPr>
                          <w:t>$25 - $30 million</w:t>
                        </w:r>
                      </w:p>
                    </w:tc>
                    <w:tc>
                      <w:tcPr>
                        <w:tcW w:w="2139" w:type="dxa"/>
                      </w:tcPr>
                      <w:p>
                        <w:pPr>
                          <w:pStyle w:val="TableParagraph"/>
                          <w:ind w:left="541"/>
                          <w:rPr>
                            <w:sz w:val="20"/>
                          </w:rPr>
                        </w:pPr>
                        <w:r>
                          <w:rPr>
                            <w:color w:val="231F20"/>
                            <w:sz w:val="20"/>
                          </w:rPr>
                          <w:t>$120 - $130 million</w:t>
                        </w:r>
                      </w:p>
                    </w:tc>
                  </w:tr>
                </w:tbl>
                <w:p>
                  <w:pPr>
                    <w:pStyle w:val="BodyText"/>
                  </w:pPr>
                </w:p>
              </w:txbxContent>
            </v:textbox>
            <w10:wrap type="none"/>
          </v:shape>
        </w:pict>
      </w:r>
      <w:r>
        <w:rPr>
          <w:b/>
          <w:color w:val="231F20"/>
          <w:sz w:val="20"/>
        </w:rPr>
        <w:t>Average Brent Crude Oil</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25"/>
        </w:rPr>
      </w:pPr>
    </w:p>
    <w:p>
      <w:pPr>
        <w:pStyle w:val="ListParagraph"/>
        <w:numPr>
          <w:ilvl w:val="0"/>
          <w:numId w:val="10"/>
        </w:numPr>
        <w:tabs>
          <w:tab w:pos="404" w:val="left" w:leader="none"/>
        </w:tabs>
        <w:spacing w:line="249" w:lineRule="auto" w:before="0" w:after="0"/>
        <w:ind w:left="120" w:right="242" w:firstLine="0"/>
        <w:jc w:val="left"/>
        <w:rPr>
          <w:sz w:val="20"/>
        </w:rPr>
      </w:pPr>
      <w:r>
        <w:rPr>
          <w:color w:val="231F20"/>
          <w:sz w:val="20"/>
        </w:rPr>
        <w:t>Brent crude oil average market prices as of January 16, 2015, were approximately $51 and $55 per barrel for first quarter 2015 and full year 2015,</w:t>
      </w:r>
      <w:r>
        <w:rPr>
          <w:color w:val="231F20"/>
          <w:spacing w:val="3"/>
          <w:sz w:val="20"/>
        </w:rPr>
        <w:t> </w:t>
      </w:r>
      <w:r>
        <w:rPr>
          <w:color w:val="231F20"/>
          <w:sz w:val="20"/>
        </w:rPr>
        <w:t>respectively.</w:t>
      </w:r>
    </w:p>
    <w:p>
      <w:pPr>
        <w:pStyle w:val="ListParagraph"/>
        <w:numPr>
          <w:ilvl w:val="0"/>
          <w:numId w:val="10"/>
        </w:numPr>
        <w:tabs>
          <w:tab w:pos="404" w:val="left" w:leader="none"/>
        </w:tabs>
        <w:spacing w:line="249" w:lineRule="auto" w:before="0" w:after="0"/>
        <w:ind w:left="120" w:right="144" w:firstLine="0"/>
        <w:jc w:val="left"/>
        <w:rPr>
          <w:sz w:val="20"/>
        </w:rPr>
      </w:pPr>
      <w:r>
        <w:rPr>
          <w:color w:val="231F20"/>
          <w:sz w:val="20"/>
        </w:rPr>
        <w:t>The economic fuel price per gallon sensitivities provided assume the relationship between Brent crude oil and refined products based on market prices as of January 16,</w:t>
      </w:r>
      <w:r>
        <w:rPr>
          <w:color w:val="231F20"/>
          <w:spacing w:val="5"/>
          <w:sz w:val="20"/>
        </w:rPr>
        <w:t> </w:t>
      </w:r>
      <w:r>
        <w:rPr>
          <w:color w:val="231F20"/>
          <w:sz w:val="20"/>
        </w:rPr>
        <w:t>2015.</w:t>
      </w:r>
    </w:p>
    <w:p>
      <w:pPr>
        <w:pStyle w:val="ListParagraph"/>
        <w:numPr>
          <w:ilvl w:val="0"/>
          <w:numId w:val="10"/>
        </w:numPr>
        <w:tabs>
          <w:tab w:pos="404" w:val="left" w:leader="none"/>
        </w:tabs>
        <w:spacing w:line="240" w:lineRule="auto" w:before="0" w:after="0"/>
        <w:ind w:left="404" w:right="0" w:hanging="284"/>
        <w:jc w:val="left"/>
        <w:rPr>
          <w:sz w:val="20"/>
        </w:rPr>
      </w:pPr>
      <w:r>
        <w:rPr>
          <w:color w:val="231F20"/>
          <w:sz w:val="20"/>
        </w:rPr>
        <w:t>Fuel hedge premium expense is recognized as a component of Other (gains) losses,</w:t>
      </w:r>
      <w:r>
        <w:rPr>
          <w:color w:val="231F20"/>
          <w:spacing w:val="5"/>
          <w:sz w:val="20"/>
        </w:rPr>
        <w:t> </w:t>
      </w:r>
      <w:r>
        <w:rPr>
          <w:color w:val="231F20"/>
          <w:sz w:val="20"/>
        </w:rPr>
        <w:t>net.</w:t>
      </w:r>
    </w:p>
    <w:p>
      <w:pPr>
        <w:pStyle w:val="BodyText"/>
        <w:spacing w:before="7"/>
        <w:rPr>
          <w:sz w:val="18"/>
        </w:rPr>
      </w:pPr>
    </w:p>
    <w:p>
      <w:pPr>
        <w:pStyle w:val="BodyText"/>
        <w:spacing w:line="247" w:lineRule="auto" w:before="1"/>
        <w:ind w:left="120" w:right="98" w:firstLine="720"/>
      </w:pPr>
      <w:r>
        <w:rPr>
          <w:color w:val="231F20"/>
        </w:rPr>
        <w:t>Maintenance materials and repairs expense for 2014 decreased by $102 million, or 9.4 percent, compared  with  2013.  On  a  per  ASM  basis,  Maintenance  materials  and  repairs  expense  for 2014</w:t>
      </w:r>
    </w:p>
    <w:p>
      <w:pPr>
        <w:spacing w:after="0" w:line="247" w:lineRule="auto"/>
        <w:sectPr>
          <w:type w:val="continuous"/>
          <w:pgSz w:w="11880" w:h="15480"/>
          <w:pgMar w:top="1260" w:bottom="280" w:left="1260" w:right="1260"/>
        </w:sectPr>
      </w:pPr>
    </w:p>
    <w:p>
      <w:pPr>
        <w:pStyle w:val="BodyText"/>
        <w:spacing w:line="247" w:lineRule="auto" w:before="74"/>
        <w:ind w:left="100" w:right="117"/>
        <w:jc w:val="both"/>
      </w:pPr>
      <w:r>
        <w:rPr>
          <w:color w:val="231F20"/>
        </w:rPr>
        <w:t>decreased 9.6 percent, compared with 2013. On both a dollar and per ASM basis, approximately         70 percent of the decrease was attributable to the completion of the </w:t>
      </w:r>
      <w:r>
        <w:rPr>
          <w:i/>
          <w:color w:val="231F20"/>
        </w:rPr>
        <w:t>Evolve </w:t>
      </w:r>
      <w:r>
        <w:rPr>
          <w:color w:val="231F20"/>
        </w:rPr>
        <w:t>aircraft interior retrofit program during 2013, and the majority of the remaining decrease was attributable to lower engine and avionics repair expense as a result of the 717-200 aircraft transitioning out of the Company’s fleet. The Company currently expects Maintenance materials and repairs expense per ASM for first quarter 2015 to be comparable to fourth quarter</w:t>
      </w:r>
      <w:r>
        <w:rPr>
          <w:color w:val="231F20"/>
          <w:spacing w:val="-4"/>
        </w:rPr>
        <w:t> </w:t>
      </w:r>
      <w:r>
        <w:rPr>
          <w:color w:val="231F20"/>
        </w:rPr>
        <w:t>2014.</w:t>
      </w:r>
    </w:p>
    <w:p>
      <w:pPr>
        <w:pStyle w:val="BodyText"/>
        <w:spacing w:line="247" w:lineRule="auto" w:before="172"/>
        <w:ind w:left="100" w:right="117" w:firstLine="720"/>
        <w:jc w:val="both"/>
      </w:pPr>
      <w:r>
        <w:rPr>
          <w:color w:val="231F20"/>
        </w:rPr>
        <w:t>Aircraft rentals expense for 2014 decreased by $66 million, or 18.3 percent, compared with 2013. On a per ASM basis, Aircraft rentals expense decreased 21.4 percent, compared with 2013. On both a dollar and per ASM basis, the decrease primarily was due to the transition of leased 717-200 aircraft out of the Company’s fleet for conversion and delivery to Delta. The Company currently expects Aircraft rentals expense per ASM for first quarter 2015 to decrease, compared with fourth quarter 2014.</w:t>
      </w:r>
    </w:p>
    <w:p>
      <w:pPr>
        <w:pStyle w:val="BodyText"/>
        <w:spacing w:line="247" w:lineRule="auto" w:before="172"/>
        <w:ind w:left="100" w:right="117" w:firstLine="720"/>
        <w:jc w:val="both"/>
      </w:pPr>
      <w:r>
        <w:rPr>
          <w:color w:val="231F20"/>
        </w:rPr>
        <w:t>Landing fees and other rentals expense for 2014 increased by $8 million, or 0.7 percent, compared with 2013. On a per ASM basis, Landing fees and other rentals expense for 2014 were flat, compared  with  2013.  The  dollar  increase  was  primarily  due  to  heavier  landing  weights  for   the</w:t>
      </w:r>
    </w:p>
    <w:p>
      <w:pPr>
        <w:pStyle w:val="BodyText"/>
        <w:spacing w:line="247" w:lineRule="auto"/>
        <w:ind w:left="100" w:right="117"/>
        <w:jc w:val="both"/>
      </w:pPr>
      <w:r>
        <w:rPr>
          <w:color w:val="231F20"/>
        </w:rPr>
        <w:t>-800 aircraft. The Company currently expects Landing fees and other rentals expense per ASM for first quarter 2015 to increase, compared with first quarter 2014.</w:t>
      </w:r>
    </w:p>
    <w:p>
      <w:pPr>
        <w:pStyle w:val="BodyText"/>
        <w:spacing w:line="247" w:lineRule="auto" w:before="173"/>
        <w:ind w:left="100" w:right="118" w:firstLine="720"/>
        <w:jc w:val="both"/>
      </w:pPr>
      <w:r>
        <w:rPr>
          <w:color w:val="231F20"/>
        </w:rPr>
        <w:t>Depreciation and amortization expense for 2014 increased by $71 million, or 8.2 percent, compared  with  2013.  On  a  per  ASM  basis,  Depreciation  and  amortization  expense       increased</w:t>
      </w:r>
    </w:p>
    <w:p>
      <w:pPr>
        <w:pStyle w:val="BodyText"/>
        <w:spacing w:line="247" w:lineRule="auto"/>
        <w:ind w:left="100" w:right="118"/>
        <w:jc w:val="both"/>
      </w:pPr>
      <w:r>
        <w:rPr>
          <w:color w:val="231F20"/>
        </w:rPr>
        <w:t>9.1 percent, compared with 2013. On both a dollar and per ASM basis, approximately half the increase was attributable to technology projects that have been placed into service over the last twelve months and approximately half was due to the purchase of new and used aircraft over the last twelve months. The Company currently expects Depreciation and amortization expense per ASM for first quarter 2015 to increase slightly, compared with first quarter 2014.</w:t>
      </w:r>
    </w:p>
    <w:p>
      <w:pPr>
        <w:pStyle w:val="BodyText"/>
        <w:spacing w:line="247" w:lineRule="auto" w:before="173"/>
        <w:ind w:left="100" w:right="118" w:firstLine="720"/>
        <w:jc w:val="both"/>
      </w:pPr>
      <w:r>
        <w:rPr>
          <w:color w:val="231F20"/>
        </w:rPr>
        <w:t>The Company incurred $126 million in Acquisition and integration costs in 2014, which primarily consisted of expense associated with the removal of the remaining B717 fleet from service during December 2014 (See Note 7 for further information), B717 fleet conversion costs, fleet integration, Employee training, facility integration, and technology integration projects. During 2013, the Company recorded $86 million in Acquisition and integration expense, which primarily consisted of B717 fleet conversion costs, fleet integration, Employee training, technology integration projects, and facility integration</w:t>
      </w:r>
      <w:r>
        <w:rPr>
          <w:color w:val="231F20"/>
          <w:spacing w:val="-2"/>
        </w:rPr>
        <w:t> </w:t>
      </w:r>
      <w:r>
        <w:rPr>
          <w:color w:val="231F20"/>
        </w:rPr>
        <w:t>expenses.</w:t>
      </w:r>
    </w:p>
    <w:p>
      <w:pPr>
        <w:pStyle w:val="BodyText"/>
        <w:spacing w:line="247" w:lineRule="auto" w:before="172"/>
        <w:ind w:left="100" w:right="117" w:firstLine="720"/>
        <w:jc w:val="both"/>
      </w:pPr>
      <w:r>
        <w:rPr>
          <w:color w:val="231F20"/>
        </w:rPr>
        <w:t>Other operating expenses for 2014 increased by $79 million, or 3.7 percent, compared with 2013. On a per ASM basis, Other operating expenses for 2014 increased 3.1 percent, compared with 2013. On both a dollar and per ASM basis, approximately 40 percent of the increase was the result of higher contract programming and consulting expenses, 20 percent of the increase was the result of maintenance agreement contract rate increases, and the remainder of the increase was due to individually insignificant items. The Company currently expects Other operating expenses per ASM  for first quarter 2015 to be comparable with fourth quarter</w:t>
      </w:r>
      <w:r>
        <w:rPr>
          <w:color w:val="231F20"/>
          <w:spacing w:val="-7"/>
        </w:rPr>
        <w:t> </w:t>
      </w:r>
      <w:r>
        <w:rPr>
          <w:color w:val="231F20"/>
        </w:rPr>
        <w:t>2014.</w:t>
      </w:r>
    </w:p>
    <w:p>
      <w:pPr>
        <w:pStyle w:val="BodyText"/>
        <w:spacing w:line="247" w:lineRule="auto" w:before="172"/>
        <w:ind w:left="100" w:right="117" w:firstLine="720"/>
        <w:jc w:val="both"/>
      </w:pPr>
      <w:r>
        <w:rPr>
          <w:color w:val="231F20"/>
        </w:rPr>
        <w:t>Through the 2003 Emergency Wartime Supplemental Appropriations Act, the federal government has provided renewable, supplemental, first-party war-risk insurance coverage to commercial carriers. The government-provided supplemental coverage from the Wartime Act expired on September 30, 2014. However, the Company proactively canceled its FAA provided War Risk Insurance coverage on May 15, 2014, and effective the same date, purchased comparable coverage via the commercial insurance marketplace.</w:t>
      </w:r>
    </w:p>
    <w:p>
      <w:pPr>
        <w:spacing w:after="0" w:line="247" w:lineRule="auto"/>
        <w:jc w:val="both"/>
        <w:sectPr>
          <w:pgSz w:w="11880" w:h="15480"/>
          <w:pgMar w:header="0" w:footer="1240" w:top="1240" w:bottom="1420" w:left="1280" w:right="1260"/>
        </w:sectPr>
      </w:pPr>
    </w:p>
    <w:p>
      <w:pPr>
        <w:pStyle w:val="Heading1"/>
      </w:pPr>
      <w:r>
        <w:rPr>
          <w:color w:val="231F20"/>
        </w:rPr>
        <w:t>Other</w:t>
      </w:r>
    </w:p>
    <w:p>
      <w:pPr>
        <w:pStyle w:val="BodyText"/>
        <w:spacing w:before="4"/>
        <w:rPr>
          <w:b/>
          <w:sz w:val="21"/>
        </w:rPr>
      </w:pPr>
    </w:p>
    <w:p>
      <w:pPr>
        <w:pStyle w:val="BodyText"/>
        <w:spacing w:line="247" w:lineRule="auto" w:before="1"/>
        <w:ind w:left="100" w:right="118" w:firstLine="720"/>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2014, and 2013:</w:t>
      </w:r>
    </w:p>
    <w:p>
      <w:pPr>
        <w:pStyle w:val="BodyText"/>
        <w:spacing w:before="3"/>
        <w:rPr>
          <w:sz w:val="17"/>
        </w:rPr>
      </w:pPr>
    </w:p>
    <w:p>
      <w:pPr>
        <w:spacing w:before="0" w:after="27"/>
        <w:ind w:left="6740" w:right="0" w:firstLine="0"/>
        <w:jc w:val="lef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60"/>
        <w:gridCol w:w="1346"/>
        <w:gridCol w:w="134"/>
        <w:gridCol w:w="1280"/>
      </w:tblGrid>
      <w:tr>
        <w:trPr>
          <w:trHeight w:val="280" w:hRule="exact"/>
        </w:trPr>
        <w:tc>
          <w:tcPr>
            <w:tcW w:w="6360" w:type="dxa"/>
          </w:tcPr>
          <w:p>
            <w:pPr>
              <w:pStyle w:val="TableParagraph"/>
              <w:spacing w:before="23"/>
              <w:ind w:left="60"/>
              <w:rPr>
                <w:sz w:val="20"/>
              </w:rPr>
            </w:pPr>
            <w:r>
              <w:rPr>
                <w:color w:val="231F20"/>
                <w:sz w:val="20"/>
              </w:rPr>
              <w:t>(in millions)</w:t>
            </w:r>
          </w:p>
        </w:tc>
        <w:tc>
          <w:tcPr>
            <w:tcW w:w="1346" w:type="dxa"/>
            <w:tcBorders>
              <w:top w:val="single" w:sz="8" w:space="0" w:color="231F20"/>
              <w:bottom w:val="single" w:sz="8" w:space="0" w:color="231F20"/>
            </w:tcBorders>
          </w:tcPr>
          <w:p>
            <w:pPr>
              <w:pStyle w:val="TableParagraph"/>
              <w:spacing w:before="13"/>
              <w:ind w:left="440"/>
              <w:rPr>
                <w:b/>
                <w:sz w:val="20"/>
              </w:rPr>
            </w:pPr>
            <w:r>
              <w:rPr>
                <w:b/>
                <w:color w:val="231F20"/>
                <w:sz w:val="20"/>
              </w:rPr>
              <w:t>2014</w:t>
            </w:r>
          </w:p>
        </w:tc>
        <w:tc>
          <w:tcPr>
            <w:tcW w:w="134" w:type="dxa"/>
            <w:tcBorders>
              <w:top w:val="single" w:sz="8" w:space="0" w:color="231F20"/>
            </w:tcBorders>
          </w:tcPr>
          <w:p>
            <w:pPr/>
          </w:p>
        </w:tc>
        <w:tc>
          <w:tcPr>
            <w:tcW w:w="1280" w:type="dxa"/>
            <w:tcBorders>
              <w:top w:val="single" w:sz="8" w:space="0" w:color="231F20"/>
              <w:bottom w:val="single" w:sz="8" w:space="0" w:color="231F20"/>
            </w:tcBorders>
          </w:tcPr>
          <w:p>
            <w:pPr>
              <w:pStyle w:val="TableParagraph"/>
              <w:spacing w:before="13"/>
              <w:jc w:val="center"/>
              <w:rPr>
                <w:b/>
                <w:sz w:val="20"/>
              </w:rPr>
            </w:pPr>
            <w:r>
              <w:rPr>
                <w:b/>
                <w:color w:val="231F20"/>
                <w:sz w:val="20"/>
              </w:rPr>
              <w:t>2013</w:t>
            </w:r>
          </w:p>
        </w:tc>
      </w:tr>
      <w:tr>
        <w:trPr>
          <w:trHeight w:val="310" w:hRule="exact"/>
        </w:trPr>
        <w:tc>
          <w:tcPr>
            <w:tcW w:w="6360" w:type="dxa"/>
            <w:shd w:val="clear" w:color="auto" w:fill="CCECFC"/>
          </w:tcPr>
          <w:p>
            <w:pPr>
              <w:pStyle w:val="TableParagraph"/>
              <w:spacing w:before="63"/>
              <w:ind w:left="60"/>
              <w:rPr>
                <w:sz w:val="20"/>
              </w:rPr>
            </w:pPr>
            <w:r>
              <w:rPr>
                <w:color w:val="231F20"/>
                <w:sz w:val="20"/>
              </w:rPr>
              <w:t>Mark-to-market impact from fuel contracts settling in future periods</w:t>
            </w:r>
          </w:p>
        </w:tc>
        <w:tc>
          <w:tcPr>
            <w:tcW w:w="1346" w:type="dxa"/>
            <w:tcBorders>
              <w:top w:val="single" w:sz="8" w:space="0" w:color="231F20"/>
            </w:tcBorders>
            <w:shd w:val="clear" w:color="auto" w:fill="CCECFC"/>
          </w:tcPr>
          <w:p>
            <w:pPr>
              <w:pStyle w:val="TableParagraph"/>
              <w:tabs>
                <w:tab w:pos="979" w:val="left" w:leader="none"/>
              </w:tabs>
              <w:rPr>
                <w:sz w:val="20"/>
              </w:rPr>
            </w:pPr>
            <w:r>
              <w:rPr>
                <w:color w:val="231F20"/>
                <w:sz w:val="20"/>
              </w:rPr>
              <w:t>$</w:t>
              <w:tab/>
              <w:t>251</w:t>
            </w:r>
          </w:p>
        </w:tc>
        <w:tc>
          <w:tcPr>
            <w:tcW w:w="134" w:type="dxa"/>
            <w:shd w:val="clear" w:color="auto" w:fill="CCECFC"/>
          </w:tcPr>
          <w:p>
            <w:pPr/>
          </w:p>
        </w:tc>
        <w:tc>
          <w:tcPr>
            <w:tcW w:w="1280" w:type="dxa"/>
            <w:tcBorders>
              <w:top w:val="single" w:sz="8" w:space="0" w:color="231F20"/>
            </w:tcBorders>
            <w:shd w:val="clear" w:color="auto" w:fill="CCECFC"/>
          </w:tcPr>
          <w:p>
            <w:pPr>
              <w:pStyle w:val="TableParagraph"/>
              <w:tabs>
                <w:tab w:pos="795" w:val="left" w:leader="none"/>
              </w:tabs>
              <w:ind w:right="48"/>
              <w:jc w:val="right"/>
              <w:rPr>
                <w:sz w:val="20"/>
              </w:rPr>
            </w:pPr>
            <w:r>
              <w:rPr>
                <w:color w:val="231F20"/>
                <w:sz w:val="20"/>
              </w:rPr>
              <w:t>$</w:t>
              <w:tab/>
              <w:t>(103)</w:t>
            </w:r>
          </w:p>
        </w:tc>
      </w:tr>
      <w:tr>
        <w:trPr>
          <w:trHeight w:val="300" w:hRule="exact"/>
        </w:trPr>
        <w:tc>
          <w:tcPr>
            <w:tcW w:w="6360" w:type="dxa"/>
          </w:tcPr>
          <w:p>
            <w:pPr>
              <w:pStyle w:val="TableParagraph"/>
              <w:ind w:left="60"/>
              <w:rPr>
                <w:sz w:val="20"/>
              </w:rPr>
            </w:pPr>
            <w:r>
              <w:rPr>
                <w:color w:val="231F20"/>
                <w:sz w:val="20"/>
              </w:rPr>
              <w:t>Ineffectiveness from fuel hedges settling in future periods</w:t>
            </w:r>
          </w:p>
        </w:tc>
        <w:tc>
          <w:tcPr>
            <w:tcW w:w="1346" w:type="dxa"/>
          </w:tcPr>
          <w:p>
            <w:pPr>
              <w:pStyle w:val="TableParagraph"/>
              <w:ind w:right="64"/>
              <w:jc w:val="right"/>
              <w:rPr>
                <w:sz w:val="20"/>
              </w:rPr>
            </w:pPr>
            <w:r>
              <w:rPr>
                <w:color w:val="231F20"/>
                <w:sz w:val="20"/>
              </w:rPr>
              <w:t>5</w:t>
            </w:r>
          </w:p>
        </w:tc>
        <w:tc>
          <w:tcPr>
            <w:tcW w:w="134" w:type="dxa"/>
          </w:tcPr>
          <w:p>
            <w:pPr/>
          </w:p>
        </w:tc>
        <w:tc>
          <w:tcPr>
            <w:tcW w:w="1280" w:type="dxa"/>
          </w:tcPr>
          <w:p>
            <w:pPr>
              <w:pStyle w:val="TableParagraph"/>
              <w:ind w:right="97"/>
              <w:jc w:val="right"/>
              <w:rPr>
                <w:sz w:val="20"/>
              </w:rPr>
            </w:pPr>
            <w:r>
              <w:rPr>
                <w:color w:val="231F20"/>
                <w:sz w:val="20"/>
              </w:rPr>
              <w:t>11</w:t>
            </w:r>
          </w:p>
        </w:tc>
      </w:tr>
      <w:tr>
        <w:trPr>
          <w:trHeight w:val="300" w:hRule="exact"/>
        </w:trPr>
        <w:tc>
          <w:tcPr>
            <w:tcW w:w="6360" w:type="dxa"/>
            <w:shd w:val="clear" w:color="auto" w:fill="CCECFC"/>
          </w:tcPr>
          <w:p>
            <w:pPr>
              <w:pStyle w:val="TableParagraph"/>
              <w:ind w:left="60"/>
              <w:rPr>
                <w:sz w:val="20"/>
              </w:rPr>
            </w:pPr>
            <w:r>
              <w:rPr>
                <w:color w:val="231F20"/>
                <w:sz w:val="20"/>
              </w:rPr>
              <w:t>Realized ineffectiveness and mark-to-market (gains) or losses</w:t>
            </w:r>
          </w:p>
        </w:tc>
        <w:tc>
          <w:tcPr>
            <w:tcW w:w="1346" w:type="dxa"/>
            <w:shd w:val="clear" w:color="auto" w:fill="CCECFC"/>
          </w:tcPr>
          <w:p>
            <w:pPr>
              <w:pStyle w:val="TableParagraph"/>
              <w:jc w:val="right"/>
              <w:rPr>
                <w:sz w:val="20"/>
              </w:rPr>
            </w:pPr>
            <w:r>
              <w:rPr>
                <w:color w:val="231F20"/>
                <w:sz w:val="20"/>
              </w:rPr>
              <w:t>(4)</w:t>
            </w:r>
          </w:p>
        </w:tc>
        <w:tc>
          <w:tcPr>
            <w:tcW w:w="134" w:type="dxa"/>
            <w:shd w:val="clear" w:color="auto" w:fill="CCECFC"/>
          </w:tcPr>
          <w:p>
            <w:pPr/>
          </w:p>
        </w:tc>
        <w:tc>
          <w:tcPr>
            <w:tcW w:w="1280" w:type="dxa"/>
            <w:shd w:val="clear" w:color="auto" w:fill="CCECFC"/>
          </w:tcPr>
          <w:p>
            <w:pPr>
              <w:pStyle w:val="TableParagraph"/>
              <w:ind w:right="97"/>
              <w:jc w:val="right"/>
              <w:rPr>
                <w:sz w:val="20"/>
              </w:rPr>
            </w:pPr>
            <w:r>
              <w:rPr>
                <w:color w:val="231F20"/>
                <w:sz w:val="20"/>
              </w:rPr>
              <w:t>3</w:t>
            </w:r>
          </w:p>
        </w:tc>
      </w:tr>
      <w:tr>
        <w:trPr>
          <w:trHeight w:val="300" w:hRule="exact"/>
        </w:trPr>
        <w:tc>
          <w:tcPr>
            <w:tcW w:w="6360" w:type="dxa"/>
          </w:tcPr>
          <w:p>
            <w:pPr>
              <w:pStyle w:val="TableParagraph"/>
              <w:ind w:left="60"/>
              <w:rPr>
                <w:sz w:val="20"/>
              </w:rPr>
            </w:pPr>
            <w:r>
              <w:rPr>
                <w:color w:val="231F20"/>
                <w:sz w:val="20"/>
              </w:rPr>
              <w:t>Premium cost of fuel contracts</w:t>
            </w:r>
          </w:p>
        </w:tc>
        <w:tc>
          <w:tcPr>
            <w:tcW w:w="1346" w:type="dxa"/>
          </w:tcPr>
          <w:p>
            <w:pPr>
              <w:pStyle w:val="TableParagraph"/>
              <w:ind w:right="64"/>
              <w:jc w:val="right"/>
              <w:rPr>
                <w:sz w:val="20"/>
              </w:rPr>
            </w:pPr>
            <w:r>
              <w:rPr>
                <w:color w:val="231F20"/>
                <w:sz w:val="20"/>
              </w:rPr>
              <w:t>62</w:t>
            </w:r>
          </w:p>
        </w:tc>
        <w:tc>
          <w:tcPr>
            <w:tcW w:w="134" w:type="dxa"/>
          </w:tcPr>
          <w:p>
            <w:pPr/>
          </w:p>
        </w:tc>
        <w:tc>
          <w:tcPr>
            <w:tcW w:w="1280" w:type="dxa"/>
          </w:tcPr>
          <w:p>
            <w:pPr>
              <w:pStyle w:val="TableParagraph"/>
              <w:ind w:right="99"/>
              <w:jc w:val="right"/>
              <w:rPr>
                <w:sz w:val="20"/>
              </w:rPr>
            </w:pPr>
            <w:r>
              <w:rPr>
                <w:color w:val="231F20"/>
                <w:sz w:val="20"/>
              </w:rPr>
              <w:t>60</w:t>
            </w:r>
          </w:p>
        </w:tc>
      </w:tr>
      <w:tr>
        <w:trPr>
          <w:trHeight w:val="315" w:hRule="exact"/>
        </w:trPr>
        <w:tc>
          <w:tcPr>
            <w:tcW w:w="6360" w:type="dxa"/>
            <w:shd w:val="clear" w:color="auto" w:fill="CCECFC"/>
          </w:tcPr>
          <w:p>
            <w:pPr>
              <w:pStyle w:val="TableParagraph"/>
              <w:ind w:left="60"/>
              <w:rPr>
                <w:sz w:val="20"/>
              </w:rPr>
            </w:pPr>
            <w:r>
              <w:rPr>
                <w:color w:val="231F20"/>
                <w:sz w:val="20"/>
              </w:rPr>
              <w:t>Other</w:t>
            </w:r>
          </w:p>
        </w:tc>
        <w:tc>
          <w:tcPr>
            <w:tcW w:w="1346" w:type="dxa"/>
            <w:tcBorders>
              <w:bottom w:val="single" w:sz="4" w:space="0" w:color="231F20"/>
            </w:tcBorders>
            <w:shd w:val="clear" w:color="auto" w:fill="CCECFC"/>
          </w:tcPr>
          <w:p>
            <w:pPr>
              <w:pStyle w:val="TableParagraph"/>
              <w:jc w:val="right"/>
              <w:rPr>
                <w:sz w:val="20"/>
              </w:rPr>
            </w:pPr>
            <w:r>
              <w:rPr>
                <w:color w:val="231F20"/>
                <w:sz w:val="20"/>
              </w:rPr>
              <w:t>(5)</w:t>
            </w:r>
          </w:p>
        </w:tc>
        <w:tc>
          <w:tcPr>
            <w:tcW w:w="134" w:type="dxa"/>
            <w:shd w:val="clear" w:color="auto" w:fill="CCECFC"/>
          </w:tcPr>
          <w:p>
            <w:pPr/>
          </w:p>
        </w:tc>
        <w:tc>
          <w:tcPr>
            <w:tcW w:w="1280" w:type="dxa"/>
            <w:tcBorders>
              <w:bottom w:val="single" w:sz="4" w:space="0" w:color="231F20"/>
            </w:tcBorders>
            <w:shd w:val="clear" w:color="auto" w:fill="CCECFC"/>
          </w:tcPr>
          <w:p>
            <w:pPr>
              <w:pStyle w:val="TableParagraph"/>
              <w:ind w:right="48"/>
              <w:jc w:val="right"/>
              <w:rPr>
                <w:sz w:val="20"/>
              </w:rPr>
            </w:pPr>
            <w:r>
              <w:rPr>
                <w:color w:val="231F20"/>
                <w:sz w:val="20"/>
              </w:rPr>
              <w:t>(3)</w:t>
            </w:r>
          </w:p>
        </w:tc>
      </w:tr>
      <w:tr>
        <w:trPr>
          <w:trHeight w:val="853" w:hRule="exact"/>
        </w:trPr>
        <w:tc>
          <w:tcPr>
            <w:tcW w:w="6360" w:type="dxa"/>
          </w:tcPr>
          <w:p>
            <w:pPr>
              <w:pStyle w:val="TableParagraph"/>
              <w:spacing w:before="0"/>
              <w:rPr>
                <w:b/>
                <w:sz w:val="24"/>
              </w:rPr>
            </w:pPr>
          </w:p>
          <w:p>
            <w:pPr>
              <w:pStyle w:val="TableParagraph"/>
              <w:spacing w:before="5"/>
              <w:rPr>
                <w:b/>
                <w:sz w:val="29"/>
              </w:rPr>
            </w:pPr>
          </w:p>
          <w:p>
            <w:pPr>
              <w:pStyle w:val="TableParagraph"/>
              <w:spacing w:before="0"/>
              <w:rPr>
                <w:b/>
                <w:sz w:val="22"/>
              </w:rPr>
            </w:pPr>
            <w:r>
              <w:rPr>
                <w:b/>
                <w:color w:val="231F20"/>
                <w:sz w:val="22"/>
              </w:rPr>
              <w:t>Income Taxes</w:t>
            </w:r>
          </w:p>
        </w:tc>
        <w:tc>
          <w:tcPr>
            <w:tcW w:w="1346" w:type="dxa"/>
            <w:tcBorders>
              <w:top w:val="single" w:sz="4" w:space="0" w:color="231F20"/>
            </w:tcBorders>
          </w:tcPr>
          <w:p>
            <w:pPr>
              <w:pStyle w:val="TableParagraph"/>
              <w:tabs>
                <w:tab w:pos="979" w:val="left" w:leader="none"/>
              </w:tabs>
              <w:rPr>
                <w:sz w:val="20"/>
              </w:rPr>
            </w:pPr>
            <w:r>
              <w:rPr>
                <w:color w:val="231F20"/>
                <w:sz w:val="20"/>
              </w:rPr>
              <w:t>$</w:t>
              <w:tab/>
              <w:t>309</w:t>
            </w:r>
          </w:p>
        </w:tc>
        <w:tc>
          <w:tcPr>
            <w:tcW w:w="134" w:type="dxa"/>
          </w:tcPr>
          <w:p>
            <w:pPr/>
          </w:p>
        </w:tc>
        <w:tc>
          <w:tcPr>
            <w:tcW w:w="1280" w:type="dxa"/>
            <w:tcBorders>
              <w:top w:val="single" w:sz="4" w:space="0" w:color="231F20"/>
            </w:tcBorders>
          </w:tcPr>
          <w:p>
            <w:pPr>
              <w:pStyle w:val="TableParagraph"/>
              <w:tabs>
                <w:tab w:pos="895" w:val="left" w:leader="none"/>
              </w:tabs>
              <w:spacing w:before="68"/>
              <w:ind w:right="48"/>
              <w:jc w:val="right"/>
              <w:rPr>
                <w:sz w:val="20"/>
              </w:rPr>
            </w:pPr>
            <w:r>
              <w:rPr>
                <w:color w:val="231F20"/>
                <w:sz w:val="20"/>
              </w:rPr>
              <w:t>$</w:t>
              <w:tab/>
              <w:t>(32)</w:t>
            </w:r>
          </w:p>
        </w:tc>
      </w:tr>
    </w:tbl>
    <w:p>
      <w:pPr>
        <w:pStyle w:val="BodyText"/>
        <w:spacing w:before="5"/>
        <w:rPr>
          <w:b/>
          <w:sz w:val="21"/>
        </w:rPr>
      </w:pPr>
    </w:p>
    <w:p>
      <w:pPr>
        <w:pStyle w:val="BodyText"/>
        <w:ind w:left="819"/>
      </w:pPr>
      <w:r>
        <w:rPr>
          <w:color w:val="231F20"/>
        </w:rPr>
        <w:t>The Company’s effective tax rate was approximately 37.4 percent for 2014, compared with</w:t>
      </w:r>
    </w:p>
    <w:p>
      <w:pPr>
        <w:pStyle w:val="BodyText"/>
        <w:spacing w:line="247" w:lineRule="auto" w:before="7"/>
        <w:ind w:left="100" w:right="117"/>
        <w:jc w:val="both"/>
      </w:pPr>
      <w:r>
        <w:rPr>
          <w:color w:val="231F20"/>
        </w:rPr>
        <w:t>37.6 percent for 2013. On a non-GAAP basis, the Company currently projects a full year 2015  effective tax rate of approximately 37 to 39 percent based on forecasted financial results. However, the Company’s effective tax rate during interim periods of 2015 may differ significantly from this full-year estimate.</w:t>
      </w:r>
    </w:p>
    <w:p>
      <w:pPr>
        <w:spacing w:after="0" w:line="247" w:lineRule="auto"/>
        <w:jc w:val="both"/>
        <w:sectPr>
          <w:pgSz w:w="11880" w:h="15480"/>
          <w:pgMar w:header="0" w:footer="1240" w:top="1240" w:bottom="1420" w:left="1280" w:right="1260"/>
        </w:sectPr>
      </w:pPr>
    </w:p>
    <w:p>
      <w:pPr>
        <w:pStyle w:val="Heading1"/>
        <w:spacing w:line="247" w:lineRule="auto"/>
        <w:ind w:right="97"/>
      </w:pPr>
      <w:r>
        <w:rPr>
          <w:color w:val="231F20"/>
        </w:rPr>
        <w:t>Reconciliation of Reported Amounts to non-GAAP Financial Measures (unaudited) (in millions, except per share and per ASM amounts)</w:t>
      </w:r>
    </w:p>
    <w:p>
      <w:pPr>
        <w:spacing w:after="0" w:line="247" w:lineRule="auto"/>
        <w:sectPr>
          <w:pgSz w:w="11880" w:h="15480"/>
          <w:pgMar w:header="0" w:footer="1240" w:top="1240" w:bottom="1420" w:left="1280" w:right="1260"/>
        </w:sectPr>
      </w:pPr>
    </w:p>
    <w:p>
      <w:pPr>
        <w:pStyle w:val="BodyText"/>
        <w:spacing w:before="4"/>
        <w:rPr>
          <w:b/>
          <w:sz w:val="18"/>
        </w:rPr>
      </w:pPr>
    </w:p>
    <w:p>
      <w:pPr>
        <w:spacing w:line="160" w:lineRule="exact" w:before="0"/>
        <w:ind w:left="6968" w:right="193" w:hanging="1"/>
        <w:jc w:val="center"/>
        <w:rPr>
          <w:b/>
          <w:sz w:val="16"/>
        </w:rPr>
      </w:pPr>
      <w:r>
        <w:rPr/>
        <w:pict>
          <v:line style="position:absolute;mso-position-horizontal-relative:page;mso-position-vertical-relative:paragraph;z-index:2608" from="390.75pt,17.9pt" to="480.75pt,17.9pt" stroked="true" strokeweight="1pt" strokecolor="#231f20">
            <v:stroke dashstyle="solid"/>
            <w10:wrap type="none"/>
          </v:line>
        </w:pict>
      </w:r>
      <w:r>
        <w:rPr>
          <w:b/>
          <w:color w:val="231F20"/>
          <w:sz w:val="16"/>
        </w:rPr>
        <w:t>Year ended December 31,</w:t>
      </w:r>
    </w:p>
    <w:p>
      <w:pPr>
        <w:tabs>
          <w:tab w:pos="999" w:val="left" w:leader="none"/>
        </w:tabs>
        <w:spacing w:line="81" w:lineRule="exact" w:before="58"/>
        <w:ind w:left="0" w:right="0" w:firstLine="0"/>
        <w:jc w:val="right"/>
        <w:rPr>
          <w:b/>
          <w:sz w:val="16"/>
        </w:rPr>
      </w:pPr>
      <w:r>
        <w:rPr>
          <w:b/>
          <w:color w:val="231F20"/>
          <w:sz w:val="16"/>
        </w:rPr>
        <w:t>2013</w:t>
        <w:tab/>
        <w:t>2012</w:t>
      </w:r>
    </w:p>
    <w:p>
      <w:pPr>
        <w:pStyle w:val="BodyText"/>
        <w:rPr>
          <w:b/>
          <w:sz w:val="18"/>
        </w:rPr>
      </w:pPr>
      <w:r>
        <w:rPr/>
        <w:br w:type="column"/>
      </w:r>
      <w:r>
        <w:rPr>
          <w:b/>
          <w:sz w:val="18"/>
        </w:rPr>
      </w:r>
    </w:p>
    <w:p>
      <w:pPr>
        <w:pStyle w:val="BodyText"/>
        <w:spacing w:before="4"/>
        <w:rPr>
          <w:b/>
          <w:sz w:val="26"/>
        </w:rPr>
      </w:pPr>
    </w:p>
    <w:p>
      <w:pPr>
        <w:spacing w:line="161" w:lineRule="exact" w:before="0"/>
        <w:ind w:left="399" w:right="0" w:firstLine="0"/>
        <w:jc w:val="left"/>
        <w:rPr>
          <w:b/>
          <w:sz w:val="16"/>
        </w:rPr>
      </w:pPr>
      <w:r>
        <w:rPr>
          <w:b/>
          <w:color w:val="231F20"/>
          <w:sz w:val="16"/>
        </w:rPr>
        <w:t>Percent</w:t>
      </w:r>
    </w:p>
    <w:p>
      <w:pPr>
        <w:spacing w:after="0" w:line="161" w:lineRule="exact"/>
        <w:jc w:val="left"/>
        <w:rPr>
          <w:sz w:val="16"/>
        </w:rPr>
        <w:sectPr>
          <w:type w:val="continuous"/>
          <w:pgSz w:w="11880" w:h="15480"/>
          <w:pgMar w:top="1260" w:bottom="280" w:left="1280" w:right="1260"/>
          <w:cols w:num="2" w:equalWidth="0">
            <w:col w:w="8096" w:space="40"/>
            <w:col w:w="1204"/>
          </w:cols>
        </w:sectPr>
      </w:pPr>
    </w:p>
    <w:p>
      <w:pPr>
        <w:tabs>
          <w:tab w:pos="8334" w:val="left" w:leader="none"/>
        </w:tabs>
        <w:spacing w:line="183" w:lineRule="exact" w:before="0"/>
        <w:ind w:left="7535" w:right="0" w:firstLine="0"/>
        <w:jc w:val="left"/>
        <w:rPr>
          <w:b/>
          <w:sz w:val="16"/>
        </w:rPr>
      </w:pPr>
      <w:r>
        <w:rPr/>
        <w:pict>
          <v:shape style="position:absolute;margin-left:69pt;margin-top:6.931731pt;width:456.5pt;height:164.75pt;mso-position-horizontal-relative:page;mso-position-vertical-relative:paragraph;z-index:28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435"/>
                    <w:gridCol w:w="800"/>
                    <w:gridCol w:w="200"/>
                    <w:gridCol w:w="800"/>
                    <w:gridCol w:w="885"/>
                  </w:tblGrid>
                  <w:tr>
                    <w:trPr>
                      <w:trHeight w:val="260" w:hRule="exact"/>
                    </w:trPr>
                    <w:tc>
                      <w:tcPr>
                        <w:tcW w:w="6435" w:type="dxa"/>
                        <w:shd w:val="clear" w:color="auto" w:fill="CCECFC"/>
                      </w:tcPr>
                      <w:p>
                        <w:pPr>
                          <w:pStyle w:val="TableParagraph"/>
                          <w:spacing w:before="40"/>
                          <w:ind w:left="60"/>
                          <w:rPr>
                            <w:b/>
                            <w:sz w:val="16"/>
                          </w:rPr>
                        </w:pPr>
                        <w:r>
                          <w:rPr>
                            <w:b/>
                            <w:color w:val="231F20"/>
                            <w:sz w:val="16"/>
                          </w:rPr>
                          <w:t>Fuel and oil expense, unhedged</w:t>
                        </w:r>
                      </w:p>
                    </w:tc>
                    <w:tc>
                      <w:tcPr>
                        <w:tcW w:w="800" w:type="dxa"/>
                        <w:tcBorders>
                          <w:top w:val="single" w:sz="8" w:space="0" w:color="231F20"/>
                        </w:tcBorders>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5,645</w:t>
                        </w:r>
                      </w:p>
                    </w:tc>
                    <w:tc>
                      <w:tcPr>
                        <w:tcW w:w="200" w:type="dxa"/>
                        <w:shd w:val="clear" w:color="auto" w:fill="CCECFC"/>
                      </w:tcPr>
                      <w:p>
                        <w:pPr/>
                      </w:p>
                    </w:tc>
                    <w:tc>
                      <w:tcPr>
                        <w:tcW w:w="800" w:type="dxa"/>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5,963</w:t>
                        </w:r>
                      </w:p>
                    </w:tc>
                    <w:tc>
                      <w:tcPr>
                        <w:tcW w:w="885" w:type="dxa"/>
                        <w:shd w:val="clear" w:color="auto" w:fill="CCECFC"/>
                      </w:tcPr>
                      <w:p>
                        <w:pPr/>
                      </w:p>
                    </w:tc>
                  </w:tr>
                  <w:tr>
                    <w:trPr>
                      <w:trHeight w:val="265" w:hRule="exact"/>
                    </w:trPr>
                    <w:tc>
                      <w:tcPr>
                        <w:tcW w:w="6435" w:type="dxa"/>
                      </w:tcPr>
                      <w:p>
                        <w:pPr>
                          <w:pStyle w:val="TableParagraph"/>
                          <w:spacing w:before="40"/>
                          <w:ind w:left="60"/>
                          <w:rPr>
                            <w:sz w:val="16"/>
                          </w:rPr>
                        </w:pPr>
                        <w:r>
                          <w:rPr>
                            <w:color w:val="231F20"/>
                            <w:sz w:val="16"/>
                          </w:rPr>
                          <w:t>Add: Fuel hedge losses included in Fuel and oil expense</w:t>
                        </w:r>
                      </w:p>
                    </w:tc>
                    <w:tc>
                      <w:tcPr>
                        <w:tcW w:w="800" w:type="dxa"/>
                        <w:tcBorders>
                          <w:bottom w:val="single" w:sz="4" w:space="0" w:color="231F20"/>
                        </w:tcBorders>
                      </w:tcPr>
                      <w:p>
                        <w:pPr>
                          <w:pStyle w:val="TableParagraph"/>
                          <w:spacing w:before="40"/>
                          <w:ind w:right="77"/>
                          <w:jc w:val="right"/>
                          <w:rPr>
                            <w:sz w:val="16"/>
                          </w:rPr>
                        </w:pPr>
                        <w:r>
                          <w:rPr>
                            <w:color w:val="231F20"/>
                            <w:sz w:val="16"/>
                          </w:rPr>
                          <w:t>118</w:t>
                        </w:r>
                      </w:p>
                    </w:tc>
                    <w:tc>
                      <w:tcPr>
                        <w:tcW w:w="200" w:type="dxa"/>
                      </w:tcPr>
                      <w:p>
                        <w:pPr/>
                      </w:p>
                    </w:tc>
                    <w:tc>
                      <w:tcPr>
                        <w:tcW w:w="800" w:type="dxa"/>
                        <w:tcBorders>
                          <w:bottom w:val="single" w:sz="4" w:space="0" w:color="231F20"/>
                        </w:tcBorders>
                      </w:tcPr>
                      <w:p>
                        <w:pPr>
                          <w:pStyle w:val="TableParagraph"/>
                          <w:spacing w:before="40"/>
                          <w:ind w:right="77"/>
                          <w:jc w:val="right"/>
                          <w:rPr>
                            <w:sz w:val="16"/>
                          </w:rPr>
                        </w:pPr>
                        <w:r>
                          <w:rPr>
                            <w:color w:val="231F20"/>
                            <w:sz w:val="16"/>
                          </w:rPr>
                          <w:t>157</w:t>
                        </w:r>
                      </w:p>
                    </w:tc>
                    <w:tc>
                      <w:tcPr>
                        <w:tcW w:w="885" w:type="dxa"/>
                      </w:tcPr>
                      <w:p>
                        <w:pPr/>
                      </w:p>
                    </w:tc>
                  </w:tr>
                  <w:tr>
                    <w:trPr>
                      <w:trHeight w:val="255" w:hRule="exact"/>
                    </w:trPr>
                    <w:tc>
                      <w:tcPr>
                        <w:tcW w:w="6435" w:type="dxa"/>
                        <w:shd w:val="clear" w:color="auto" w:fill="CCECFC"/>
                      </w:tcPr>
                      <w:p>
                        <w:pPr>
                          <w:pStyle w:val="TableParagraph"/>
                          <w:spacing w:before="40"/>
                          <w:ind w:left="60"/>
                          <w:rPr>
                            <w:b/>
                            <w:sz w:val="16"/>
                          </w:rPr>
                        </w:pPr>
                        <w:r>
                          <w:rPr>
                            <w:b/>
                            <w:color w:val="231F20"/>
                            <w:sz w:val="16"/>
                          </w:rPr>
                          <w:t>Fuel and oil expense, as reported</w:t>
                        </w:r>
                      </w:p>
                    </w:tc>
                    <w:tc>
                      <w:tcPr>
                        <w:tcW w:w="800" w:type="dxa"/>
                        <w:tcBorders>
                          <w:top w:val="single" w:sz="4" w:space="0" w:color="231F20"/>
                        </w:tcBorders>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5,763</w:t>
                        </w:r>
                      </w:p>
                    </w:tc>
                    <w:tc>
                      <w:tcPr>
                        <w:tcW w:w="200" w:type="dxa"/>
                        <w:shd w:val="clear" w:color="auto" w:fill="CCECFC"/>
                      </w:tcPr>
                      <w:p>
                        <w:pPr/>
                      </w:p>
                    </w:tc>
                    <w:tc>
                      <w:tcPr>
                        <w:tcW w:w="800" w:type="dxa"/>
                        <w:tcBorders>
                          <w:top w:val="single" w:sz="4" w:space="0" w:color="231F20"/>
                        </w:tcBorders>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6,120</w:t>
                        </w:r>
                      </w:p>
                    </w:tc>
                    <w:tc>
                      <w:tcPr>
                        <w:tcW w:w="885" w:type="dxa"/>
                        <w:shd w:val="clear" w:color="auto" w:fill="CCECFC"/>
                      </w:tcPr>
                      <w:p>
                        <w:pPr/>
                      </w:p>
                    </w:tc>
                  </w:tr>
                  <w:tr>
                    <w:trPr>
                      <w:trHeight w:val="265" w:hRule="exact"/>
                    </w:trPr>
                    <w:tc>
                      <w:tcPr>
                        <w:tcW w:w="6435" w:type="dxa"/>
                      </w:tcPr>
                      <w:p>
                        <w:pPr>
                          <w:pStyle w:val="TableParagraph"/>
                          <w:spacing w:before="40"/>
                          <w:ind w:left="60"/>
                          <w:rPr>
                            <w:sz w:val="16"/>
                          </w:rPr>
                        </w:pPr>
                        <w:r>
                          <w:rPr>
                            <w:color w:val="231F20"/>
                            <w:sz w:val="16"/>
                          </w:rPr>
                          <w:t>Deduct: Net impact from fuel contracts</w:t>
                        </w:r>
                      </w:p>
                    </w:tc>
                    <w:tc>
                      <w:tcPr>
                        <w:tcW w:w="800" w:type="dxa"/>
                        <w:tcBorders>
                          <w:bottom w:val="single" w:sz="4" w:space="0" w:color="231F20"/>
                        </w:tcBorders>
                      </w:tcPr>
                      <w:p>
                        <w:pPr>
                          <w:pStyle w:val="TableParagraph"/>
                          <w:spacing w:before="40"/>
                          <w:ind w:right="24"/>
                          <w:jc w:val="right"/>
                          <w:rPr>
                            <w:sz w:val="16"/>
                          </w:rPr>
                        </w:pPr>
                        <w:r>
                          <w:rPr>
                            <w:color w:val="231F20"/>
                            <w:sz w:val="16"/>
                          </w:rPr>
                          <w:t>(84)</w:t>
                        </w:r>
                      </w:p>
                    </w:tc>
                    <w:tc>
                      <w:tcPr>
                        <w:tcW w:w="200" w:type="dxa"/>
                      </w:tcPr>
                      <w:p>
                        <w:pPr/>
                      </w:p>
                    </w:tc>
                    <w:tc>
                      <w:tcPr>
                        <w:tcW w:w="800" w:type="dxa"/>
                        <w:tcBorders>
                          <w:bottom w:val="single" w:sz="4" w:space="0" w:color="231F20"/>
                        </w:tcBorders>
                      </w:tcPr>
                      <w:p>
                        <w:pPr>
                          <w:pStyle w:val="TableParagraph"/>
                          <w:spacing w:before="40"/>
                          <w:ind w:right="24"/>
                          <w:jc w:val="right"/>
                          <w:rPr>
                            <w:sz w:val="16"/>
                          </w:rPr>
                        </w:pPr>
                        <w:r>
                          <w:rPr>
                            <w:color w:val="231F20"/>
                            <w:sz w:val="16"/>
                          </w:rPr>
                          <w:t>(32)</w:t>
                        </w:r>
                      </w:p>
                    </w:tc>
                    <w:tc>
                      <w:tcPr>
                        <w:tcW w:w="885" w:type="dxa"/>
                      </w:tcPr>
                      <w:p>
                        <w:pPr/>
                      </w:p>
                    </w:tc>
                  </w:tr>
                  <w:tr>
                    <w:trPr>
                      <w:trHeight w:val="286" w:hRule="exact"/>
                    </w:trPr>
                    <w:tc>
                      <w:tcPr>
                        <w:tcW w:w="6435" w:type="dxa"/>
                        <w:shd w:val="clear" w:color="auto" w:fill="CCECFC"/>
                      </w:tcPr>
                      <w:p>
                        <w:pPr>
                          <w:pStyle w:val="TableParagraph"/>
                          <w:spacing w:before="40"/>
                          <w:ind w:left="60"/>
                          <w:rPr>
                            <w:b/>
                            <w:sz w:val="16"/>
                          </w:rPr>
                        </w:pPr>
                        <w:r>
                          <w:rPr>
                            <w:b/>
                            <w:color w:val="231F20"/>
                            <w:sz w:val="16"/>
                          </w:rPr>
                          <w:t>Fuel and oil expense, non-GAAP</w:t>
                        </w:r>
                      </w:p>
                    </w:tc>
                    <w:tc>
                      <w:tcPr>
                        <w:tcW w:w="800" w:type="dxa"/>
                        <w:tcBorders>
                          <w:top w:val="single" w:sz="4" w:space="0" w:color="231F20"/>
                        </w:tcBorders>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5,679</w:t>
                        </w:r>
                      </w:p>
                    </w:tc>
                    <w:tc>
                      <w:tcPr>
                        <w:tcW w:w="200" w:type="dxa"/>
                        <w:shd w:val="clear" w:color="auto" w:fill="CCECFC"/>
                      </w:tcPr>
                      <w:p>
                        <w:pPr/>
                      </w:p>
                    </w:tc>
                    <w:tc>
                      <w:tcPr>
                        <w:tcW w:w="800" w:type="dxa"/>
                        <w:tcBorders>
                          <w:top w:val="single" w:sz="4" w:space="0" w:color="231F20"/>
                        </w:tcBorders>
                        <w:shd w:val="clear" w:color="auto" w:fill="CCECFC"/>
                      </w:tcPr>
                      <w:p>
                        <w:pPr>
                          <w:pStyle w:val="TableParagraph"/>
                          <w:tabs>
                            <w:tab w:pos="359" w:val="left" w:leader="none"/>
                          </w:tabs>
                          <w:spacing w:before="40"/>
                          <w:ind w:right="79"/>
                          <w:jc w:val="right"/>
                          <w:rPr>
                            <w:sz w:val="16"/>
                          </w:rPr>
                        </w:pPr>
                        <w:r>
                          <w:rPr>
                            <w:color w:val="231F20"/>
                            <w:sz w:val="16"/>
                          </w:rPr>
                          <w:t>$</w:t>
                          <w:tab/>
                        </w:r>
                        <w:r>
                          <w:rPr>
                            <w:color w:val="231F20"/>
                            <w:spacing w:val="-1"/>
                            <w:sz w:val="16"/>
                          </w:rPr>
                          <w:t>6,088</w:t>
                        </w:r>
                      </w:p>
                    </w:tc>
                    <w:tc>
                      <w:tcPr>
                        <w:tcW w:w="885" w:type="dxa"/>
                        <w:shd w:val="clear" w:color="auto" w:fill="CCECFC"/>
                      </w:tcPr>
                      <w:p>
                        <w:pPr>
                          <w:pStyle w:val="TableParagraph"/>
                          <w:spacing w:before="40"/>
                          <w:ind w:right="11"/>
                          <w:jc w:val="right"/>
                          <w:rPr>
                            <w:sz w:val="16"/>
                          </w:rPr>
                        </w:pPr>
                        <w:r>
                          <w:rPr>
                            <w:color w:val="231F20"/>
                            <w:sz w:val="16"/>
                          </w:rPr>
                          <w:t>(6.7)%</w:t>
                        </w:r>
                      </w:p>
                    </w:tc>
                  </w:tr>
                  <w:tr>
                    <w:trPr>
                      <w:trHeight w:val="249"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50" w:hRule="exact"/>
                    </w:trPr>
                    <w:tc>
                      <w:tcPr>
                        <w:tcW w:w="6435" w:type="dxa"/>
                        <w:shd w:val="clear" w:color="auto" w:fill="CCECFC"/>
                      </w:tcPr>
                      <w:p>
                        <w:pPr>
                          <w:pStyle w:val="TableParagraph"/>
                          <w:spacing w:before="40"/>
                          <w:ind w:left="60"/>
                          <w:rPr>
                            <w:b/>
                            <w:sz w:val="16"/>
                          </w:rPr>
                        </w:pPr>
                        <w:r>
                          <w:rPr>
                            <w:b/>
                            <w:color w:val="231F20"/>
                            <w:sz w:val="16"/>
                          </w:rPr>
                          <w:t>Total operating expenses, as reported</w:t>
                        </w:r>
                      </w:p>
                    </w:tc>
                    <w:tc>
                      <w:tcPr>
                        <w:tcW w:w="800" w:type="dxa"/>
                        <w:shd w:val="clear" w:color="auto" w:fill="CCECFC"/>
                      </w:tcPr>
                      <w:p>
                        <w:pPr>
                          <w:pStyle w:val="TableParagraph"/>
                          <w:spacing w:before="40"/>
                          <w:ind w:right="79"/>
                          <w:jc w:val="right"/>
                          <w:rPr>
                            <w:sz w:val="16"/>
                          </w:rPr>
                        </w:pPr>
                        <w:r>
                          <w:rPr>
                            <w:color w:val="231F20"/>
                            <w:sz w:val="16"/>
                          </w:rPr>
                          <w:t>$     16,421</w:t>
                        </w:r>
                      </w:p>
                    </w:tc>
                    <w:tc>
                      <w:tcPr>
                        <w:tcW w:w="200" w:type="dxa"/>
                        <w:shd w:val="clear" w:color="auto" w:fill="CCECFC"/>
                      </w:tcPr>
                      <w:p>
                        <w:pPr/>
                      </w:p>
                    </w:tc>
                    <w:tc>
                      <w:tcPr>
                        <w:tcW w:w="800" w:type="dxa"/>
                        <w:shd w:val="clear" w:color="auto" w:fill="CCECFC"/>
                      </w:tcPr>
                      <w:p>
                        <w:pPr>
                          <w:pStyle w:val="TableParagraph"/>
                          <w:spacing w:before="40"/>
                          <w:ind w:right="79"/>
                          <w:jc w:val="right"/>
                          <w:rPr>
                            <w:sz w:val="16"/>
                          </w:rPr>
                        </w:pPr>
                        <w:r>
                          <w:rPr>
                            <w:color w:val="231F20"/>
                            <w:sz w:val="16"/>
                          </w:rPr>
                          <w:t>$     16,465</w:t>
                        </w:r>
                      </w:p>
                    </w:tc>
                    <w:tc>
                      <w:tcPr>
                        <w:tcW w:w="885" w:type="dxa"/>
                        <w:shd w:val="clear" w:color="auto" w:fill="CCECFC"/>
                      </w:tcPr>
                      <w:p>
                        <w:pPr/>
                      </w:p>
                    </w:tc>
                  </w:tr>
                  <w:tr>
                    <w:trPr>
                      <w:trHeight w:val="231" w:hRule="exact"/>
                    </w:trPr>
                    <w:tc>
                      <w:tcPr>
                        <w:tcW w:w="6435" w:type="dxa"/>
                      </w:tcPr>
                      <w:p>
                        <w:pPr>
                          <w:pStyle w:val="TableParagraph"/>
                          <w:spacing w:before="40"/>
                          <w:ind w:left="60"/>
                          <w:rPr>
                            <w:sz w:val="16"/>
                          </w:rPr>
                        </w:pPr>
                        <w:r>
                          <w:rPr>
                            <w:color w:val="231F20"/>
                            <w:sz w:val="16"/>
                          </w:rPr>
                          <w:t>Add (Deduct): Reclassification between Fuel and oil and Other (gains) losses, net, associated</w:t>
                        </w:r>
                      </w:p>
                    </w:tc>
                    <w:tc>
                      <w:tcPr>
                        <w:tcW w:w="800" w:type="dxa"/>
                      </w:tcPr>
                      <w:p>
                        <w:pPr/>
                      </w:p>
                    </w:tc>
                    <w:tc>
                      <w:tcPr>
                        <w:tcW w:w="200" w:type="dxa"/>
                      </w:tcPr>
                      <w:p>
                        <w:pPr/>
                      </w:p>
                    </w:tc>
                    <w:tc>
                      <w:tcPr>
                        <w:tcW w:w="800" w:type="dxa"/>
                      </w:tcPr>
                      <w:p>
                        <w:pPr/>
                      </w:p>
                    </w:tc>
                    <w:tc>
                      <w:tcPr>
                        <w:tcW w:w="885" w:type="dxa"/>
                      </w:tcPr>
                      <w:p>
                        <w:pPr/>
                      </w:p>
                    </w:tc>
                  </w:tr>
                  <w:tr>
                    <w:trPr>
                      <w:trHeight w:val="184" w:hRule="exact"/>
                    </w:trPr>
                    <w:tc>
                      <w:tcPr>
                        <w:tcW w:w="6435" w:type="dxa"/>
                      </w:tcPr>
                      <w:p>
                        <w:pPr>
                          <w:pStyle w:val="TableParagraph"/>
                          <w:spacing w:before="0"/>
                          <w:ind w:left="220"/>
                          <w:rPr>
                            <w:sz w:val="16"/>
                          </w:rPr>
                        </w:pPr>
                        <w:r>
                          <w:rPr>
                            <w:color w:val="231F20"/>
                            <w:sz w:val="16"/>
                          </w:rPr>
                          <w:t>with current period settled contracts</w:t>
                        </w:r>
                      </w:p>
                    </w:tc>
                    <w:tc>
                      <w:tcPr>
                        <w:tcW w:w="800" w:type="dxa"/>
                      </w:tcPr>
                      <w:p>
                        <w:pPr>
                          <w:pStyle w:val="TableParagraph"/>
                          <w:spacing w:before="0"/>
                          <w:ind w:right="79"/>
                          <w:jc w:val="right"/>
                          <w:rPr>
                            <w:sz w:val="16"/>
                          </w:rPr>
                        </w:pPr>
                        <w:r>
                          <w:rPr>
                            <w:color w:val="231F20"/>
                            <w:sz w:val="16"/>
                          </w:rPr>
                          <w:t>3</w:t>
                        </w:r>
                      </w:p>
                    </w:tc>
                    <w:tc>
                      <w:tcPr>
                        <w:tcW w:w="200" w:type="dxa"/>
                      </w:tcPr>
                      <w:p>
                        <w:pPr/>
                      </w:p>
                    </w:tc>
                    <w:tc>
                      <w:tcPr>
                        <w:tcW w:w="800" w:type="dxa"/>
                      </w:tcPr>
                      <w:p>
                        <w:pPr>
                          <w:pStyle w:val="TableParagraph"/>
                          <w:spacing w:before="0"/>
                          <w:ind w:right="24"/>
                          <w:jc w:val="right"/>
                          <w:rPr>
                            <w:sz w:val="16"/>
                          </w:rPr>
                        </w:pPr>
                        <w:r>
                          <w:rPr>
                            <w:color w:val="231F20"/>
                            <w:sz w:val="16"/>
                          </w:rPr>
                          <w:t>(42)</w:t>
                        </w:r>
                      </w:p>
                    </w:tc>
                    <w:tc>
                      <w:tcPr>
                        <w:tcW w:w="885" w:type="dxa"/>
                      </w:tcPr>
                      <w:p>
                        <w:pPr/>
                      </w:p>
                    </w:tc>
                  </w:tr>
                  <w:tr>
                    <w:trPr>
                      <w:trHeight w:val="261" w:hRule="exact"/>
                    </w:trPr>
                    <w:tc>
                      <w:tcPr>
                        <w:tcW w:w="9120" w:type="dxa"/>
                        <w:gridSpan w:val="5"/>
                        <w:shd w:val="clear" w:color="auto" w:fill="CCECFC"/>
                      </w:tcPr>
                      <w:p>
                        <w:pPr>
                          <w:pStyle w:val="TableParagraph"/>
                          <w:spacing w:before="65"/>
                          <w:ind w:left="60"/>
                          <w:rPr>
                            <w:sz w:val="16"/>
                          </w:rPr>
                        </w:pPr>
                        <w:r>
                          <w:rPr>
                            <w:color w:val="231F20"/>
                            <w:sz w:val="16"/>
                          </w:rPr>
                          <w:t>Add (Deduct): Contracts settling in the current period, but for which gains and/or (losses) have</w:t>
                        </w:r>
                      </w:p>
                    </w:tc>
                  </w:tr>
                  <w:tr>
                    <w:trPr>
                      <w:trHeight w:val="214" w:hRule="exact"/>
                    </w:trPr>
                    <w:tc>
                      <w:tcPr>
                        <w:tcW w:w="6435" w:type="dxa"/>
                        <w:shd w:val="clear" w:color="auto" w:fill="CCECFC"/>
                      </w:tcPr>
                      <w:p>
                        <w:pPr>
                          <w:pStyle w:val="TableParagraph"/>
                          <w:spacing w:line="178" w:lineRule="exact" w:before="0"/>
                          <w:ind w:left="220"/>
                          <w:rPr>
                            <w:sz w:val="16"/>
                          </w:rPr>
                        </w:pPr>
                        <w:r>
                          <w:rPr>
                            <w:color w:val="231F20"/>
                            <w:sz w:val="16"/>
                          </w:rPr>
                          <w:t>been recognized in a prior period*</w:t>
                        </w:r>
                      </w:p>
                    </w:tc>
                    <w:tc>
                      <w:tcPr>
                        <w:tcW w:w="800" w:type="dxa"/>
                        <w:shd w:val="clear" w:color="auto" w:fill="CCECFC"/>
                      </w:tcPr>
                      <w:p>
                        <w:pPr>
                          <w:pStyle w:val="TableParagraph"/>
                          <w:spacing w:line="178" w:lineRule="exact" w:before="0"/>
                          <w:ind w:right="24"/>
                          <w:jc w:val="right"/>
                          <w:rPr>
                            <w:sz w:val="16"/>
                          </w:rPr>
                        </w:pPr>
                        <w:r>
                          <w:rPr>
                            <w:color w:val="231F20"/>
                            <w:sz w:val="16"/>
                          </w:rPr>
                          <w:t>(87)</w:t>
                        </w:r>
                      </w:p>
                    </w:tc>
                    <w:tc>
                      <w:tcPr>
                        <w:tcW w:w="200" w:type="dxa"/>
                        <w:shd w:val="clear" w:color="auto" w:fill="CCECFC"/>
                      </w:tcPr>
                      <w:p>
                        <w:pPr/>
                      </w:p>
                    </w:tc>
                    <w:tc>
                      <w:tcPr>
                        <w:tcW w:w="800" w:type="dxa"/>
                        <w:shd w:val="clear" w:color="auto" w:fill="CCECFC"/>
                      </w:tcPr>
                      <w:p>
                        <w:pPr>
                          <w:pStyle w:val="TableParagraph"/>
                          <w:spacing w:line="178" w:lineRule="exact" w:before="0"/>
                          <w:ind w:right="77"/>
                          <w:jc w:val="right"/>
                          <w:rPr>
                            <w:sz w:val="16"/>
                          </w:rPr>
                        </w:pPr>
                        <w:r>
                          <w:rPr>
                            <w:color w:val="231F20"/>
                            <w:sz w:val="16"/>
                          </w:rPr>
                          <w:t>10</w:t>
                        </w:r>
                      </w:p>
                    </w:tc>
                    <w:tc>
                      <w:tcPr>
                        <w:tcW w:w="885" w:type="dxa"/>
                        <w:shd w:val="clear" w:color="auto" w:fill="CCECFC"/>
                      </w:tcPr>
                      <w:p>
                        <w:pPr/>
                      </w:p>
                    </w:tc>
                  </w:tr>
                  <w:tr>
                    <w:trPr>
                      <w:trHeight w:val="254" w:hRule="exact"/>
                    </w:trPr>
                    <w:tc>
                      <w:tcPr>
                        <w:tcW w:w="6435" w:type="dxa"/>
                      </w:tcPr>
                      <w:p>
                        <w:pPr>
                          <w:pStyle w:val="TableParagraph"/>
                          <w:spacing w:before="30"/>
                          <w:ind w:left="60"/>
                          <w:rPr>
                            <w:sz w:val="16"/>
                          </w:rPr>
                        </w:pPr>
                        <w:r>
                          <w:rPr>
                            <w:color w:val="231F20"/>
                            <w:sz w:val="16"/>
                          </w:rPr>
                          <w:t>Deduct: Acquisition and Integration costs</w:t>
                        </w:r>
                      </w:p>
                    </w:tc>
                    <w:tc>
                      <w:tcPr>
                        <w:tcW w:w="800" w:type="dxa"/>
                        <w:tcBorders>
                          <w:bottom w:val="single" w:sz="4" w:space="0" w:color="231F20"/>
                        </w:tcBorders>
                      </w:tcPr>
                      <w:p>
                        <w:pPr>
                          <w:pStyle w:val="TableParagraph"/>
                          <w:spacing w:before="30"/>
                          <w:ind w:right="24"/>
                          <w:jc w:val="right"/>
                          <w:rPr>
                            <w:sz w:val="16"/>
                          </w:rPr>
                        </w:pPr>
                        <w:r>
                          <w:rPr>
                            <w:color w:val="231F20"/>
                            <w:sz w:val="16"/>
                          </w:rPr>
                          <w:t>(86)</w:t>
                        </w:r>
                      </w:p>
                    </w:tc>
                    <w:tc>
                      <w:tcPr>
                        <w:tcW w:w="200" w:type="dxa"/>
                      </w:tcPr>
                      <w:p>
                        <w:pPr/>
                      </w:p>
                    </w:tc>
                    <w:tc>
                      <w:tcPr>
                        <w:tcW w:w="800" w:type="dxa"/>
                        <w:tcBorders>
                          <w:bottom w:val="single" w:sz="4" w:space="0" w:color="231F20"/>
                        </w:tcBorders>
                      </w:tcPr>
                      <w:p>
                        <w:pPr>
                          <w:pStyle w:val="TableParagraph"/>
                          <w:spacing w:before="30"/>
                          <w:ind w:right="24"/>
                          <w:jc w:val="right"/>
                          <w:rPr>
                            <w:sz w:val="16"/>
                          </w:rPr>
                        </w:pPr>
                        <w:r>
                          <w:rPr>
                            <w:color w:val="231F20"/>
                            <w:sz w:val="16"/>
                          </w:rPr>
                          <w:t>(183)</w:t>
                        </w:r>
                      </w:p>
                    </w:tc>
                    <w:tc>
                      <w:tcPr>
                        <w:tcW w:w="885" w:type="dxa"/>
                      </w:tcPr>
                      <w:p>
                        <w:pPr/>
                      </w:p>
                    </w:tc>
                  </w:tr>
                  <w:tr>
                    <w:trPr>
                      <w:trHeight w:val="310" w:hRule="exact"/>
                    </w:trPr>
                    <w:tc>
                      <w:tcPr>
                        <w:tcW w:w="6435" w:type="dxa"/>
                        <w:shd w:val="clear" w:color="auto" w:fill="CCECFC"/>
                      </w:tcPr>
                      <w:p>
                        <w:pPr>
                          <w:pStyle w:val="TableParagraph"/>
                          <w:spacing w:before="40"/>
                          <w:ind w:left="60"/>
                          <w:rPr>
                            <w:b/>
                            <w:sz w:val="16"/>
                          </w:rPr>
                        </w:pPr>
                        <w:r>
                          <w:rPr>
                            <w:b/>
                            <w:color w:val="231F20"/>
                            <w:sz w:val="16"/>
                          </w:rPr>
                          <w:t>Total operating expenses, non-GAAP</w:t>
                        </w:r>
                      </w:p>
                    </w:tc>
                    <w:tc>
                      <w:tcPr>
                        <w:tcW w:w="800" w:type="dxa"/>
                        <w:tcBorders>
                          <w:top w:val="single" w:sz="4" w:space="0" w:color="231F20"/>
                          <w:bottom w:val="single" w:sz="4" w:space="0" w:color="231F20"/>
                        </w:tcBorders>
                        <w:shd w:val="clear" w:color="auto" w:fill="CCECFC"/>
                      </w:tcPr>
                      <w:p>
                        <w:pPr>
                          <w:pStyle w:val="TableParagraph"/>
                          <w:spacing w:before="40"/>
                          <w:ind w:right="79"/>
                          <w:jc w:val="right"/>
                          <w:rPr>
                            <w:sz w:val="16"/>
                          </w:rPr>
                        </w:pPr>
                        <w:r>
                          <w:rPr>
                            <w:color w:val="231F20"/>
                            <w:sz w:val="16"/>
                          </w:rPr>
                          <w:t>$     16,251</w:t>
                        </w:r>
                      </w:p>
                    </w:tc>
                    <w:tc>
                      <w:tcPr>
                        <w:tcW w:w="200" w:type="dxa"/>
                        <w:shd w:val="clear" w:color="auto" w:fill="CCECFC"/>
                      </w:tcPr>
                      <w:p>
                        <w:pPr/>
                      </w:p>
                    </w:tc>
                    <w:tc>
                      <w:tcPr>
                        <w:tcW w:w="800" w:type="dxa"/>
                        <w:tcBorders>
                          <w:top w:val="single" w:sz="4" w:space="0" w:color="231F20"/>
                          <w:bottom w:val="single" w:sz="4" w:space="0" w:color="231F20"/>
                        </w:tcBorders>
                        <w:shd w:val="clear" w:color="auto" w:fill="CCECFC"/>
                      </w:tcPr>
                      <w:p>
                        <w:pPr>
                          <w:pStyle w:val="TableParagraph"/>
                          <w:spacing w:before="40"/>
                          <w:ind w:right="79"/>
                          <w:jc w:val="right"/>
                          <w:rPr>
                            <w:sz w:val="16"/>
                          </w:rPr>
                        </w:pPr>
                        <w:r>
                          <w:rPr>
                            <w:color w:val="231F20"/>
                            <w:sz w:val="16"/>
                          </w:rPr>
                          <w:t>$     16,250</w:t>
                        </w:r>
                      </w:p>
                    </w:tc>
                    <w:tc>
                      <w:tcPr>
                        <w:tcW w:w="885" w:type="dxa"/>
                        <w:shd w:val="clear" w:color="auto" w:fill="CCECFC"/>
                      </w:tcPr>
                      <w:p>
                        <w:pPr>
                          <w:pStyle w:val="TableParagraph"/>
                          <w:spacing w:before="40"/>
                          <w:ind w:right="64"/>
                          <w:jc w:val="right"/>
                          <w:rPr>
                            <w:sz w:val="16"/>
                          </w:rPr>
                        </w:pPr>
                        <w:r>
                          <w:rPr>
                            <w:color w:val="231F20"/>
                            <w:sz w:val="16"/>
                          </w:rPr>
                          <w:t>—%</w:t>
                        </w:r>
                      </w:p>
                    </w:tc>
                  </w:tr>
                </w:tbl>
                <w:p>
                  <w:pPr>
                    <w:pStyle w:val="BodyText"/>
                  </w:pPr>
                </w:p>
              </w:txbxContent>
            </v:textbox>
            <w10:wrap type="none"/>
          </v:shape>
        </w:pict>
      </w:r>
      <w:r>
        <w:rPr>
          <w:b/>
          <w:color w:val="231F20"/>
          <w:sz w:val="16"/>
          <w:u w:val="single" w:color="231F20"/>
        </w:rPr>
        <w:t> </w:t>
        <w:tab/>
      </w:r>
      <w:r>
        <w:rPr>
          <w:b/>
          <w:color w:val="231F20"/>
          <w:sz w:val="16"/>
        </w:rPr>
        <w:t>     Change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6"/>
        </w:rPr>
      </w:pPr>
      <w:r>
        <w:rPr/>
        <w:pict>
          <v:group style="position:absolute;margin-left:390.5pt;margin-top:17.273438pt;width:40.5pt;height:2.5pt;mso-position-horizontal-relative:page;mso-position-vertical-relative:paragraph;z-index:2464;mso-wrap-distance-left:0;mso-wrap-distance-right:0" coordorigin="7810,345" coordsize="810,50">
            <v:line style="position:absolute" from="7815,350" to="8615,350" stroked="true" strokeweight=".5pt" strokecolor="#231f20">
              <v:stroke dashstyle="solid"/>
            </v:line>
            <v:line style="position:absolute" from="7815,390" to="8615,390" stroked="true" strokeweight=".5pt" strokecolor="#231f20">
              <v:stroke dashstyle="solid"/>
            </v:line>
            <w10:wrap type="topAndBottom"/>
          </v:group>
        </w:pict>
      </w:r>
      <w:r>
        <w:rPr/>
        <w:pict>
          <v:group style="position:absolute;margin-left:440.5pt;margin-top:17.273438pt;width:40.5pt;height:2.5pt;mso-position-horizontal-relative:page;mso-position-vertical-relative:paragraph;z-index:2488;mso-wrap-distance-left:0;mso-wrap-distance-right:0" coordorigin="8810,345" coordsize="810,50">
            <v:line style="position:absolute" from="8815,350" to="9615,350" stroked="true" strokeweight=".5pt" strokecolor="#231f20">
              <v:stroke dashstyle="solid"/>
            </v:line>
            <v:line style="position:absolute" from="8815,390" to="9615,390"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spacing w:before="2"/>
        <w:rPr>
          <w:b/>
          <w:sz w:val="13"/>
        </w:rPr>
      </w:pPr>
      <w:r>
        <w:rPr/>
        <w:pict>
          <v:rect style="position:absolute;margin-left:69pt;margin-top:9.55293pt;width:456pt;height:22pt;mso-position-horizontal-relative:page;mso-position-vertical-relative:paragraph;z-index:2512;mso-wrap-distance-left:0;mso-wrap-distance-right:0" filled="true" fillcolor="#ccecfc" stroked="false">
            <v:fill type="solid"/>
            <w10:wrap type="topAndBottom"/>
          </v:rect>
        </w:pict>
      </w:r>
    </w:p>
    <w:p>
      <w:pPr>
        <w:pStyle w:val="BodyText"/>
        <w:rPr>
          <w:b/>
          <w:sz w:val="20"/>
        </w:rPr>
      </w:pPr>
    </w:p>
    <w:p>
      <w:pPr>
        <w:pStyle w:val="BodyText"/>
        <w:spacing w:before="2"/>
        <w:rPr>
          <w:b/>
          <w:sz w:val="20"/>
        </w:rPr>
      </w:pPr>
      <w:r>
        <w:rPr/>
        <w:pict>
          <v:line style="position:absolute;mso-position-horizontal-relative:page;mso-position-vertical-relative:paragraph;z-index:2536;mso-wrap-distance-left:0;mso-wrap-distance-right:0" from="390.75pt,13.800977pt" to="430.75pt,13.800977pt" stroked="true" strokeweight=".5pt" strokecolor="#231f20">
            <v:stroke dashstyle="solid"/>
            <w10:wrap type="topAndBottom"/>
          </v:line>
        </w:pict>
      </w:r>
      <w:r>
        <w:rPr/>
        <w:pict>
          <v:line style="position:absolute;mso-position-horizontal-relative:page;mso-position-vertical-relative:paragraph;z-index:2560;mso-wrap-distance-left:0;mso-wrap-distance-right:0" from="440.75pt,13.800977pt" to="480.75pt,13.800977pt" stroked="true" strokeweight=".5pt" strokecolor="#231f20">
            <v:stroke dashstyle="solid"/>
            <w10:wrap type="topAndBottom"/>
          </v:line>
        </w:pict>
      </w:r>
      <w:r>
        <w:rPr/>
        <w:pict>
          <v:shape style="position:absolute;margin-left:69pt;margin-top:27.050976pt;width:456pt;height:12.5pt;mso-position-horizontal-relative:page;mso-position-vertical-relative:paragraph;z-index:2584;mso-wrap-distance-left:0;mso-wrap-distance-right:0" type="#_x0000_t202" filled="true" fillcolor="#ccecfc" stroked="false">
            <v:textbox inset="0,0,0,0">
              <w:txbxContent>
                <w:p>
                  <w:pPr>
                    <w:tabs>
                      <w:tab w:pos="6434" w:val="left" w:leader="none"/>
                      <w:tab w:pos="6794" w:val="left" w:leader="none"/>
                      <w:tab w:pos="7434" w:val="left" w:leader="none"/>
                      <w:tab w:pos="8154" w:val="right" w:leader="none"/>
                    </w:tabs>
                    <w:spacing w:before="40"/>
                    <w:ind w:left="60" w:right="0" w:firstLine="0"/>
                    <w:jc w:val="left"/>
                    <w:rPr>
                      <w:sz w:val="16"/>
                    </w:rPr>
                  </w:pPr>
                  <w:r>
                    <w:rPr>
                      <w:b/>
                      <w:color w:val="231F20"/>
                      <w:sz w:val="16"/>
                    </w:rPr>
                    <w:t>Operating income,</w:t>
                  </w:r>
                  <w:r>
                    <w:rPr>
                      <w:b/>
                      <w:color w:val="231F20"/>
                      <w:spacing w:val="-3"/>
                      <w:sz w:val="16"/>
                    </w:rPr>
                    <w:t> </w:t>
                  </w:r>
                  <w:r>
                    <w:rPr>
                      <w:b/>
                      <w:color w:val="231F20"/>
                      <w:sz w:val="16"/>
                    </w:rPr>
                    <w:t>as</w:t>
                  </w:r>
                  <w:r>
                    <w:rPr>
                      <w:b/>
                      <w:color w:val="231F20"/>
                      <w:spacing w:val="-1"/>
                      <w:sz w:val="16"/>
                    </w:rPr>
                    <w:t> </w:t>
                  </w:r>
                  <w:r>
                    <w:rPr>
                      <w:b/>
                      <w:color w:val="231F20"/>
                      <w:sz w:val="16"/>
                    </w:rPr>
                    <w:t>reported</w:t>
                    <w:tab/>
                  </w:r>
                  <w:r>
                    <w:rPr>
                      <w:color w:val="231F20"/>
                      <w:sz w:val="16"/>
                    </w:rPr>
                    <w:t>$</w:t>
                    <w:tab/>
                    <w:t>1,278</w:t>
                    <w:tab/>
                    <w:t>$</w:t>
                    <w:tab/>
                    <w:t>623</w:t>
                  </w:r>
                </w:p>
              </w:txbxContent>
            </v:textbox>
            <v:fill type="solid"/>
            <w10:wrap type="topAndBottom"/>
          </v:shape>
        </w:pict>
      </w:r>
    </w:p>
    <w:p>
      <w:pPr>
        <w:pStyle w:val="BodyText"/>
        <w:rPr>
          <w:b/>
          <w:sz w:val="18"/>
        </w:rPr>
      </w:pPr>
    </w:p>
    <w:p>
      <w:pPr>
        <w:spacing w:before="25"/>
        <w:ind w:left="160" w:right="0" w:firstLine="0"/>
        <w:jc w:val="left"/>
        <w:rPr>
          <w:sz w:val="16"/>
        </w:rPr>
      </w:pPr>
      <w:r>
        <w:rPr>
          <w:color w:val="231F20"/>
          <w:sz w:val="16"/>
        </w:rPr>
        <w:t>Add (Deduct): Reclassification between Fuel and oil and Other (gains) losses, net, associated</w:t>
      </w:r>
    </w:p>
    <w:p>
      <w:pPr>
        <w:tabs>
          <w:tab w:pos="7121" w:val="left" w:leader="none"/>
          <w:tab w:pos="8254" w:val="right" w:leader="none"/>
        </w:tabs>
        <w:spacing w:before="5" w:after="25"/>
        <w:ind w:left="320" w:right="0" w:firstLine="0"/>
        <w:jc w:val="left"/>
        <w:rPr>
          <w:sz w:val="16"/>
        </w:rPr>
      </w:pPr>
      <w:r>
        <w:rPr/>
        <w:pict>
          <v:group style="position:absolute;margin-left:390.5pt;margin-top:59.21875pt;width:40.5pt;height:2.5pt;mso-position-horizontal-relative:page;mso-position-vertical-relative:paragraph;z-index:-407224" coordorigin="7810,1184" coordsize="810,50">
            <v:line style="position:absolute" from="7815,1189" to="8615,1189" stroked="true" strokeweight=".5pt" strokecolor="#231f20">
              <v:stroke dashstyle="solid"/>
            </v:line>
            <v:line style="position:absolute" from="7815,1229" to="8615,1229" stroked="true" strokeweight=".5pt" strokecolor="#231f20">
              <v:stroke dashstyle="solid"/>
            </v:line>
            <w10:wrap type="none"/>
          </v:group>
        </w:pict>
      </w:r>
      <w:r>
        <w:rPr/>
        <w:pict>
          <v:group style="position:absolute;margin-left:440.5pt;margin-top:59.21875pt;width:40.5pt;height:2.5pt;mso-position-horizontal-relative:page;mso-position-vertical-relative:paragraph;z-index:-407200" coordorigin="8810,1184" coordsize="810,50">
            <v:line style="position:absolute" from="8815,1189" to="9615,1189" stroked="true" strokeweight=".5pt" strokecolor="#231f20">
              <v:stroke dashstyle="solid"/>
            </v:line>
            <v:line style="position:absolute" from="8815,1229" to="9615,1229" stroked="true" strokeweight=".5pt" strokecolor="#231f20">
              <v:stroke dashstyle="solid"/>
            </v:line>
            <w10:wrap type="none"/>
          </v:group>
        </w:pict>
      </w:r>
      <w:r>
        <w:rPr>
          <w:color w:val="231F20"/>
          <w:sz w:val="16"/>
        </w:rPr>
        <w:t>with current period</w:t>
      </w:r>
      <w:r>
        <w:rPr>
          <w:color w:val="231F20"/>
          <w:spacing w:val="-4"/>
          <w:sz w:val="16"/>
        </w:rPr>
        <w:t> </w:t>
      </w:r>
      <w:r>
        <w:rPr>
          <w:color w:val="231F20"/>
          <w:sz w:val="16"/>
        </w:rPr>
        <w:t>settled</w:t>
      </w:r>
      <w:r>
        <w:rPr>
          <w:color w:val="231F20"/>
          <w:spacing w:val="-2"/>
          <w:sz w:val="16"/>
        </w:rPr>
        <w:t> </w:t>
      </w:r>
      <w:r>
        <w:rPr>
          <w:color w:val="231F20"/>
          <w:sz w:val="16"/>
        </w:rPr>
        <w:t>contracts</w:t>
        <w:tab/>
        <w:t>(3)</w:t>
        <w:tab/>
        <w:t>42</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435"/>
        <w:gridCol w:w="800"/>
        <w:gridCol w:w="200"/>
        <w:gridCol w:w="800"/>
        <w:gridCol w:w="885"/>
      </w:tblGrid>
      <w:tr>
        <w:trPr>
          <w:trHeight w:val="440" w:hRule="exact"/>
        </w:trPr>
        <w:tc>
          <w:tcPr>
            <w:tcW w:w="6435" w:type="dxa"/>
            <w:shd w:val="clear" w:color="auto" w:fill="CCECFC"/>
          </w:tcPr>
          <w:p>
            <w:pPr>
              <w:pStyle w:val="TableParagraph"/>
              <w:spacing w:line="247" w:lineRule="auto" w:before="40"/>
              <w:ind w:left="220" w:right="99" w:hanging="160"/>
              <w:rPr>
                <w:sz w:val="16"/>
              </w:rPr>
            </w:pPr>
            <w:r>
              <w:rPr>
                <w:color w:val="231F20"/>
                <w:sz w:val="16"/>
              </w:rPr>
              <w:t>Add (Deduct): Contracts settling in the current period, but for which gains and/or (losses) have been recognized in a prior period*</w:t>
            </w:r>
          </w:p>
        </w:tc>
        <w:tc>
          <w:tcPr>
            <w:tcW w:w="800" w:type="dxa"/>
            <w:shd w:val="clear" w:color="auto" w:fill="CCECFC"/>
          </w:tcPr>
          <w:p>
            <w:pPr>
              <w:pStyle w:val="TableParagraph"/>
              <w:spacing w:before="0"/>
              <w:rPr>
                <w:sz w:val="20"/>
              </w:rPr>
            </w:pPr>
          </w:p>
          <w:p>
            <w:pPr>
              <w:pStyle w:val="TableParagraph"/>
              <w:spacing w:before="0"/>
              <w:ind w:right="79"/>
              <w:jc w:val="right"/>
              <w:rPr>
                <w:sz w:val="16"/>
              </w:rPr>
            </w:pPr>
            <w:r>
              <w:rPr>
                <w:color w:val="231F20"/>
                <w:sz w:val="16"/>
              </w:rPr>
              <w:t>87</w:t>
            </w:r>
          </w:p>
        </w:tc>
        <w:tc>
          <w:tcPr>
            <w:tcW w:w="200" w:type="dxa"/>
            <w:shd w:val="clear" w:color="auto" w:fill="CCECFC"/>
          </w:tcPr>
          <w:p>
            <w:pPr/>
          </w:p>
        </w:tc>
        <w:tc>
          <w:tcPr>
            <w:tcW w:w="800" w:type="dxa"/>
            <w:shd w:val="clear" w:color="auto" w:fill="CCECFC"/>
          </w:tcPr>
          <w:p>
            <w:pPr>
              <w:pStyle w:val="TableParagraph"/>
              <w:spacing w:before="0"/>
              <w:rPr>
                <w:sz w:val="20"/>
              </w:rPr>
            </w:pPr>
          </w:p>
          <w:p>
            <w:pPr>
              <w:pStyle w:val="TableParagraph"/>
              <w:spacing w:before="0"/>
              <w:ind w:right="24"/>
              <w:jc w:val="right"/>
              <w:rPr>
                <w:sz w:val="16"/>
              </w:rPr>
            </w:pPr>
            <w:r>
              <w:rPr>
                <w:color w:val="231F20"/>
                <w:sz w:val="16"/>
              </w:rPr>
              <w:t>(10)</w:t>
            </w:r>
          </w:p>
        </w:tc>
        <w:tc>
          <w:tcPr>
            <w:tcW w:w="885" w:type="dxa"/>
            <w:shd w:val="clear" w:color="auto" w:fill="CCECFC"/>
          </w:tcPr>
          <w:p>
            <w:pPr/>
          </w:p>
        </w:tc>
      </w:tr>
      <w:tr>
        <w:trPr>
          <w:trHeight w:val="265" w:hRule="exact"/>
        </w:trPr>
        <w:tc>
          <w:tcPr>
            <w:tcW w:w="6435" w:type="dxa"/>
          </w:tcPr>
          <w:p>
            <w:pPr>
              <w:pStyle w:val="TableParagraph"/>
              <w:spacing w:before="40"/>
              <w:ind w:left="60"/>
              <w:rPr>
                <w:sz w:val="16"/>
              </w:rPr>
            </w:pPr>
            <w:r>
              <w:rPr>
                <w:color w:val="231F20"/>
                <w:sz w:val="16"/>
              </w:rPr>
              <w:t>Add: Acquisition and Integration costs</w:t>
            </w:r>
          </w:p>
        </w:tc>
        <w:tc>
          <w:tcPr>
            <w:tcW w:w="800" w:type="dxa"/>
            <w:tcBorders>
              <w:bottom w:val="single" w:sz="4" w:space="0" w:color="231F20"/>
            </w:tcBorders>
          </w:tcPr>
          <w:p>
            <w:pPr>
              <w:pStyle w:val="TableParagraph"/>
              <w:spacing w:before="40"/>
              <w:ind w:right="77"/>
              <w:jc w:val="right"/>
              <w:rPr>
                <w:sz w:val="16"/>
              </w:rPr>
            </w:pPr>
            <w:r>
              <w:rPr>
                <w:color w:val="231F20"/>
                <w:sz w:val="16"/>
              </w:rPr>
              <w:t>86</w:t>
            </w:r>
          </w:p>
        </w:tc>
        <w:tc>
          <w:tcPr>
            <w:tcW w:w="200" w:type="dxa"/>
          </w:tcPr>
          <w:p>
            <w:pPr/>
          </w:p>
        </w:tc>
        <w:tc>
          <w:tcPr>
            <w:tcW w:w="800" w:type="dxa"/>
            <w:tcBorders>
              <w:bottom w:val="single" w:sz="4" w:space="0" w:color="231F20"/>
            </w:tcBorders>
          </w:tcPr>
          <w:p>
            <w:pPr>
              <w:pStyle w:val="TableParagraph"/>
              <w:spacing w:before="40"/>
              <w:ind w:right="77"/>
              <w:jc w:val="right"/>
              <w:rPr>
                <w:sz w:val="16"/>
              </w:rPr>
            </w:pPr>
            <w:r>
              <w:rPr>
                <w:color w:val="231F20"/>
                <w:sz w:val="16"/>
              </w:rPr>
              <w:t>183</w:t>
            </w:r>
          </w:p>
        </w:tc>
        <w:tc>
          <w:tcPr>
            <w:tcW w:w="885" w:type="dxa"/>
          </w:tcPr>
          <w:p>
            <w:pPr/>
          </w:p>
        </w:tc>
      </w:tr>
      <w:tr>
        <w:trPr>
          <w:trHeight w:val="286" w:hRule="exact"/>
        </w:trPr>
        <w:tc>
          <w:tcPr>
            <w:tcW w:w="6435" w:type="dxa"/>
            <w:shd w:val="clear" w:color="auto" w:fill="CCECFC"/>
          </w:tcPr>
          <w:p>
            <w:pPr>
              <w:pStyle w:val="TableParagraph"/>
              <w:spacing w:before="40"/>
              <w:ind w:left="60"/>
              <w:rPr>
                <w:b/>
                <w:sz w:val="16"/>
              </w:rPr>
            </w:pPr>
            <w:r>
              <w:rPr>
                <w:b/>
                <w:color w:val="231F20"/>
                <w:sz w:val="16"/>
              </w:rPr>
              <w:t>Operating income, non-GAAP</w:t>
            </w:r>
          </w:p>
        </w:tc>
        <w:tc>
          <w:tcPr>
            <w:tcW w:w="800" w:type="dxa"/>
            <w:tcBorders>
              <w:top w:val="single" w:sz="4" w:space="0" w:color="231F20"/>
            </w:tcBorders>
            <w:shd w:val="clear" w:color="auto" w:fill="CCECFC"/>
          </w:tcPr>
          <w:p>
            <w:pPr>
              <w:pStyle w:val="TableParagraph"/>
              <w:tabs>
                <w:tab w:pos="359" w:val="left" w:leader="none"/>
              </w:tabs>
              <w:spacing w:before="40"/>
              <w:ind w:right="78"/>
              <w:jc w:val="right"/>
              <w:rPr>
                <w:sz w:val="16"/>
              </w:rPr>
            </w:pPr>
            <w:r>
              <w:rPr>
                <w:color w:val="231F20"/>
                <w:sz w:val="16"/>
              </w:rPr>
              <w:t>$</w:t>
              <w:tab/>
            </w:r>
            <w:r>
              <w:rPr>
                <w:color w:val="231F20"/>
                <w:spacing w:val="-1"/>
                <w:sz w:val="16"/>
              </w:rPr>
              <w:t>1,448</w:t>
            </w:r>
          </w:p>
        </w:tc>
        <w:tc>
          <w:tcPr>
            <w:tcW w:w="200" w:type="dxa"/>
            <w:shd w:val="clear" w:color="auto" w:fill="CCECFC"/>
          </w:tcPr>
          <w:p>
            <w:pPr/>
          </w:p>
        </w:tc>
        <w:tc>
          <w:tcPr>
            <w:tcW w:w="800" w:type="dxa"/>
            <w:tcBorders>
              <w:top w:val="single" w:sz="4" w:space="0" w:color="231F20"/>
            </w:tcBorders>
            <w:shd w:val="clear" w:color="auto" w:fill="CCECFC"/>
          </w:tcPr>
          <w:p>
            <w:pPr>
              <w:pStyle w:val="TableParagraph"/>
              <w:tabs>
                <w:tab w:pos="479" w:val="left" w:leader="none"/>
              </w:tabs>
              <w:spacing w:before="40"/>
              <w:rPr>
                <w:sz w:val="16"/>
              </w:rPr>
            </w:pPr>
            <w:r>
              <w:rPr>
                <w:color w:val="231F20"/>
                <w:sz w:val="16"/>
              </w:rPr>
              <w:t>$</w:t>
              <w:tab/>
              <w:t>838</w:t>
            </w:r>
          </w:p>
        </w:tc>
        <w:tc>
          <w:tcPr>
            <w:tcW w:w="885" w:type="dxa"/>
            <w:shd w:val="clear" w:color="auto" w:fill="CCECFC"/>
          </w:tcPr>
          <w:p>
            <w:pPr>
              <w:pStyle w:val="TableParagraph"/>
              <w:spacing w:before="40"/>
              <w:ind w:right="64"/>
              <w:jc w:val="right"/>
              <w:rPr>
                <w:sz w:val="16"/>
              </w:rPr>
            </w:pPr>
            <w:r>
              <w:rPr>
                <w:color w:val="231F20"/>
                <w:sz w:val="16"/>
              </w:rPr>
              <w:t>72.8%</w:t>
            </w:r>
          </w:p>
        </w:tc>
      </w:tr>
      <w:tr>
        <w:trPr>
          <w:trHeight w:val="249"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50" w:hRule="exact"/>
        </w:trPr>
        <w:tc>
          <w:tcPr>
            <w:tcW w:w="6435" w:type="dxa"/>
            <w:shd w:val="clear" w:color="auto" w:fill="CCECFC"/>
          </w:tcPr>
          <w:p>
            <w:pPr>
              <w:pStyle w:val="TableParagraph"/>
              <w:spacing w:before="40"/>
              <w:ind w:left="60"/>
              <w:rPr>
                <w:b/>
                <w:sz w:val="16"/>
              </w:rPr>
            </w:pPr>
            <w:r>
              <w:rPr>
                <w:b/>
                <w:color w:val="231F20"/>
                <w:sz w:val="16"/>
              </w:rPr>
              <w:t>Net income, as reported</w:t>
            </w:r>
          </w:p>
        </w:tc>
        <w:tc>
          <w:tcPr>
            <w:tcW w:w="800" w:type="dxa"/>
            <w:shd w:val="clear" w:color="auto" w:fill="CCECFC"/>
          </w:tcPr>
          <w:p>
            <w:pPr>
              <w:pStyle w:val="TableParagraph"/>
              <w:tabs>
                <w:tab w:pos="479" w:val="left" w:leader="none"/>
              </w:tabs>
              <w:spacing w:before="40"/>
              <w:ind w:right="78"/>
              <w:jc w:val="right"/>
              <w:rPr>
                <w:sz w:val="16"/>
              </w:rPr>
            </w:pPr>
            <w:r>
              <w:rPr>
                <w:color w:val="231F20"/>
                <w:sz w:val="16"/>
              </w:rPr>
              <w:t>$</w:t>
              <w:tab/>
            </w:r>
            <w:r>
              <w:rPr>
                <w:color w:val="231F20"/>
                <w:spacing w:val="-1"/>
                <w:sz w:val="16"/>
              </w:rPr>
              <w:t>754</w:t>
            </w:r>
          </w:p>
        </w:tc>
        <w:tc>
          <w:tcPr>
            <w:tcW w:w="200" w:type="dxa"/>
            <w:shd w:val="clear" w:color="auto" w:fill="CCECFC"/>
          </w:tcPr>
          <w:p>
            <w:pPr/>
          </w:p>
        </w:tc>
        <w:tc>
          <w:tcPr>
            <w:tcW w:w="800" w:type="dxa"/>
            <w:shd w:val="clear" w:color="auto" w:fill="CCECFC"/>
          </w:tcPr>
          <w:p>
            <w:pPr>
              <w:pStyle w:val="TableParagraph"/>
              <w:tabs>
                <w:tab w:pos="479" w:val="left" w:leader="none"/>
              </w:tabs>
              <w:spacing w:before="40"/>
              <w:rPr>
                <w:sz w:val="16"/>
              </w:rPr>
            </w:pPr>
            <w:r>
              <w:rPr>
                <w:color w:val="231F20"/>
                <w:sz w:val="16"/>
              </w:rPr>
              <w:t>$</w:t>
              <w:tab/>
              <w:t>421</w:t>
            </w:r>
          </w:p>
        </w:tc>
        <w:tc>
          <w:tcPr>
            <w:tcW w:w="885" w:type="dxa"/>
            <w:shd w:val="clear" w:color="auto" w:fill="CCECFC"/>
          </w:tcPr>
          <w:p>
            <w:pPr/>
          </w:p>
        </w:tc>
      </w:tr>
      <w:tr>
        <w:trPr>
          <w:trHeight w:val="250" w:hRule="exact"/>
        </w:trPr>
        <w:tc>
          <w:tcPr>
            <w:tcW w:w="6435" w:type="dxa"/>
          </w:tcPr>
          <w:p>
            <w:pPr>
              <w:pStyle w:val="TableParagraph"/>
              <w:spacing w:before="40"/>
              <w:ind w:left="60"/>
              <w:rPr>
                <w:sz w:val="16"/>
              </w:rPr>
            </w:pPr>
            <w:r>
              <w:rPr>
                <w:color w:val="231F20"/>
                <w:sz w:val="16"/>
              </w:rPr>
              <w:t>Deduct: Mark-to-market impact from fuel contracts settling in future periods</w:t>
            </w:r>
          </w:p>
        </w:tc>
        <w:tc>
          <w:tcPr>
            <w:tcW w:w="800" w:type="dxa"/>
          </w:tcPr>
          <w:p>
            <w:pPr>
              <w:pStyle w:val="TableParagraph"/>
              <w:spacing w:before="40"/>
              <w:ind w:right="24"/>
              <w:jc w:val="right"/>
              <w:rPr>
                <w:sz w:val="16"/>
              </w:rPr>
            </w:pPr>
            <w:r>
              <w:rPr>
                <w:color w:val="231F20"/>
                <w:sz w:val="16"/>
              </w:rPr>
              <w:t>(103)</w:t>
            </w:r>
          </w:p>
        </w:tc>
        <w:tc>
          <w:tcPr>
            <w:tcW w:w="200" w:type="dxa"/>
          </w:tcPr>
          <w:p>
            <w:pPr/>
          </w:p>
        </w:tc>
        <w:tc>
          <w:tcPr>
            <w:tcW w:w="800" w:type="dxa"/>
          </w:tcPr>
          <w:p>
            <w:pPr>
              <w:pStyle w:val="TableParagraph"/>
              <w:spacing w:before="40"/>
              <w:ind w:right="24"/>
              <w:jc w:val="right"/>
              <w:rPr>
                <w:sz w:val="16"/>
              </w:rPr>
            </w:pPr>
            <w:r>
              <w:rPr>
                <w:color w:val="231F20"/>
                <w:sz w:val="16"/>
              </w:rPr>
              <w:t>(221)</w:t>
            </w:r>
          </w:p>
        </w:tc>
        <w:tc>
          <w:tcPr>
            <w:tcW w:w="885" w:type="dxa"/>
          </w:tcPr>
          <w:p>
            <w:pPr/>
          </w:p>
        </w:tc>
      </w:tr>
      <w:tr>
        <w:trPr>
          <w:trHeight w:val="250" w:hRule="exact"/>
        </w:trPr>
        <w:tc>
          <w:tcPr>
            <w:tcW w:w="6435" w:type="dxa"/>
            <w:shd w:val="clear" w:color="auto" w:fill="CCECFC"/>
          </w:tcPr>
          <w:p>
            <w:pPr>
              <w:pStyle w:val="TableParagraph"/>
              <w:spacing w:before="40"/>
              <w:ind w:left="60"/>
              <w:rPr>
                <w:sz w:val="16"/>
              </w:rPr>
            </w:pPr>
            <w:r>
              <w:rPr>
                <w:color w:val="231F20"/>
                <w:sz w:val="16"/>
              </w:rPr>
              <w:t>Add: Ineffectiveness from fuel hedges settling in future periods</w:t>
            </w:r>
          </w:p>
        </w:tc>
        <w:tc>
          <w:tcPr>
            <w:tcW w:w="800" w:type="dxa"/>
            <w:shd w:val="clear" w:color="auto" w:fill="CCECFC"/>
          </w:tcPr>
          <w:p>
            <w:pPr>
              <w:pStyle w:val="TableParagraph"/>
              <w:spacing w:before="40"/>
              <w:ind w:right="77"/>
              <w:jc w:val="right"/>
              <w:rPr>
                <w:sz w:val="16"/>
              </w:rPr>
            </w:pPr>
            <w:r>
              <w:rPr>
                <w:color w:val="231F20"/>
                <w:sz w:val="16"/>
              </w:rPr>
              <w:t>11</w:t>
            </w:r>
          </w:p>
        </w:tc>
        <w:tc>
          <w:tcPr>
            <w:tcW w:w="200" w:type="dxa"/>
            <w:shd w:val="clear" w:color="auto" w:fill="CCECFC"/>
          </w:tcPr>
          <w:p>
            <w:pPr/>
          </w:p>
        </w:tc>
        <w:tc>
          <w:tcPr>
            <w:tcW w:w="800" w:type="dxa"/>
            <w:shd w:val="clear" w:color="auto" w:fill="CCECFC"/>
          </w:tcPr>
          <w:p>
            <w:pPr>
              <w:pStyle w:val="TableParagraph"/>
              <w:spacing w:before="40"/>
              <w:ind w:right="77"/>
              <w:jc w:val="right"/>
              <w:rPr>
                <w:sz w:val="16"/>
              </w:rPr>
            </w:pPr>
            <w:r>
              <w:rPr>
                <w:color w:val="231F20"/>
                <w:sz w:val="16"/>
              </w:rPr>
              <w:t>42</w:t>
            </w:r>
          </w:p>
        </w:tc>
        <w:tc>
          <w:tcPr>
            <w:tcW w:w="885" w:type="dxa"/>
            <w:shd w:val="clear" w:color="auto" w:fill="CCECFC"/>
          </w:tcPr>
          <w:p>
            <w:pPr/>
          </w:p>
        </w:tc>
      </w:tr>
      <w:tr>
        <w:trPr>
          <w:trHeight w:val="440" w:hRule="exact"/>
        </w:trPr>
        <w:tc>
          <w:tcPr>
            <w:tcW w:w="6435" w:type="dxa"/>
          </w:tcPr>
          <w:p>
            <w:pPr>
              <w:pStyle w:val="TableParagraph"/>
              <w:spacing w:line="247" w:lineRule="auto" w:before="40"/>
              <w:ind w:left="220" w:right="99" w:hanging="160"/>
              <w:rPr>
                <w:sz w:val="16"/>
              </w:rPr>
            </w:pPr>
            <w:r>
              <w:rPr>
                <w:color w:val="231F20"/>
                <w:sz w:val="16"/>
              </w:rPr>
              <w:t>Add (Deduct): Other net impact of fuel contracts settling in the current or a prior period (excluding reclassifications)</w:t>
            </w:r>
          </w:p>
        </w:tc>
        <w:tc>
          <w:tcPr>
            <w:tcW w:w="800" w:type="dxa"/>
          </w:tcPr>
          <w:p>
            <w:pPr>
              <w:pStyle w:val="TableParagraph"/>
              <w:spacing w:before="0"/>
              <w:rPr>
                <w:sz w:val="20"/>
              </w:rPr>
            </w:pPr>
          </w:p>
          <w:p>
            <w:pPr>
              <w:pStyle w:val="TableParagraph"/>
              <w:spacing w:before="0"/>
              <w:ind w:right="79"/>
              <w:jc w:val="right"/>
              <w:rPr>
                <w:sz w:val="16"/>
              </w:rPr>
            </w:pPr>
            <w:r>
              <w:rPr>
                <w:color w:val="231F20"/>
                <w:sz w:val="16"/>
              </w:rPr>
              <w:t>87</w:t>
            </w:r>
          </w:p>
        </w:tc>
        <w:tc>
          <w:tcPr>
            <w:tcW w:w="200" w:type="dxa"/>
          </w:tcPr>
          <w:p>
            <w:pPr/>
          </w:p>
        </w:tc>
        <w:tc>
          <w:tcPr>
            <w:tcW w:w="800" w:type="dxa"/>
          </w:tcPr>
          <w:p>
            <w:pPr>
              <w:pStyle w:val="TableParagraph"/>
              <w:spacing w:before="0"/>
              <w:rPr>
                <w:sz w:val="20"/>
              </w:rPr>
            </w:pPr>
          </w:p>
          <w:p>
            <w:pPr>
              <w:pStyle w:val="TableParagraph"/>
              <w:spacing w:before="0"/>
              <w:ind w:right="24"/>
              <w:jc w:val="right"/>
              <w:rPr>
                <w:sz w:val="16"/>
              </w:rPr>
            </w:pPr>
            <w:r>
              <w:rPr>
                <w:color w:val="231F20"/>
                <w:sz w:val="16"/>
              </w:rPr>
              <w:t>(10)</w:t>
            </w:r>
          </w:p>
        </w:tc>
        <w:tc>
          <w:tcPr>
            <w:tcW w:w="885" w:type="dxa"/>
          </w:tcPr>
          <w:p>
            <w:pPr/>
          </w:p>
        </w:tc>
      </w:tr>
      <w:tr>
        <w:trPr>
          <w:trHeight w:val="250" w:hRule="exact"/>
        </w:trPr>
        <w:tc>
          <w:tcPr>
            <w:tcW w:w="6435" w:type="dxa"/>
            <w:shd w:val="clear" w:color="auto" w:fill="CCECFC"/>
          </w:tcPr>
          <w:p>
            <w:pPr>
              <w:pStyle w:val="TableParagraph"/>
              <w:spacing w:before="40"/>
              <w:ind w:left="60"/>
              <w:rPr>
                <w:sz w:val="16"/>
              </w:rPr>
            </w:pPr>
            <w:r>
              <w:rPr>
                <w:color w:val="231F20"/>
                <w:sz w:val="16"/>
              </w:rPr>
              <w:t>Income tax impact of fuel contracts</w:t>
            </w:r>
          </w:p>
        </w:tc>
        <w:tc>
          <w:tcPr>
            <w:tcW w:w="800" w:type="dxa"/>
            <w:shd w:val="clear" w:color="auto" w:fill="CCECFC"/>
          </w:tcPr>
          <w:p>
            <w:pPr>
              <w:pStyle w:val="TableParagraph"/>
              <w:spacing w:before="40"/>
              <w:ind w:right="77"/>
              <w:jc w:val="right"/>
              <w:rPr>
                <w:sz w:val="16"/>
              </w:rPr>
            </w:pPr>
            <w:r>
              <w:rPr>
                <w:color w:val="231F20"/>
                <w:sz w:val="16"/>
              </w:rPr>
              <w:t>2</w:t>
            </w:r>
          </w:p>
        </w:tc>
        <w:tc>
          <w:tcPr>
            <w:tcW w:w="200" w:type="dxa"/>
            <w:shd w:val="clear" w:color="auto" w:fill="CCECFC"/>
          </w:tcPr>
          <w:p>
            <w:pPr/>
          </w:p>
        </w:tc>
        <w:tc>
          <w:tcPr>
            <w:tcW w:w="800" w:type="dxa"/>
            <w:shd w:val="clear" w:color="auto" w:fill="CCECFC"/>
          </w:tcPr>
          <w:p>
            <w:pPr>
              <w:pStyle w:val="TableParagraph"/>
              <w:spacing w:before="40"/>
              <w:ind w:right="77"/>
              <w:jc w:val="right"/>
              <w:rPr>
                <w:sz w:val="16"/>
              </w:rPr>
            </w:pPr>
            <w:r>
              <w:rPr>
                <w:color w:val="231F20"/>
                <w:sz w:val="16"/>
              </w:rPr>
              <w:t>73</w:t>
            </w:r>
          </w:p>
        </w:tc>
        <w:tc>
          <w:tcPr>
            <w:tcW w:w="885" w:type="dxa"/>
            <w:shd w:val="clear" w:color="auto" w:fill="CCECFC"/>
          </w:tcPr>
          <w:p>
            <w:pPr/>
          </w:p>
        </w:tc>
      </w:tr>
      <w:tr>
        <w:trPr>
          <w:trHeight w:val="265" w:hRule="exact"/>
        </w:trPr>
        <w:tc>
          <w:tcPr>
            <w:tcW w:w="6435" w:type="dxa"/>
          </w:tcPr>
          <w:p>
            <w:pPr>
              <w:pStyle w:val="TableParagraph"/>
              <w:spacing w:before="40"/>
              <w:ind w:left="60"/>
              <w:rPr>
                <w:sz w:val="16"/>
              </w:rPr>
            </w:pPr>
            <w:r>
              <w:rPr>
                <w:color w:val="231F20"/>
                <w:sz w:val="16"/>
              </w:rPr>
              <w:t>Add: Acquisition and Integration costs (a)</w:t>
            </w:r>
          </w:p>
        </w:tc>
        <w:tc>
          <w:tcPr>
            <w:tcW w:w="800" w:type="dxa"/>
            <w:tcBorders>
              <w:bottom w:val="single" w:sz="4" w:space="0" w:color="231F20"/>
            </w:tcBorders>
          </w:tcPr>
          <w:p>
            <w:pPr>
              <w:pStyle w:val="TableParagraph"/>
              <w:spacing w:before="40"/>
              <w:ind w:right="77"/>
              <w:jc w:val="right"/>
              <w:rPr>
                <w:sz w:val="16"/>
              </w:rPr>
            </w:pPr>
            <w:r>
              <w:rPr>
                <w:color w:val="231F20"/>
                <w:sz w:val="16"/>
              </w:rPr>
              <w:t>54</w:t>
            </w:r>
          </w:p>
        </w:tc>
        <w:tc>
          <w:tcPr>
            <w:tcW w:w="200" w:type="dxa"/>
          </w:tcPr>
          <w:p>
            <w:pPr/>
          </w:p>
        </w:tc>
        <w:tc>
          <w:tcPr>
            <w:tcW w:w="800" w:type="dxa"/>
            <w:tcBorders>
              <w:bottom w:val="single" w:sz="4" w:space="0" w:color="231F20"/>
            </w:tcBorders>
          </w:tcPr>
          <w:p>
            <w:pPr>
              <w:pStyle w:val="TableParagraph"/>
              <w:spacing w:before="40"/>
              <w:ind w:right="77"/>
              <w:jc w:val="right"/>
              <w:rPr>
                <w:sz w:val="16"/>
              </w:rPr>
            </w:pPr>
            <w:r>
              <w:rPr>
                <w:color w:val="231F20"/>
                <w:sz w:val="16"/>
              </w:rPr>
              <w:t>112</w:t>
            </w:r>
          </w:p>
        </w:tc>
        <w:tc>
          <w:tcPr>
            <w:tcW w:w="885" w:type="dxa"/>
          </w:tcPr>
          <w:p>
            <w:pPr/>
          </w:p>
        </w:tc>
      </w:tr>
      <w:tr>
        <w:trPr>
          <w:trHeight w:val="286" w:hRule="exact"/>
        </w:trPr>
        <w:tc>
          <w:tcPr>
            <w:tcW w:w="6435" w:type="dxa"/>
            <w:shd w:val="clear" w:color="auto" w:fill="CCECFC"/>
          </w:tcPr>
          <w:p>
            <w:pPr>
              <w:pStyle w:val="TableParagraph"/>
              <w:spacing w:before="40"/>
              <w:ind w:left="60"/>
              <w:rPr>
                <w:b/>
                <w:sz w:val="16"/>
              </w:rPr>
            </w:pPr>
            <w:r>
              <w:rPr>
                <w:b/>
                <w:color w:val="231F20"/>
                <w:sz w:val="16"/>
              </w:rPr>
              <w:t>Net income, non-GAAP</w:t>
            </w:r>
          </w:p>
        </w:tc>
        <w:tc>
          <w:tcPr>
            <w:tcW w:w="800" w:type="dxa"/>
            <w:tcBorders>
              <w:top w:val="single" w:sz="4" w:space="0" w:color="231F20"/>
            </w:tcBorders>
            <w:shd w:val="clear" w:color="auto" w:fill="CCECFC"/>
          </w:tcPr>
          <w:p>
            <w:pPr>
              <w:pStyle w:val="TableParagraph"/>
              <w:tabs>
                <w:tab w:pos="479" w:val="left" w:leader="none"/>
              </w:tabs>
              <w:spacing w:before="40"/>
              <w:ind w:right="78"/>
              <w:jc w:val="right"/>
              <w:rPr>
                <w:sz w:val="16"/>
              </w:rPr>
            </w:pPr>
            <w:r>
              <w:rPr>
                <w:color w:val="231F20"/>
                <w:sz w:val="16"/>
              </w:rPr>
              <w:t>$</w:t>
              <w:tab/>
            </w:r>
            <w:r>
              <w:rPr>
                <w:color w:val="231F20"/>
                <w:spacing w:val="-1"/>
                <w:sz w:val="16"/>
              </w:rPr>
              <w:t>805</w:t>
            </w:r>
          </w:p>
        </w:tc>
        <w:tc>
          <w:tcPr>
            <w:tcW w:w="200" w:type="dxa"/>
            <w:shd w:val="clear" w:color="auto" w:fill="CCECFC"/>
          </w:tcPr>
          <w:p>
            <w:pPr/>
          </w:p>
        </w:tc>
        <w:tc>
          <w:tcPr>
            <w:tcW w:w="800" w:type="dxa"/>
            <w:tcBorders>
              <w:top w:val="single" w:sz="4" w:space="0" w:color="231F20"/>
            </w:tcBorders>
            <w:shd w:val="clear" w:color="auto" w:fill="CCECFC"/>
          </w:tcPr>
          <w:p>
            <w:pPr>
              <w:pStyle w:val="TableParagraph"/>
              <w:tabs>
                <w:tab w:pos="479" w:val="left" w:leader="none"/>
              </w:tabs>
              <w:spacing w:before="40"/>
              <w:rPr>
                <w:sz w:val="16"/>
              </w:rPr>
            </w:pPr>
            <w:r>
              <w:rPr>
                <w:color w:val="231F20"/>
                <w:sz w:val="16"/>
              </w:rPr>
              <w:t>$</w:t>
              <w:tab/>
              <w:t>417</w:t>
            </w:r>
          </w:p>
        </w:tc>
        <w:tc>
          <w:tcPr>
            <w:tcW w:w="885" w:type="dxa"/>
            <w:shd w:val="clear" w:color="auto" w:fill="CCECFC"/>
          </w:tcPr>
          <w:p>
            <w:pPr>
              <w:pStyle w:val="TableParagraph"/>
              <w:spacing w:before="40"/>
              <w:ind w:right="64"/>
              <w:jc w:val="right"/>
              <w:rPr>
                <w:sz w:val="16"/>
              </w:rPr>
            </w:pPr>
            <w:r>
              <w:rPr>
                <w:color w:val="231F20"/>
                <w:sz w:val="16"/>
              </w:rPr>
              <w:t>93.0%</w:t>
            </w:r>
          </w:p>
        </w:tc>
      </w:tr>
      <w:tr>
        <w:trPr>
          <w:trHeight w:val="249"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50" w:hRule="exact"/>
        </w:trPr>
        <w:tc>
          <w:tcPr>
            <w:tcW w:w="6435" w:type="dxa"/>
            <w:shd w:val="clear" w:color="auto" w:fill="CCECFC"/>
          </w:tcPr>
          <w:p>
            <w:pPr>
              <w:pStyle w:val="TableParagraph"/>
              <w:spacing w:before="40"/>
              <w:ind w:left="60"/>
              <w:rPr>
                <w:b/>
                <w:sz w:val="16"/>
              </w:rPr>
            </w:pPr>
            <w:r>
              <w:rPr>
                <w:b/>
                <w:color w:val="231F20"/>
                <w:sz w:val="16"/>
              </w:rPr>
              <w:t>Net income per share, diluted, as reported</w:t>
            </w:r>
          </w:p>
        </w:tc>
        <w:tc>
          <w:tcPr>
            <w:tcW w:w="800" w:type="dxa"/>
            <w:shd w:val="clear" w:color="auto" w:fill="CCECFC"/>
          </w:tcPr>
          <w:p>
            <w:pPr>
              <w:pStyle w:val="TableParagraph"/>
              <w:tabs>
                <w:tab w:pos="439" w:val="left" w:leader="none"/>
              </w:tabs>
              <w:spacing w:before="40"/>
              <w:ind w:right="78"/>
              <w:jc w:val="right"/>
              <w:rPr>
                <w:sz w:val="16"/>
              </w:rPr>
            </w:pPr>
            <w:r>
              <w:rPr>
                <w:color w:val="231F20"/>
                <w:sz w:val="16"/>
              </w:rPr>
              <w:t>$</w:t>
              <w:tab/>
            </w:r>
            <w:r>
              <w:rPr>
                <w:color w:val="231F20"/>
                <w:spacing w:val="-1"/>
                <w:sz w:val="16"/>
              </w:rPr>
              <w:t>1.05</w:t>
            </w:r>
          </w:p>
        </w:tc>
        <w:tc>
          <w:tcPr>
            <w:tcW w:w="200" w:type="dxa"/>
            <w:shd w:val="clear" w:color="auto" w:fill="CCECFC"/>
          </w:tcPr>
          <w:p>
            <w:pPr/>
          </w:p>
        </w:tc>
        <w:tc>
          <w:tcPr>
            <w:tcW w:w="800" w:type="dxa"/>
            <w:shd w:val="clear" w:color="auto" w:fill="CCECFC"/>
          </w:tcPr>
          <w:p>
            <w:pPr>
              <w:pStyle w:val="TableParagraph"/>
              <w:tabs>
                <w:tab w:pos="439" w:val="left" w:leader="none"/>
              </w:tabs>
              <w:spacing w:before="40"/>
              <w:rPr>
                <w:sz w:val="16"/>
              </w:rPr>
            </w:pPr>
            <w:r>
              <w:rPr>
                <w:color w:val="231F20"/>
                <w:sz w:val="16"/>
              </w:rPr>
              <w:t>$</w:t>
              <w:tab/>
              <w:t>0.56</w:t>
            </w:r>
          </w:p>
        </w:tc>
        <w:tc>
          <w:tcPr>
            <w:tcW w:w="885" w:type="dxa"/>
            <w:shd w:val="clear" w:color="auto" w:fill="CCECFC"/>
          </w:tcPr>
          <w:p>
            <w:pPr/>
          </w:p>
        </w:tc>
      </w:tr>
      <w:tr>
        <w:trPr>
          <w:trHeight w:val="250" w:hRule="exact"/>
        </w:trPr>
        <w:tc>
          <w:tcPr>
            <w:tcW w:w="6435" w:type="dxa"/>
          </w:tcPr>
          <w:p>
            <w:pPr>
              <w:pStyle w:val="TableParagraph"/>
              <w:spacing w:before="40"/>
              <w:ind w:left="60"/>
              <w:rPr>
                <w:sz w:val="16"/>
              </w:rPr>
            </w:pPr>
            <w:r>
              <w:rPr>
                <w:color w:val="231F20"/>
                <w:sz w:val="16"/>
              </w:rPr>
              <w:t>Deduct: Net impact to net income above from fuel contracts divided by dilutive shares (a)</w:t>
            </w:r>
          </w:p>
        </w:tc>
        <w:tc>
          <w:tcPr>
            <w:tcW w:w="800" w:type="dxa"/>
          </w:tcPr>
          <w:p>
            <w:pPr>
              <w:pStyle w:val="TableParagraph"/>
              <w:spacing w:before="40"/>
              <w:ind w:right="77"/>
              <w:jc w:val="right"/>
              <w:rPr>
                <w:sz w:val="16"/>
              </w:rPr>
            </w:pPr>
            <w:r>
              <w:rPr>
                <w:color w:val="231F20"/>
                <w:sz w:val="16"/>
              </w:rPr>
              <w:t>—</w:t>
            </w:r>
          </w:p>
        </w:tc>
        <w:tc>
          <w:tcPr>
            <w:tcW w:w="200" w:type="dxa"/>
          </w:tcPr>
          <w:p>
            <w:pPr/>
          </w:p>
        </w:tc>
        <w:tc>
          <w:tcPr>
            <w:tcW w:w="800" w:type="dxa"/>
          </w:tcPr>
          <w:p>
            <w:pPr>
              <w:pStyle w:val="TableParagraph"/>
              <w:spacing w:before="40"/>
              <w:ind w:right="24"/>
              <w:jc w:val="right"/>
              <w:rPr>
                <w:sz w:val="16"/>
              </w:rPr>
            </w:pPr>
            <w:r>
              <w:rPr>
                <w:color w:val="231F20"/>
                <w:sz w:val="16"/>
              </w:rPr>
              <w:t>(0.15)</w:t>
            </w:r>
          </w:p>
        </w:tc>
        <w:tc>
          <w:tcPr>
            <w:tcW w:w="885" w:type="dxa"/>
          </w:tcPr>
          <w:p>
            <w:pPr/>
          </w:p>
        </w:tc>
      </w:tr>
      <w:tr>
        <w:trPr>
          <w:trHeight w:val="265" w:hRule="exact"/>
        </w:trPr>
        <w:tc>
          <w:tcPr>
            <w:tcW w:w="6435" w:type="dxa"/>
            <w:shd w:val="clear" w:color="auto" w:fill="CCECFC"/>
          </w:tcPr>
          <w:p>
            <w:pPr>
              <w:pStyle w:val="TableParagraph"/>
              <w:spacing w:before="40"/>
              <w:ind w:left="60"/>
              <w:rPr>
                <w:sz w:val="16"/>
              </w:rPr>
            </w:pPr>
            <w:r>
              <w:rPr>
                <w:color w:val="231F20"/>
                <w:sz w:val="16"/>
              </w:rPr>
              <w:t>Add: Impact of special items, net (a)</w:t>
            </w:r>
          </w:p>
        </w:tc>
        <w:tc>
          <w:tcPr>
            <w:tcW w:w="800" w:type="dxa"/>
            <w:tcBorders>
              <w:bottom w:val="single" w:sz="4" w:space="0" w:color="231F20"/>
            </w:tcBorders>
            <w:shd w:val="clear" w:color="auto" w:fill="CCECFC"/>
          </w:tcPr>
          <w:p>
            <w:pPr>
              <w:pStyle w:val="TableParagraph"/>
              <w:spacing w:before="40"/>
              <w:ind w:right="77"/>
              <w:jc w:val="right"/>
              <w:rPr>
                <w:sz w:val="16"/>
              </w:rPr>
            </w:pPr>
            <w:r>
              <w:rPr>
                <w:color w:val="231F20"/>
                <w:sz w:val="16"/>
              </w:rPr>
              <w:t>0.07</w:t>
            </w:r>
          </w:p>
        </w:tc>
        <w:tc>
          <w:tcPr>
            <w:tcW w:w="200" w:type="dxa"/>
            <w:shd w:val="clear" w:color="auto" w:fill="CCECFC"/>
          </w:tcPr>
          <w:p>
            <w:pPr/>
          </w:p>
        </w:tc>
        <w:tc>
          <w:tcPr>
            <w:tcW w:w="800" w:type="dxa"/>
            <w:tcBorders>
              <w:bottom w:val="single" w:sz="4" w:space="0" w:color="231F20"/>
            </w:tcBorders>
            <w:shd w:val="clear" w:color="auto" w:fill="CCECFC"/>
          </w:tcPr>
          <w:p>
            <w:pPr>
              <w:pStyle w:val="TableParagraph"/>
              <w:spacing w:before="40"/>
              <w:ind w:right="77"/>
              <w:jc w:val="right"/>
              <w:rPr>
                <w:sz w:val="16"/>
              </w:rPr>
            </w:pPr>
            <w:r>
              <w:rPr>
                <w:color w:val="231F20"/>
                <w:sz w:val="16"/>
              </w:rPr>
              <w:t>0.15</w:t>
            </w:r>
          </w:p>
        </w:tc>
        <w:tc>
          <w:tcPr>
            <w:tcW w:w="885" w:type="dxa"/>
            <w:shd w:val="clear" w:color="auto" w:fill="CCECFC"/>
          </w:tcPr>
          <w:p>
            <w:pPr/>
          </w:p>
        </w:tc>
      </w:tr>
      <w:tr>
        <w:trPr>
          <w:trHeight w:val="303" w:hRule="exact"/>
        </w:trPr>
        <w:tc>
          <w:tcPr>
            <w:tcW w:w="6435" w:type="dxa"/>
          </w:tcPr>
          <w:p>
            <w:pPr>
              <w:pStyle w:val="TableParagraph"/>
              <w:spacing w:before="60"/>
              <w:ind w:left="60"/>
              <w:rPr>
                <w:b/>
                <w:sz w:val="16"/>
              </w:rPr>
            </w:pPr>
            <w:r>
              <w:rPr>
                <w:b/>
                <w:color w:val="231F20"/>
                <w:sz w:val="16"/>
              </w:rPr>
              <w:t>Net income per share, diluted, non-GAAP</w:t>
            </w:r>
          </w:p>
        </w:tc>
        <w:tc>
          <w:tcPr>
            <w:tcW w:w="800" w:type="dxa"/>
            <w:tcBorders>
              <w:top w:val="single" w:sz="4" w:space="0" w:color="231F20"/>
            </w:tcBorders>
          </w:tcPr>
          <w:p>
            <w:pPr>
              <w:pStyle w:val="TableParagraph"/>
              <w:tabs>
                <w:tab w:pos="439" w:val="left" w:leader="none"/>
              </w:tabs>
              <w:spacing w:before="40"/>
              <w:ind w:right="78"/>
              <w:jc w:val="right"/>
              <w:rPr>
                <w:sz w:val="16"/>
              </w:rPr>
            </w:pPr>
            <w:r>
              <w:rPr>
                <w:color w:val="231F20"/>
                <w:sz w:val="16"/>
              </w:rPr>
              <w:t>$</w:t>
              <w:tab/>
            </w:r>
            <w:r>
              <w:rPr>
                <w:color w:val="231F20"/>
                <w:spacing w:val="-1"/>
                <w:sz w:val="16"/>
              </w:rPr>
              <w:t>1.12</w:t>
            </w:r>
          </w:p>
        </w:tc>
        <w:tc>
          <w:tcPr>
            <w:tcW w:w="200" w:type="dxa"/>
          </w:tcPr>
          <w:p>
            <w:pPr/>
          </w:p>
        </w:tc>
        <w:tc>
          <w:tcPr>
            <w:tcW w:w="800" w:type="dxa"/>
            <w:tcBorders>
              <w:top w:val="single" w:sz="4" w:space="0" w:color="231F20"/>
            </w:tcBorders>
          </w:tcPr>
          <w:p>
            <w:pPr>
              <w:pStyle w:val="TableParagraph"/>
              <w:tabs>
                <w:tab w:pos="439" w:val="left" w:leader="none"/>
              </w:tabs>
              <w:spacing w:before="40"/>
              <w:rPr>
                <w:sz w:val="16"/>
              </w:rPr>
            </w:pPr>
            <w:r>
              <w:rPr>
                <w:color w:val="231F20"/>
                <w:sz w:val="16"/>
              </w:rPr>
              <w:t>$</w:t>
              <w:tab/>
              <w:t>0.56</w:t>
            </w:r>
          </w:p>
        </w:tc>
        <w:tc>
          <w:tcPr>
            <w:tcW w:w="885" w:type="dxa"/>
          </w:tcPr>
          <w:p>
            <w:pPr>
              <w:pStyle w:val="TableParagraph"/>
              <w:spacing w:before="60"/>
              <w:ind w:right="64"/>
              <w:jc w:val="right"/>
              <w:rPr>
                <w:sz w:val="16"/>
              </w:rPr>
            </w:pPr>
            <w:r>
              <w:rPr>
                <w:color w:val="231F20"/>
                <w:sz w:val="16"/>
              </w:rPr>
              <w:t>100.0%</w:t>
            </w:r>
          </w:p>
        </w:tc>
      </w:tr>
      <w:tr>
        <w:trPr>
          <w:trHeight w:val="233" w:hRule="exact"/>
        </w:trPr>
        <w:tc>
          <w:tcPr>
            <w:tcW w:w="6435" w:type="dxa"/>
            <w:shd w:val="clear" w:color="auto" w:fill="CCECFC"/>
          </w:tcPr>
          <w:p>
            <w:pPr/>
          </w:p>
        </w:tc>
        <w:tc>
          <w:tcPr>
            <w:tcW w:w="800" w:type="dxa"/>
            <w:shd w:val="clear" w:color="auto" w:fill="CCECFC"/>
          </w:tcPr>
          <w:p>
            <w:pPr/>
          </w:p>
        </w:tc>
        <w:tc>
          <w:tcPr>
            <w:tcW w:w="200" w:type="dxa"/>
            <w:shd w:val="clear" w:color="auto" w:fill="CCECFC"/>
          </w:tcPr>
          <w:p>
            <w:pPr/>
          </w:p>
        </w:tc>
        <w:tc>
          <w:tcPr>
            <w:tcW w:w="800" w:type="dxa"/>
            <w:shd w:val="clear" w:color="auto" w:fill="CCECFC"/>
          </w:tcPr>
          <w:p>
            <w:pPr/>
          </w:p>
        </w:tc>
        <w:tc>
          <w:tcPr>
            <w:tcW w:w="885" w:type="dxa"/>
            <w:shd w:val="clear" w:color="auto" w:fill="CCECFC"/>
          </w:tcPr>
          <w:p>
            <w:pPr/>
          </w:p>
        </w:tc>
      </w:tr>
      <w:tr>
        <w:trPr>
          <w:trHeight w:val="250" w:hRule="exact"/>
        </w:trPr>
        <w:tc>
          <w:tcPr>
            <w:tcW w:w="6435" w:type="dxa"/>
          </w:tcPr>
          <w:p>
            <w:pPr>
              <w:pStyle w:val="TableParagraph"/>
              <w:spacing w:before="40"/>
              <w:ind w:left="60"/>
              <w:rPr>
                <w:b/>
                <w:sz w:val="16"/>
              </w:rPr>
            </w:pPr>
            <w:r>
              <w:rPr>
                <w:b/>
                <w:color w:val="231F20"/>
                <w:sz w:val="16"/>
              </w:rPr>
              <w:t>Operating expenses per ASM (cents)</w:t>
            </w:r>
          </w:p>
        </w:tc>
        <w:tc>
          <w:tcPr>
            <w:tcW w:w="800" w:type="dxa"/>
          </w:tcPr>
          <w:p>
            <w:pPr>
              <w:pStyle w:val="TableParagraph"/>
              <w:spacing w:before="40"/>
              <w:jc w:val="right"/>
              <w:rPr>
                <w:sz w:val="16"/>
              </w:rPr>
            </w:pPr>
            <w:r>
              <w:rPr>
                <w:color w:val="231F20"/>
                <w:sz w:val="16"/>
              </w:rPr>
              <w:t>12.60¢</w:t>
            </w:r>
          </w:p>
        </w:tc>
        <w:tc>
          <w:tcPr>
            <w:tcW w:w="200" w:type="dxa"/>
          </w:tcPr>
          <w:p>
            <w:pPr/>
          </w:p>
        </w:tc>
        <w:tc>
          <w:tcPr>
            <w:tcW w:w="800" w:type="dxa"/>
          </w:tcPr>
          <w:p>
            <w:pPr>
              <w:pStyle w:val="TableParagraph"/>
              <w:spacing w:before="40"/>
              <w:jc w:val="right"/>
              <w:rPr>
                <w:sz w:val="16"/>
              </w:rPr>
            </w:pPr>
            <w:r>
              <w:rPr>
                <w:color w:val="231F20"/>
                <w:sz w:val="16"/>
              </w:rPr>
              <w:t>12.85¢</w:t>
            </w:r>
          </w:p>
        </w:tc>
        <w:tc>
          <w:tcPr>
            <w:tcW w:w="885" w:type="dxa"/>
          </w:tcPr>
          <w:p>
            <w:pPr/>
          </w:p>
        </w:tc>
      </w:tr>
      <w:tr>
        <w:trPr>
          <w:trHeight w:val="250" w:hRule="exact"/>
        </w:trPr>
        <w:tc>
          <w:tcPr>
            <w:tcW w:w="6435" w:type="dxa"/>
            <w:shd w:val="clear" w:color="auto" w:fill="CCECFC"/>
          </w:tcPr>
          <w:p>
            <w:pPr>
              <w:pStyle w:val="TableParagraph"/>
              <w:spacing w:before="40"/>
              <w:ind w:left="60"/>
              <w:rPr>
                <w:sz w:val="16"/>
              </w:rPr>
            </w:pPr>
            <w:r>
              <w:rPr>
                <w:color w:val="231F20"/>
                <w:sz w:val="16"/>
              </w:rPr>
              <w:t>Deduct: Fuel expense divided by ASMs (cents)</w:t>
            </w:r>
          </w:p>
        </w:tc>
        <w:tc>
          <w:tcPr>
            <w:tcW w:w="800" w:type="dxa"/>
            <w:shd w:val="clear" w:color="auto" w:fill="CCECFC"/>
          </w:tcPr>
          <w:p>
            <w:pPr>
              <w:pStyle w:val="TableParagraph"/>
              <w:spacing w:before="40"/>
              <w:ind w:right="24"/>
              <w:jc w:val="right"/>
              <w:rPr>
                <w:sz w:val="16"/>
              </w:rPr>
            </w:pPr>
            <w:r>
              <w:rPr>
                <w:color w:val="231F20"/>
                <w:sz w:val="16"/>
              </w:rPr>
              <w:t>(4.42)</w:t>
            </w:r>
          </w:p>
        </w:tc>
        <w:tc>
          <w:tcPr>
            <w:tcW w:w="200" w:type="dxa"/>
            <w:shd w:val="clear" w:color="auto" w:fill="CCECFC"/>
          </w:tcPr>
          <w:p>
            <w:pPr/>
          </w:p>
        </w:tc>
        <w:tc>
          <w:tcPr>
            <w:tcW w:w="800" w:type="dxa"/>
            <w:shd w:val="clear" w:color="auto" w:fill="CCECFC"/>
          </w:tcPr>
          <w:p>
            <w:pPr>
              <w:pStyle w:val="TableParagraph"/>
              <w:spacing w:before="40"/>
              <w:ind w:right="24"/>
              <w:jc w:val="right"/>
              <w:rPr>
                <w:sz w:val="16"/>
              </w:rPr>
            </w:pPr>
            <w:r>
              <w:rPr>
                <w:color w:val="231F20"/>
                <w:sz w:val="16"/>
              </w:rPr>
              <w:t>(4.78)</w:t>
            </w:r>
          </w:p>
        </w:tc>
        <w:tc>
          <w:tcPr>
            <w:tcW w:w="885" w:type="dxa"/>
            <w:shd w:val="clear" w:color="auto" w:fill="CCECFC"/>
          </w:tcPr>
          <w:p>
            <w:pPr/>
          </w:p>
        </w:tc>
      </w:tr>
      <w:tr>
        <w:trPr>
          <w:trHeight w:val="265" w:hRule="exact"/>
        </w:trPr>
        <w:tc>
          <w:tcPr>
            <w:tcW w:w="6435" w:type="dxa"/>
          </w:tcPr>
          <w:p>
            <w:pPr>
              <w:pStyle w:val="TableParagraph"/>
              <w:spacing w:before="40"/>
              <w:ind w:left="60"/>
              <w:rPr>
                <w:sz w:val="16"/>
              </w:rPr>
            </w:pPr>
            <w:r>
              <w:rPr>
                <w:color w:val="231F20"/>
                <w:sz w:val="16"/>
              </w:rPr>
              <w:t>Deduct: Impact of special items, net (cents)</w:t>
            </w:r>
          </w:p>
        </w:tc>
        <w:tc>
          <w:tcPr>
            <w:tcW w:w="800" w:type="dxa"/>
            <w:tcBorders>
              <w:bottom w:val="single" w:sz="4" w:space="0" w:color="231F20"/>
            </w:tcBorders>
          </w:tcPr>
          <w:p>
            <w:pPr>
              <w:pStyle w:val="TableParagraph"/>
              <w:spacing w:before="40"/>
              <w:ind w:right="24"/>
              <w:jc w:val="right"/>
              <w:rPr>
                <w:sz w:val="16"/>
              </w:rPr>
            </w:pPr>
            <w:r>
              <w:rPr>
                <w:color w:val="231F20"/>
                <w:sz w:val="16"/>
              </w:rPr>
              <w:t>(0.07)</w:t>
            </w:r>
          </w:p>
        </w:tc>
        <w:tc>
          <w:tcPr>
            <w:tcW w:w="200" w:type="dxa"/>
          </w:tcPr>
          <w:p>
            <w:pPr/>
          </w:p>
        </w:tc>
        <w:tc>
          <w:tcPr>
            <w:tcW w:w="800" w:type="dxa"/>
            <w:tcBorders>
              <w:bottom w:val="single" w:sz="4" w:space="0" w:color="231F20"/>
            </w:tcBorders>
          </w:tcPr>
          <w:p>
            <w:pPr>
              <w:pStyle w:val="TableParagraph"/>
              <w:spacing w:before="40"/>
              <w:ind w:right="24"/>
              <w:jc w:val="right"/>
              <w:rPr>
                <w:sz w:val="16"/>
              </w:rPr>
            </w:pPr>
            <w:r>
              <w:rPr>
                <w:color w:val="231F20"/>
                <w:sz w:val="16"/>
              </w:rPr>
              <w:t>(0.14)</w:t>
            </w:r>
          </w:p>
        </w:tc>
        <w:tc>
          <w:tcPr>
            <w:tcW w:w="885" w:type="dxa"/>
          </w:tcPr>
          <w:p>
            <w:pPr/>
          </w:p>
        </w:tc>
      </w:tr>
      <w:tr>
        <w:trPr>
          <w:trHeight w:val="310" w:hRule="exact"/>
        </w:trPr>
        <w:tc>
          <w:tcPr>
            <w:tcW w:w="6435" w:type="dxa"/>
            <w:shd w:val="clear" w:color="auto" w:fill="CCECFC"/>
          </w:tcPr>
          <w:p>
            <w:pPr>
              <w:pStyle w:val="TableParagraph"/>
              <w:spacing w:before="40"/>
              <w:ind w:left="60"/>
              <w:rPr>
                <w:b/>
                <w:sz w:val="16"/>
              </w:rPr>
            </w:pPr>
            <w:r>
              <w:rPr>
                <w:b/>
                <w:color w:val="231F20"/>
                <w:sz w:val="16"/>
              </w:rPr>
              <w:t>Operating expenses per ASM, non-GAAP, excluding fuel and special items (cents)</w:t>
            </w:r>
          </w:p>
        </w:tc>
        <w:tc>
          <w:tcPr>
            <w:tcW w:w="800" w:type="dxa"/>
            <w:tcBorders>
              <w:top w:val="single" w:sz="4" w:space="0" w:color="231F20"/>
              <w:bottom w:val="single" w:sz="4" w:space="0" w:color="231F20"/>
            </w:tcBorders>
            <w:shd w:val="clear" w:color="auto" w:fill="CCECFC"/>
          </w:tcPr>
          <w:p>
            <w:pPr>
              <w:pStyle w:val="TableParagraph"/>
              <w:spacing w:before="40"/>
              <w:jc w:val="right"/>
              <w:rPr>
                <w:sz w:val="16"/>
              </w:rPr>
            </w:pPr>
            <w:r>
              <w:rPr>
                <w:color w:val="231F20"/>
                <w:sz w:val="16"/>
              </w:rPr>
              <w:t>8.11¢</w:t>
            </w:r>
          </w:p>
        </w:tc>
        <w:tc>
          <w:tcPr>
            <w:tcW w:w="200" w:type="dxa"/>
            <w:shd w:val="clear" w:color="auto" w:fill="CCECFC"/>
          </w:tcPr>
          <w:p>
            <w:pPr/>
          </w:p>
        </w:tc>
        <w:tc>
          <w:tcPr>
            <w:tcW w:w="800" w:type="dxa"/>
            <w:tcBorders>
              <w:top w:val="single" w:sz="4" w:space="0" w:color="231F20"/>
              <w:bottom w:val="single" w:sz="4" w:space="0" w:color="231F20"/>
            </w:tcBorders>
            <w:shd w:val="clear" w:color="auto" w:fill="CCECFC"/>
          </w:tcPr>
          <w:p>
            <w:pPr>
              <w:pStyle w:val="TableParagraph"/>
              <w:spacing w:before="40"/>
              <w:jc w:val="right"/>
              <w:rPr>
                <w:sz w:val="16"/>
              </w:rPr>
            </w:pPr>
            <w:r>
              <w:rPr>
                <w:color w:val="231F20"/>
                <w:sz w:val="16"/>
              </w:rPr>
              <w:t>7.93¢</w:t>
            </w:r>
          </w:p>
        </w:tc>
        <w:tc>
          <w:tcPr>
            <w:tcW w:w="885" w:type="dxa"/>
            <w:shd w:val="clear" w:color="auto" w:fill="CCECFC"/>
          </w:tcPr>
          <w:p>
            <w:pPr>
              <w:pStyle w:val="TableParagraph"/>
              <w:spacing w:before="40"/>
              <w:ind w:right="64"/>
              <w:jc w:val="right"/>
              <w:rPr>
                <w:sz w:val="16"/>
              </w:rPr>
            </w:pPr>
            <w:r>
              <w:rPr>
                <w:color w:val="231F20"/>
                <w:sz w:val="16"/>
              </w:rPr>
              <w:t>2.3%</w:t>
            </w:r>
          </w:p>
        </w:tc>
      </w:tr>
    </w:tbl>
    <w:p>
      <w:pPr>
        <w:tabs>
          <w:tab w:pos="499" w:val="left" w:leader="none"/>
        </w:tabs>
        <w:spacing w:before="106"/>
        <w:ind w:left="100" w:right="0" w:firstLine="0"/>
        <w:jc w:val="left"/>
        <w:rPr>
          <w:sz w:val="20"/>
        </w:rPr>
      </w:pPr>
      <w:r>
        <w:rPr/>
        <w:pict>
          <v:group style="position:absolute;margin-left:390.5pt;margin-top:-132.764069pt;width:40.5pt;height:2.5pt;mso-position-horizontal-relative:page;mso-position-vertical-relative:paragraph;z-index:-407176" coordorigin="7810,-2655" coordsize="810,50">
            <v:line style="position:absolute" from="7815,-2650" to="8615,-2650" stroked="true" strokeweight=".5pt" strokecolor="#231f20">
              <v:stroke dashstyle="solid"/>
            </v:line>
            <v:line style="position:absolute" from="7815,-2610" to="8615,-2610" stroked="true" strokeweight=".5pt" strokecolor="#231f20">
              <v:stroke dashstyle="solid"/>
            </v:line>
            <w10:wrap type="none"/>
          </v:group>
        </w:pict>
      </w:r>
      <w:r>
        <w:rPr/>
        <w:pict>
          <v:group style="position:absolute;margin-left:440.5pt;margin-top:-132.764069pt;width:40.5pt;height:2.5pt;mso-position-horizontal-relative:page;mso-position-vertical-relative:paragraph;z-index:-407152" coordorigin="8810,-2655" coordsize="810,50">
            <v:line style="position:absolute" from="8815,-2650" to="9615,-2650" stroked="true" strokeweight=".5pt" strokecolor="#231f20">
              <v:stroke dashstyle="solid"/>
            </v:line>
            <v:line style="position:absolute" from="8815,-2610" to="9615,-2610" stroked="true" strokeweight=".5pt" strokecolor="#231f20">
              <v:stroke dashstyle="solid"/>
            </v:line>
            <w10:wrap type="none"/>
          </v:group>
        </w:pict>
      </w:r>
      <w:r>
        <w:rPr/>
        <w:pict>
          <v:group style="position:absolute;margin-left:390.5pt;margin-top:-67.764061pt;width:40.5pt;height:2.5pt;mso-position-horizontal-relative:page;mso-position-vertical-relative:paragraph;z-index:-407128" coordorigin="7810,-1355" coordsize="810,50">
            <v:line style="position:absolute" from="7815,-1350" to="8615,-1350" stroked="true" strokeweight=".5pt" strokecolor="#231f20">
              <v:stroke dashstyle="solid"/>
            </v:line>
            <v:line style="position:absolute" from="7815,-1310" to="8615,-1310" stroked="true" strokeweight=".5pt" strokecolor="#231f20">
              <v:stroke dashstyle="solid"/>
            </v:line>
            <w10:wrap type="none"/>
          </v:group>
        </w:pict>
      </w:r>
      <w:r>
        <w:rPr/>
        <w:pict>
          <v:group style="position:absolute;margin-left:440.5pt;margin-top:-67.764061pt;width:40.5pt;height:2.5pt;mso-position-horizontal-relative:page;mso-position-vertical-relative:paragraph;z-index:-407104" coordorigin="8810,-1355" coordsize="810,50">
            <v:line style="position:absolute" from="8815,-1350" to="9615,-1350" stroked="true" strokeweight=".5pt" strokecolor="#231f20">
              <v:stroke dashstyle="solid"/>
            </v:line>
            <v:line style="position:absolute" from="8815,-1310" to="9615,-1310" stroked="true" strokeweight=".5pt" strokecolor="#231f20">
              <v:stroke dashstyle="solid"/>
            </v:line>
            <w10:wrap type="none"/>
          </v:group>
        </w:pict>
      </w:r>
      <w:r>
        <w:rPr/>
        <w:pict>
          <v:line style="position:absolute;mso-position-horizontal-relative:page;mso-position-vertical-relative:paragraph;z-index:-407080" from="390.75pt,-2.514064pt" to="430.75pt,-2.514064pt" stroked="true" strokeweight=".5pt" strokecolor="#231f20">
            <v:stroke dashstyle="solid"/>
            <w10:wrap type="none"/>
          </v:line>
        </w:pict>
      </w:r>
      <w:r>
        <w:rPr/>
        <w:pict>
          <v:line style="position:absolute;mso-position-horizontal-relative:page;mso-position-vertical-relative:paragraph;z-index:-407056" from="440.75pt,-2.514064pt" to="480.75pt,-2.514064pt" stroked="true" strokeweight=".5pt" strokecolor="#231f20">
            <v:stroke dashstyle="solid"/>
            <w10:wrap type="none"/>
          </v:line>
        </w:pict>
      </w:r>
      <w:r>
        <w:rPr>
          <w:color w:val="231F20"/>
          <w:sz w:val="20"/>
        </w:rPr>
        <w:t>*</w:t>
        <w:tab/>
        <w:t>As a result of prior hedge ineffectiveness and/or contracts marked to market through</w:t>
      </w:r>
      <w:r>
        <w:rPr>
          <w:color w:val="231F20"/>
          <w:spacing w:val="9"/>
          <w:sz w:val="20"/>
        </w:rPr>
        <w:t> </w:t>
      </w:r>
      <w:r>
        <w:rPr>
          <w:color w:val="231F20"/>
          <w:sz w:val="20"/>
        </w:rPr>
        <w:t>earnings.</w:t>
      </w:r>
    </w:p>
    <w:p>
      <w:pPr>
        <w:spacing w:before="9"/>
        <w:ind w:left="100" w:right="0" w:firstLine="0"/>
        <w:jc w:val="left"/>
        <w:rPr>
          <w:sz w:val="20"/>
        </w:rPr>
      </w:pPr>
      <w:r>
        <w:rPr>
          <w:color w:val="231F20"/>
          <w:sz w:val="20"/>
        </w:rPr>
        <w:t>(a) Amounts net of tax</w:t>
      </w:r>
    </w:p>
    <w:p>
      <w:pPr>
        <w:pStyle w:val="BodyText"/>
        <w:spacing w:before="4"/>
        <w:rPr>
          <w:sz w:val="21"/>
        </w:rPr>
      </w:pPr>
    </w:p>
    <w:p>
      <w:pPr>
        <w:pStyle w:val="BodyText"/>
        <w:ind w:left="820"/>
      </w:pPr>
      <w:r>
        <w:rPr>
          <w:color w:val="231F20"/>
        </w:rPr>
        <w:t>See previous Note Regarding Use of Non-GAAP Financial Measures.</w:t>
      </w:r>
    </w:p>
    <w:p>
      <w:pPr>
        <w:spacing w:after="0"/>
        <w:sectPr>
          <w:type w:val="continuous"/>
          <w:pgSz w:w="11880" w:h="15480"/>
          <w:pgMar w:top="1260" w:bottom="280" w:left="1280" w:right="1260"/>
        </w:sectPr>
      </w:pPr>
    </w:p>
    <w:p>
      <w:pPr>
        <w:pStyle w:val="Heading2"/>
        <w:spacing w:before="74"/>
        <w:ind w:left="100"/>
        <w:rPr>
          <w:i/>
        </w:rPr>
      </w:pPr>
      <w:r>
        <w:rPr>
          <w:i/>
          <w:color w:val="231F20"/>
        </w:rPr>
        <w:t>2013 compared with 2012</w:t>
      </w:r>
    </w:p>
    <w:p>
      <w:pPr>
        <w:pStyle w:val="BodyText"/>
        <w:spacing w:before="5"/>
        <w:rPr>
          <w:b/>
          <w:i/>
        </w:rPr>
      </w:pPr>
    </w:p>
    <w:p>
      <w:pPr>
        <w:pStyle w:val="BodyText"/>
        <w:spacing w:line="247" w:lineRule="auto"/>
        <w:ind w:left="100" w:right="117" w:firstLine="720"/>
        <w:jc w:val="both"/>
      </w:pPr>
      <w:r>
        <w:rPr>
          <w:color w:val="231F20"/>
        </w:rPr>
        <w:t>The Company’s 2013 net income of $754 million ($1.05 per share, diluted) increased by $333 million, or 79.1 percent, compared with its 2012 net income of $421 million ($0.56 per share, diluted). Excluding the impact of special items, the Company’s 2013 net income on a non-GAAP basis  increased 93.0 percent, compared with 2012. Both significant increases were primarily due to a combination of (i) higher passenger revenues, primarily achieved through higher average airfares,  </w:t>
      </w:r>
      <w:r>
        <w:rPr>
          <w:color w:val="231F20"/>
          <w:spacing w:val="24"/>
        </w:rPr>
        <w:t> </w:t>
      </w:r>
      <w:r>
        <w:rPr>
          <w:color w:val="231F20"/>
        </w:rPr>
        <w:t>and</w:t>
      </w:r>
    </w:p>
    <w:p>
      <w:pPr>
        <w:pStyle w:val="ListParagraph"/>
        <w:numPr>
          <w:ilvl w:val="0"/>
          <w:numId w:val="11"/>
        </w:numPr>
        <w:tabs>
          <w:tab w:pos="423" w:val="left" w:leader="none"/>
        </w:tabs>
        <w:spacing w:line="253" w:lineRule="exact" w:before="0" w:after="0"/>
        <w:ind w:left="100" w:right="0" w:firstLine="0"/>
        <w:jc w:val="left"/>
        <w:rPr>
          <w:sz w:val="22"/>
        </w:rPr>
      </w:pPr>
      <w:r>
        <w:rPr>
          <w:color w:val="231F20"/>
          <w:sz w:val="22"/>
        </w:rPr>
        <w:t>lower fuel costs, primarily due to lower jet fuel</w:t>
      </w:r>
      <w:r>
        <w:rPr>
          <w:color w:val="231F20"/>
          <w:spacing w:val="-3"/>
          <w:sz w:val="22"/>
        </w:rPr>
        <w:t> </w:t>
      </w:r>
      <w:r>
        <w:rPr>
          <w:color w:val="231F20"/>
          <w:sz w:val="22"/>
        </w:rPr>
        <w:t>prices.</w:t>
      </w:r>
    </w:p>
    <w:p>
      <w:pPr>
        <w:pStyle w:val="BodyText"/>
        <w:spacing w:before="6"/>
      </w:pPr>
    </w:p>
    <w:p>
      <w:pPr>
        <w:pStyle w:val="Heading1"/>
        <w:spacing w:before="0"/>
      </w:pPr>
      <w:r>
        <w:rPr>
          <w:color w:val="231F20"/>
        </w:rPr>
        <w:t>Operating Revenues</w:t>
      </w:r>
    </w:p>
    <w:p>
      <w:pPr>
        <w:pStyle w:val="BodyText"/>
        <w:spacing w:before="5"/>
        <w:rPr>
          <w:b/>
        </w:rPr>
      </w:pPr>
    </w:p>
    <w:p>
      <w:pPr>
        <w:pStyle w:val="BodyText"/>
        <w:spacing w:line="247" w:lineRule="auto"/>
        <w:ind w:left="100" w:right="118" w:firstLine="720"/>
        <w:jc w:val="both"/>
      </w:pPr>
      <w:r>
        <w:rPr>
          <w:color w:val="231F20"/>
        </w:rPr>
        <w:t>Operating revenues for 2013 increased by $611 million, or 3.6 percent, compared with 2012. The majority of this increase was due to a $628 million, or 3.9 percent, increase in Passenger revenues. Approximately 60 percent of the increase in Passenger revenues was attributable to the 2.4 percent increase in Passenger yield and driven by increased fares. The remainder of the increase in Passenger revenues was due to the 1.7 percent increase in capacity.</w:t>
      </w:r>
    </w:p>
    <w:p>
      <w:pPr>
        <w:pStyle w:val="BodyText"/>
        <w:spacing w:before="9"/>
        <w:rPr>
          <w:sz w:val="21"/>
        </w:rPr>
      </w:pPr>
    </w:p>
    <w:p>
      <w:pPr>
        <w:pStyle w:val="BodyText"/>
        <w:spacing w:line="247" w:lineRule="auto"/>
        <w:ind w:left="100" w:right="117" w:firstLine="720"/>
        <w:jc w:val="both"/>
      </w:pPr>
      <w:r>
        <w:rPr>
          <w:color w:val="231F20"/>
        </w:rPr>
        <w:t>Freight revenues for 2013 increased by $4 million, or 2.5 percent, compared with 2012, primarily due to higher average rates charged as a result of fuel surcharges. Other revenues for 2013 decreased by $21 million, or 2.5 percent, compared with 2012. This was primarily due to a decrease in ancillary revenues as a result of the adoption of Southwest’s more Customer-friendly fee policies for Customers that purchased travel on AirTran through southwest.com. Other revenues for 2013 included approximately $105 million in baggage fees collected from AirTran Customers, versus   approximately</w:t>
      </w:r>
    </w:p>
    <w:p>
      <w:pPr>
        <w:pStyle w:val="BodyText"/>
        <w:spacing w:line="253" w:lineRule="exact"/>
        <w:ind w:left="100"/>
      </w:pPr>
      <w:r>
        <w:rPr>
          <w:color w:val="231F20"/>
        </w:rPr>
        <w:t>$146 million for 2012.</w:t>
      </w:r>
    </w:p>
    <w:p>
      <w:pPr>
        <w:pStyle w:val="BodyText"/>
        <w:spacing w:before="6"/>
      </w:pPr>
    </w:p>
    <w:p>
      <w:pPr>
        <w:pStyle w:val="Heading1"/>
        <w:spacing w:before="0"/>
      </w:pPr>
      <w:r>
        <w:rPr>
          <w:color w:val="231F20"/>
        </w:rPr>
        <w:t>Operating expenses</w:t>
      </w:r>
    </w:p>
    <w:p>
      <w:pPr>
        <w:pStyle w:val="BodyText"/>
        <w:spacing w:before="5"/>
        <w:rPr>
          <w:b/>
        </w:rPr>
      </w:pPr>
    </w:p>
    <w:p>
      <w:pPr>
        <w:pStyle w:val="BodyText"/>
        <w:spacing w:line="247" w:lineRule="auto"/>
        <w:ind w:left="100" w:right="117" w:firstLine="720"/>
        <w:jc w:val="both"/>
      </w:pPr>
      <w:r>
        <w:rPr>
          <w:color w:val="231F20"/>
        </w:rPr>
        <w:t>Historically, except for changes in the price of fuel, changes in most Operating expenses for airlines are largely driven by changes in capacity, or ASMs. However, 2013 was affected by a significant decrease in Acquisition and integration expense which was not driven by capacity. The following table presents the Company’s Operating expenses per ASM for 2013 and 2012, followed by explanations of these changes on a per ASM basis and/or on a dollar basis:</w:t>
      </w:r>
    </w:p>
    <w:p>
      <w:pPr>
        <w:tabs>
          <w:tab w:pos="7002" w:val="left" w:leader="none"/>
          <w:tab w:pos="8331" w:val="left" w:leader="none"/>
        </w:tabs>
        <w:spacing w:before="210"/>
        <w:ind w:left="4380" w:right="0" w:firstLine="0"/>
        <w:jc w:val="left"/>
        <w:rPr>
          <w:b/>
          <w:sz w:val="20"/>
        </w:rPr>
      </w:pPr>
      <w:r>
        <w:rPr/>
        <w:pict>
          <v:shape style="position:absolute;margin-left:69pt;margin-top:23.335926pt;width:456.25pt;height:145.75pt;mso-position-horizontal-relative:page;mso-position-vertical-relative:paragraph;z-index:292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200"/>
                    <w:gridCol w:w="1080"/>
                    <w:gridCol w:w="200"/>
                    <w:gridCol w:w="1127"/>
                    <w:gridCol w:w="153"/>
                    <w:gridCol w:w="1080"/>
                  </w:tblGrid>
                  <w:tr>
                    <w:trPr>
                      <w:trHeight w:val="300" w:hRule="exact"/>
                    </w:trPr>
                    <w:tc>
                      <w:tcPr>
                        <w:tcW w:w="4200" w:type="dxa"/>
                      </w:tcPr>
                      <w:p>
                        <w:pPr>
                          <w:pStyle w:val="TableParagraph"/>
                          <w:spacing w:before="43"/>
                          <w:ind w:left="60"/>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2013</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2012</w:t>
                        </w:r>
                      </w:p>
                    </w:tc>
                    <w:tc>
                      <w:tcPr>
                        <w:tcW w:w="200" w:type="dxa"/>
                      </w:tcPr>
                      <w:p>
                        <w:pPr/>
                      </w:p>
                    </w:tc>
                    <w:tc>
                      <w:tcPr>
                        <w:tcW w:w="1127" w:type="dxa"/>
                        <w:tcBorders>
                          <w:bottom w:val="single" w:sz="8" w:space="0" w:color="231F20"/>
                        </w:tcBorders>
                      </w:tcPr>
                      <w:p>
                        <w:pPr>
                          <w:pStyle w:val="TableParagraph"/>
                          <w:spacing w:before="43"/>
                          <w:ind w:left="240"/>
                          <w:rPr>
                            <w:b/>
                            <w:sz w:val="20"/>
                          </w:rPr>
                        </w:pPr>
                        <w:r>
                          <w:rPr>
                            <w:b/>
                            <w:color w:val="231F20"/>
                            <w:sz w:val="20"/>
                          </w:rPr>
                          <w:t>change</w:t>
                        </w:r>
                      </w:p>
                    </w:tc>
                    <w:tc>
                      <w:tcPr>
                        <w:tcW w:w="153" w:type="dxa"/>
                      </w:tcPr>
                      <w:p>
                        <w:pPr/>
                      </w:p>
                    </w:tc>
                    <w:tc>
                      <w:tcPr>
                        <w:tcW w:w="1080" w:type="dxa"/>
                        <w:tcBorders>
                          <w:bottom w:val="single" w:sz="8" w:space="0" w:color="231F20"/>
                        </w:tcBorders>
                      </w:tcPr>
                      <w:p>
                        <w:pPr>
                          <w:pStyle w:val="TableParagraph"/>
                          <w:spacing w:before="43"/>
                          <w:ind w:left="219"/>
                          <w:rPr>
                            <w:b/>
                            <w:sz w:val="20"/>
                          </w:rPr>
                        </w:pPr>
                        <w:r>
                          <w:rPr>
                            <w:b/>
                            <w:color w:val="231F20"/>
                            <w:sz w:val="20"/>
                          </w:rPr>
                          <w:t>change</w:t>
                        </w:r>
                      </w:p>
                    </w:tc>
                  </w:tr>
                  <w:tr>
                    <w:trPr>
                      <w:trHeight w:val="290" w:hRule="exact"/>
                    </w:trPr>
                    <w:tc>
                      <w:tcPr>
                        <w:tcW w:w="4200" w:type="dxa"/>
                        <w:shd w:val="clear" w:color="auto" w:fill="CCECFC"/>
                      </w:tcPr>
                      <w:p>
                        <w:pPr>
                          <w:pStyle w:val="TableParagraph"/>
                          <w:spacing w:before="33"/>
                          <w:ind w:left="60"/>
                          <w:rPr>
                            <w:sz w:val="20"/>
                          </w:rPr>
                        </w:pPr>
                        <w:r>
                          <w:rPr>
                            <w:color w:val="231F20"/>
                            <w:sz w:val="20"/>
                          </w:rPr>
                          <w:t>Salaries, wages, and benefits</w:t>
                        </w:r>
                      </w:p>
                    </w:tc>
                    <w:tc>
                      <w:tcPr>
                        <w:tcW w:w="1080" w:type="dxa"/>
                        <w:tcBorders>
                          <w:top w:val="single" w:sz="8" w:space="0" w:color="231F20"/>
                        </w:tcBorders>
                        <w:shd w:val="clear" w:color="auto" w:fill="CCECFC"/>
                      </w:tcPr>
                      <w:p>
                        <w:pPr>
                          <w:pStyle w:val="TableParagraph"/>
                          <w:spacing w:before="33"/>
                          <w:ind w:right="19"/>
                          <w:jc w:val="right"/>
                          <w:rPr>
                            <w:sz w:val="20"/>
                          </w:rPr>
                        </w:pPr>
                        <w:r>
                          <w:rPr>
                            <w:color w:val="231F20"/>
                            <w:sz w:val="20"/>
                          </w:rPr>
                          <w:t>3.86¢</w:t>
                        </w:r>
                      </w:p>
                    </w:tc>
                    <w:tc>
                      <w:tcPr>
                        <w:tcW w:w="200" w:type="dxa"/>
                        <w:shd w:val="clear" w:color="auto" w:fill="CCECFC"/>
                      </w:tcPr>
                      <w:p>
                        <w:pPr/>
                      </w:p>
                    </w:tc>
                    <w:tc>
                      <w:tcPr>
                        <w:tcW w:w="1080" w:type="dxa"/>
                        <w:tcBorders>
                          <w:top w:val="single" w:sz="8" w:space="0" w:color="231F20"/>
                        </w:tcBorders>
                        <w:shd w:val="clear" w:color="auto" w:fill="CCECFC"/>
                      </w:tcPr>
                      <w:p>
                        <w:pPr>
                          <w:pStyle w:val="TableParagraph"/>
                          <w:spacing w:before="33"/>
                          <w:ind w:right="19"/>
                          <w:jc w:val="right"/>
                          <w:rPr>
                            <w:sz w:val="20"/>
                          </w:rPr>
                        </w:pPr>
                        <w:r>
                          <w:rPr>
                            <w:color w:val="231F20"/>
                            <w:sz w:val="20"/>
                          </w:rPr>
                          <w:t>3.69¢</w:t>
                        </w:r>
                      </w:p>
                    </w:tc>
                    <w:tc>
                      <w:tcPr>
                        <w:tcW w:w="200" w:type="dxa"/>
                        <w:shd w:val="clear" w:color="auto" w:fill="CCECFC"/>
                      </w:tcPr>
                      <w:p>
                        <w:pPr/>
                      </w:p>
                    </w:tc>
                    <w:tc>
                      <w:tcPr>
                        <w:tcW w:w="1127" w:type="dxa"/>
                        <w:tcBorders>
                          <w:top w:val="single" w:sz="8" w:space="0" w:color="231F20"/>
                        </w:tcBorders>
                        <w:shd w:val="clear" w:color="auto" w:fill="CCECFC"/>
                      </w:tcPr>
                      <w:p>
                        <w:pPr>
                          <w:pStyle w:val="TableParagraph"/>
                          <w:spacing w:before="33"/>
                          <w:ind w:right="64"/>
                          <w:jc w:val="right"/>
                          <w:rPr>
                            <w:sz w:val="20"/>
                          </w:rPr>
                        </w:pPr>
                        <w:r>
                          <w:rPr>
                            <w:color w:val="231F20"/>
                            <w:sz w:val="20"/>
                          </w:rPr>
                          <w:t>0.17¢</w:t>
                        </w:r>
                      </w:p>
                    </w:tc>
                    <w:tc>
                      <w:tcPr>
                        <w:tcW w:w="153" w:type="dxa"/>
                        <w:shd w:val="clear" w:color="auto" w:fill="CCECFC"/>
                      </w:tcPr>
                      <w:p>
                        <w:pPr/>
                      </w:p>
                    </w:tc>
                    <w:tc>
                      <w:tcPr>
                        <w:tcW w:w="1080" w:type="dxa"/>
                        <w:tcBorders>
                          <w:top w:val="single" w:sz="8" w:space="0" w:color="231F20"/>
                        </w:tcBorders>
                        <w:shd w:val="clear" w:color="auto" w:fill="CCECFC"/>
                      </w:tcPr>
                      <w:p>
                        <w:pPr>
                          <w:pStyle w:val="TableParagraph"/>
                          <w:spacing w:before="33"/>
                          <w:ind w:right="4"/>
                          <w:jc w:val="right"/>
                          <w:rPr>
                            <w:sz w:val="20"/>
                          </w:rPr>
                        </w:pPr>
                        <w:r>
                          <w:rPr>
                            <w:color w:val="231F20"/>
                            <w:sz w:val="20"/>
                          </w:rPr>
                          <w:t>4.6 %</w:t>
                        </w:r>
                      </w:p>
                    </w:tc>
                  </w:tr>
                  <w:tr>
                    <w:trPr>
                      <w:trHeight w:val="280" w:hRule="exact"/>
                    </w:trPr>
                    <w:tc>
                      <w:tcPr>
                        <w:tcW w:w="4200" w:type="dxa"/>
                      </w:tcPr>
                      <w:p>
                        <w:pPr>
                          <w:pStyle w:val="TableParagraph"/>
                          <w:spacing w:before="33"/>
                          <w:ind w:left="60"/>
                          <w:rPr>
                            <w:sz w:val="20"/>
                          </w:rPr>
                        </w:pPr>
                        <w:r>
                          <w:rPr>
                            <w:color w:val="231F20"/>
                            <w:sz w:val="20"/>
                          </w:rPr>
                          <w:t>Fuel and oil</w:t>
                        </w:r>
                      </w:p>
                    </w:tc>
                    <w:tc>
                      <w:tcPr>
                        <w:tcW w:w="1080" w:type="dxa"/>
                      </w:tcPr>
                      <w:p>
                        <w:pPr>
                          <w:pStyle w:val="TableParagraph"/>
                          <w:spacing w:before="33"/>
                          <w:ind w:right="119"/>
                          <w:jc w:val="right"/>
                          <w:rPr>
                            <w:sz w:val="20"/>
                          </w:rPr>
                        </w:pPr>
                        <w:r>
                          <w:rPr>
                            <w:color w:val="231F20"/>
                            <w:sz w:val="20"/>
                          </w:rPr>
                          <w:t>4.42</w:t>
                        </w:r>
                      </w:p>
                    </w:tc>
                    <w:tc>
                      <w:tcPr>
                        <w:tcW w:w="200" w:type="dxa"/>
                      </w:tcPr>
                      <w:p>
                        <w:pPr/>
                      </w:p>
                    </w:tc>
                    <w:tc>
                      <w:tcPr>
                        <w:tcW w:w="1080" w:type="dxa"/>
                      </w:tcPr>
                      <w:p>
                        <w:pPr>
                          <w:pStyle w:val="TableParagraph"/>
                          <w:spacing w:before="33"/>
                          <w:ind w:right="119"/>
                          <w:jc w:val="right"/>
                          <w:rPr>
                            <w:sz w:val="20"/>
                          </w:rPr>
                        </w:pPr>
                        <w:r>
                          <w:rPr>
                            <w:color w:val="231F20"/>
                            <w:sz w:val="20"/>
                          </w:rPr>
                          <w:t>4.78</w:t>
                        </w:r>
                      </w:p>
                    </w:tc>
                    <w:tc>
                      <w:tcPr>
                        <w:tcW w:w="200" w:type="dxa"/>
                      </w:tcPr>
                      <w:p>
                        <w:pPr/>
                      </w:p>
                    </w:tc>
                    <w:tc>
                      <w:tcPr>
                        <w:tcW w:w="1127" w:type="dxa"/>
                      </w:tcPr>
                      <w:p>
                        <w:pPr>
                          <w:pStyle w:val="TableParagraph"/>
                          <w:spacing w:before="33"/>
                          <w:ind w:right="98"/>
                          <w:jc w:val="right"/>
                          <w:rPr>
                            <w:sz w:val="20"/>
                          </w:rPr>
                        </w:pPr>
                        <w:r>
                          <w:rPr>
                            <w:color w:val="231F20"/>
                            <w:sz w:val="20"/>
                          </w:rPr>
                          <w:t>(0.36)</w:t>
                        </w:r>
                      </w:p>
                    </w:tc>
                    <w:tc>
                      <w:tcPr>
                        <w:tcW w:w="153" w:type="dxa"/>
                      </w:tcPr>
                      <w:p>
                        <w:pPr/>
                      </w:p>
                    </w:tc>
                    <w:tc>
                      <w:tcPr>
                        <w:tcW w:w="1080" w:type="dxa"/>
                      </w:tcPr>
                      <w:p>
                        <w:pPr>
                          <w:pStyle w:val="TableParagraph"/>
                          <w:spacing w:before="33"/>
                          <w:ind w:left="523"/>
                          <w:rPr>
                            <w:sz w:val="20"/>
                          </w:rPr>
                        </w:pPr>
                        <w:r>
                          <w:rPr>
                            <w:color w:val="231F20"/>
                            <w:sz w:val="20"/>
                          </w:rPr>
                          <w:t>(7.5)</w:t>
                        </w:r>
                      </w:p>
                    </w:tc>
                  </w:tr>
                  <w:tr>
                    <w:trPr>
                      <w:trHeight w:val="280" w:hRule="exact"/>
                    </w:trPr>
                    <w:tc>
                      <w:tcPr>
                        <w:tcW w:w="4200" w:type="dxa"/>
                        <w:shd w:val="clear" w:color="auto" w:fill="CCECFC"/>
                      </w:tcPr>
                      <w:p>
                        <w:pPr>
                          <w:pStyle w:val="TableParagraph"/>
                          <w:spacing w:before="33"/>
                          <w:ind w:left="60"/>
                          <w:rPr>
                            <w:sz w:val="20"/>
                          </w:rPr>
                        </w:pPr>
                        <w:r>
                          <w:rPr>
                            <w:color w:val="231F20"/>
                            <w:sz w:val="20"/>
                          </w:rPr>
                          <w:t>Maintenance materials and repairs</w:t>
                        </w:r>
                      </w:p>
                    </w:tc>
                    <w:tc>
                      <w:tcPr>
                        <w:tcW w:w="1080" w:type="dxa"/>
                        <w:shd w:val="clear" w:color="auto" w:fill="CCECFC"/>
                      </w:tcPr>
                      <w:p>
                        <w:pPr>
                          <w:pStyle w:val="TableParagraph"/>
                          <w:spacing w:before="33"/>
                          <w:ind w:right="117"/>
                          <w:jc w:val="right"/>
                          <w:rPr>
                            <w:sz w:val="20"/>
                          </w:rPr>
                        </w:pPr>
                        <w:r>
                          <w:rPr>
                            <w:color w:val="231F20"/>
                            <w:sz w:val="20"/>
                          </w:rPr>
                          <w:t>0.83</w:t>
                        </w:r>
                      </w:p>
                    </w:tc>
                    <w:tc>
                      <w:tcPr>
                        <w:tcW w:w="200" w:type="dxa"/>
                        <w:shd w:val="clear" w:color="auto" w:fill="CCECFC"/>
                      </w:tcPr>
                      <w:p>
                        <w:pPr/>
                      </w:p>
                    </w:tc>
                    <w:tc>
                      <w:tcPr>
                        <w:tcW w:w="1080" w:type="dxa"/>
                        <w:shd w:val="clear" w:color="auto" w:fill="CCECFC"/>
                      </w:tcPr>
                      <w:p>
                        <w:pPr>
                          <w:pStyle w:val="TableParagraph"/>
                          <w:spacing w:before="33"/>
                          <w:ind w:right="117"/>
                          <w:jc w:val="right"/>
                          <w:rPr>
                            <w:sz w:val="20"/>
                          </w:rPr>
                        </w:pPr>
                        <w:r>
                          <w:rPr>
                            <w:color w:val="231F20"/>
                            <w:sz w:val="20"/>
                          </w:rPr>
                          <w:t>0.88</w:t>
                        </w:r>
                      </w:p>
                    </w:tc>
                    <w:tc>
                      <w:tcPr>
                        <w:tcW w:w="200" w:type="dxa"/>
                        <w:shd w:val="clear" w:color="auto" w:fill="CCECFC"/>
                      </w:tcPr>
                      <w:p>
                        <w:pPr/>
                      </w:p>
                    </w:tc>
                    <w:tc>
                      <w:tcPr>
                        <w:tcW w:w="1127" w:type="dxa"/>
                        <w:shd w:val="clear" w:color="auto" w:fill="CCECFC"/>
                      </w:tcPr>
                      <w:p>
                        <w:pPr>
                          <w:pStyle w:val="TableParagraph"/>
                          <w:spacing w:before="33"/>
                          <w:ind w:right="98"/>
                          <w:jc w:val="right"/>
                          <w:rPr>
                            <w:sz w:val="20"/>
                          </w:rPr>
                        </w:pPr>
                        <w:r>
                          <w:rPr>
                            <w:color w:val="231F20"/>
                            <w:sz w:val="20"/>
                          </w:rPr>
                          <w:t>(0.05)</w:t>
                        </w:r>
                      </w:p>
                    </w:tc>
                    <w:tc>
                      <w:tcPr>
                        <w:tcW w:w="153" w:type="dxa"/>
                        <w:shd w:val="clear" w:color="auto" w:fill="CCECFC"/>
                      </w:tcPr>
                      <w:p>
                        <w:pPr/>
                      </w:p>
                    </w:tc>
                    <w:tc>
                      <w:tcPr>
                        <w:tcW w:w="1080" w:type="dxa"/>
                        <w:shd w:val="clear" w:color="auto" w:fill="CCECFC"/>
                      </w:tcPr>
                      <w:p>
                        <w:pPr>
                          <w:pStyle w:val="TableParagraph"/>
                          <w:spacing w:before="33"/>
                          <w:ind w:left="523"/>
                          <w:rPr>
                            <w:sz w:val="20"/>
                          </w:rPr>
                        </w:pPr>
                        <w:r>
                          <w:rPr>
                            <w:color w:val="231F20"/>
                            <w:sz w:val="20"/>
                          </w:rPr>
                          <w:t>(5.7)</w:t>
                        </w:r>
                      </w:p>
                    </w:tc>
                  </w:tr>
                  <w:tr>
                    <w:trPr>
                      <w:trHeight w:val="280" w:hRule="exact"/>
                    </w:trPr>
                    <w:tc>
                      <w:tcPr>
                        <w:tcW w:w="4200" w:type="dxa"/>
                      </w:tcPr>
                      <w:p>
                        <w:pPr>
                          <w:pStyle w:val="TableParagraph"/>
                          <w:spacing w:before="33"/>
                          <w:ind w:left="60"/>
                          <w:rPr>
                            <w:sz w:val="20"/>
                          </w:rPr>
                        </w:pPr>
                        <w:r>
                          <w:rPr>
                            <w:color w:val="231F20"/>
                            <w:sz w:val="20"/>
                          </w:rPr>
                          <w:t>Aircraft rentals</w:t>
                        </w:r>
                      </w:p>
                    </w:tc>
                    <w:tc>
                      <w:tcPr>
                        <w:tcW w:w="1080" w:type="dxa"/>
                      </w:tcPr>
                      <w:p>
                        <w:pPr>
                          <w:pStyle w:val="TableParagraph"/>
                          <w:spacing w:before="33"/>
                          <w:ind w:right="119"/>
                          <w:jc w:val="right"/>
                          <w:rPr>
                            <w:sz w:val="20"/>
                          </w:rPr>
                        </w:pPr>
                        <w:r>
                          <w:rPr>
                            <w:color w:val="231F20"/>
                            <w:sz w:val="20"/>
                          </w:rPr>
                          <w:t>0.28</w:t>
                        </w:r>
                      </w:p>
                    </w:tc>
                    <w:tc>
                      <w:tcPr>
                        <w:tcW w:w="200" w:type="dxa"/>
                      </w:tcPr>
                      <w:p>
                        <w:pPr/>
                      </w:p>
                    </w:tc>
                    <w:tc>
                      <w:tcPr>
                        <w:tcW w:w="1080" w:type="dxa"/>
                      </w:tcPr>
                      <w:p>
                        <w:pPr>
                          <w:pStyle w:val="TableParagraph"/>
                          <w:spacing w:before="33"/>
                          <w:ind w:right="119"/>
                          <w:jc w:val="right"/>
                          <w:rPr>
                            <w:sz w:val="20"/>
                          </w:rPr>
                        </w:pPr>
                        <w:r>
                          <w:rPr>
                            <w:color w:val="231F20"/>
                            <w:sz w:val="20"/>
                          </w:rPr>
                          <w:t>0.28</w:t>
                        </w:r>
                      </w:p>
                    </w:tc>
                    <w:tc>
                      <w:tcPr>
                        <w:tcW w:w="200" w:type="dxa"/>
                      </w:tcPr>
                      <w:p>
                        <w:pPr/>
                      </w:p>
                    </w:tc>
                    <w:tc>
                      <w:tcPr>
                        <w:tcW w:w="1127" w:type="dxa"/>
                      </w:tcPr>
                      <w:p>
                        <w:pPr>
                          <w:pStyle w:val="TableParagraph"/>
                          <w:spacing w:before="33"/>
                          <w:ind w:right="164"/>
                          <w:jc w:val="right"/>
                          <w:rPr>
                            <w:sz w:val="20"/>
                          </w:rPr>
                        </w:pPr>
                        <w:r>
                          <w:rPr>
                            <w:color w:val="231F20"/>
                            <w:sz w:val="20"/>
                          </w:rPr>
                          <w:t>—</w:t>
                        </w:r>
                      </w:p>
                    </w:tc>
                    <w:tc>
                      <w:tcPr>
                        <w:tcW w:w="153" w:type="dxa"/>
                      </w:tcPr>
                      <w:p>
                        <w:pPr/>
                      </w:p>
                    </w:tc>
                    <w:tc>
                      <w:tcPr>
                        <w:tcW w:w="1080" w:type="dxa"/>
                      </w:tcPr>
                      <w:p>
                        <w:pPr>
                          <w:pStyle w:val="TableParagraph"/>
                          <w:spacing w:before="33"/>
                          <w:ind w:left="640"/>
                          <w:rPr>
                            <w:sz w:val="20"/>
                          </w:rPr>
                        </w:pPr>
                        <w:r>
                          <w:rPr>
                            <w:color w:val="231F20"/>
                            <w:sz w:val="20"/>
                          </w:rPr>
                          <w:t>—</w:t>
                        </w:r>
                      </w:p>
                    </w:tc>
                  </w:tr>
                  <w:tr>
                    <w:trPr>
                      <w:trHeight w:val="280" w:hRule="exact"/>
                    </w:trPr>
                    <w:tc>
                      <w:tcPr>
                        <w:tcW w:w="4200" w:type="dxa"/>
                        <w:shd w:val="clear" w:color="auto" w:fill="CCECFC"/>
                      </w:tcPr>
                      <w:p>
                        <w:pPr>
                          <w:pStyle w:val="TableParagraph"/>
                          <w:spacing w:before="33"/>
                          <w:ind w:left="60"/>
                          <w:rPr>
                            <w:sz w:val="20"/>
                          </w:rPr>
                        </w:pPr>
                        <w:r>
                          <w:rPr>
                            <w:color w:val="231F20"/>
                            <w:sz w:val="20"/>
                          </w:rPr>
                          <w:t>Landing fees and other rentals</w:t>
                        </w:r>
                      </w:p>
                    </w:tc>
                    <w:tc>
                      <w:tcPr>
                        <w:tcW w:w="1080" w:type="dxa"/>
                        <w:shd w:val="clear" w:color="auto" w:fill="CCECFC"/>
                      </w:tcPr>
                      <w:p>
                        <w:pPr>
                          <w:pStyle w:val="TableParagraph"/>
                          <w:spacing w:before="33"/>
                          <w:ind w:right="119"/>
                          <w:jc w:val="right"/>
                          <w:rPr>
                            <w:sz w:val="20"/>
                          </w:rPr>
                        </w:pPr>
                        <w:r>
                          <w:rPr>
                            <w:color w:val="231F20"/>
                            <w:sz w:val="20"/>
                          </w:rPr>
                          <w:t>0.85</w:t>
                        </w:r>
                      </w:p>
                    </w:tc>
                    <w:tc>
                      <w:tcPr>
                        <w:tcW w:w="200" w:type="dxa"/>
                        <w:shd w:val="clear" w:color="auto" w:fill="CCECFC"/>
                      </w:tcPr>
                      <w:p>
                        <w:pPr/>
                      </w:p>
                    </w:tc>
                    <w:tc>
                      <w:tcPr>
                        <w:tcW w:w="1080" w:type="dxa"/>
                        <w:shd w:val="clear" w:color="auto" w:fill="CCECFC"/>
                      </w:tcPr>
                      <w:p>
                        <w:pPr>
                          <w:pStyle w:val="TableParagraph"/>
                          <w:spacing w:before="33"/>
                          <w:ind w:right="119"/>
                          <w:jc w:val="right"/>
                          <w:rPr>
                            <w:sz w:val="20"/>
                          </w:rPr>
                        </w:pPr>
                        <w:r>
                          <w:rPr>
                            <w:color w:val="231F20"/>
                            <w:sz w:val="20"/>
                          </w:rPr>
                          <w:t>0.81</w:t>
                        </w:r>
                      </w:p>
                    </w:tc>
                    <w:tc>
                      <w:tcPr>
                        <w:tcW w:w="200" w:type="dxa"/>
                        <w:shd w:val="clear" w:color="auto" w:fill="CCECFC"/>
                      </w:tcPr>
                      <w:p>
                        <w:pPr/>
                      </w:p>
                    </w:tc>
                    <w:tc>
                      <w:tcPr>
                        <w:tcW w:w="1127" w:type="dxa"/>
                        <w:shd w:val="clear" w:color="auto" w:fill="CCECFC"/>
                      </w:tcPr>
                      <w:p>
                        <w:pPr>
                          <w:pStyle w:val="TableParagraph"/>
                          <w:spacing w:before="33"/>
                          <w:ind w:right="164"/>
                          <w:jc w:val="right"/>
                          <w:rPr>
                            <w:sz w:val="20"/>
                          </w:rPr>
                        </w:pPr>
                        <w:r>
                          <w:rPr>
                            <w:color w:val="231F20"/>
                            <w:sz w:val="20"/>
                          </w:rPr>
                          <w:t>0.04</w:t>
                        </w:r>
                      </w:p>
                    </w:tc>
                    <w:tc>
                      <w:tcPr>
                        <w:tcW w:w="153" w:type="dxa"/>
                        <w:shd w:val="clear" w:color="auto" w:fill="CCECFC"/>
                      </w:tcPr>
                      <w:p>
                        <w:pPr/>
                      </w:p>
                    </w:tc>
                    <w:tc>
                      <w:tcPr>
                        <w:tcW w:w="1080" w:type="dxa"/>
                        <w:shd w:val="clear" w:color="auto" w:fill="CCECFC"/>
                      </w:tcPr>
                      <w:p>
                        <w:pPr>
                          <w:pStyle w:val="TableParagraph"/>
                          <w:spacing w:before="33"/>
                          <w:ind w:left="590"/>
                          <w:rPr>
                            <w:sz w:val="20"/>
                          </w:rPr>
                        </w:pPr>
                        <w:r>
                          <w:rPr>
                            <w:color w:val="231F20"/>
                            <w:sz w:val="20"/>
                          </w:rPr>
                          <w:t>4.9</w:t>
                        </w:r>
                      </w:p>
                    </w:tc>
                  </w:tr>
                  <w:tr>
                    <w:trPr>
                      <w:trHeight w:val="280" w:hRule="exact"/>
                    </w:trPr>
                    <w:tc>
                      <w:tcPr>
                        <w:tcW w:w="4200" w:type="dxa"/>
                      </w:tcPr>
                      <w:p>
                        <w:pPr>
                          <w:pStyle w:val="TableParagraph"/>
                          <w:spacing w:before="33"/>
                          <w:ind w:left="60"/>
                          <w:rPr>
                            <w:sz w:val="20"/>
                          </w:rPr>
                        </w:pPr>
                        <w:r>
                          <w:rPr>
                            <w:color w:val="231F20"/>
                            <w:sz w:val="20"/>
                          </w:rPr>
                          <w:t>Depreciation and amortization</w:t>
                        </w:r>
                      </w:p>
                    </w:tc>
                    <w:tc>
                      <w:tcPr>
                        <w:tcW w:w="1080" w:type="dxa"/>
                      </w:tcPr>
                      <w:p>
                        <w:pPr>
                          <w:pStyle w:val="TableParagraph"/>
                          <w:spacing w:before="33"/>
                          <w:ind w:right="117"/>
                          <w:jc w:val="right"/>
                          <w:rPr>
                            <w:sz w:val="20"/>
                          </w:rPr>
                        </w:pPr>
                        <w:r>
                          <w:rPr>
                            <w:color w:val="231F20"/>
                            <w:sz w:val="20"/>
                          </w:rPr>
                          <w:t>0.66</w:t>
                        </w:r>
                      </w:p>
                    </w:tc>
                    <w:tc>
                      <w:tcPr>
                        <w:tcW w:w="200" w:type="dxa"/>
                      </w:tcPr>
                      <w:p>
                        <w:pPr/>
                      </w:p>
                    </w:tc>
                    <w:tc>
                      <w:tcPr>
                        <w:tcW w:w="1080" w:type="dxa"/>
                      </w:tcPr>
                      <w:p>
                        <w:pPr>
                          <w:pStyle w:val="TableParagraph"/>
                          <w:spacing w:before="33"/>
                          <w:ind w:right="117"/>
                          <w:jc w:val="right"/>
                          <w:rPr>
                            <w:sz w:val="20"/>
                          </w:rPr>
                        </w:pPr>
                        <w:r>
                          <w:rPr>
                            <w:color w:val="231F20"/>
                            <w:sz w:val="20"/>
                          </w:rPr>
                          <w:t>0.66</w:t>
                        </w:r>
                      </w:p>
                    </w:tc>
                    <w:tc>
                      <w:tcPr>
                        <w:tcW w:w="200" w:type="dxa"/>
                      </w:tcPr>
                      <w:p>
                        <w:pPr/>
                      </w:p>
                    </w:tc>
                    <w:tc>
                      <w:tcPr>
                        <w:tcW w:w="1127" w:type="dxa"/>
                      </w:tcPr>
                      <w:p>
                        <w:pPr>
                          <w:pStyle w:val="TableParagraph"/>
                          <w:spacing w:before="33"/>
                          <w:ind w:right="164"/>
                          <w:jc w:val="right"/>
                          <w:rPr>
                            <w:sz w:val="20"/>
                          </w:rPr>
                        </w:pPr>
                        <w:r>
                          <w:rPr>
                            <w:color w:val="231F20"/>
                            <w:sz w:val="20"/>
                          </w:rPr>
                          <w:t>—</w:t>
                        </w:r>
                      </w:p>
                    </w:tc>
                    <w:tc>
                      <w:tcPr>
                        <w:tcW w:w="153" w:type="dxa"/>
                      </w:tcPr>
                      <w:p>
                        <w:pPr/>
                      </w:p>
                    </w:tc>
                    <w:tc>
                      <w:tcPr>
                        <w:tcW w:w="1080" w:type="dxa"/>
                      </w:tcPr>
                      <w:p>
                        <w:pPr>
                          <w:pStyle w:val="TableParagraph"/>
                          <w:spacing w:before="33"/>
                          <w:ind w:left="640"/>
                          <w:rPr>
                            <w:sz w:val="20"/>
                          </w:rPr>
                        </w:pPr>
                        <w:r>
                          <w:rPr>
                            <w:color w:val="231F20"/>
                            <w:sz w:val="20"/>
                          </w:rPr>
                          <w:t>—</w:t>
                        </w:r>
                      </w:p>
                    </w:tc>
                  </w:tr>
                  <w:tr>
                    <w:trPr>
                      <w:trHeight w:val="280" w:hRule="exact"/>
                    </w:trPr>
                    <w:tc>
                      <w:tcPr>
                        <w:tcW w:w="4200" w:type="dxa"/>
                        <w:shd w:val="clear" w:color="auto" w:fill="CCECFC"/>
                      </w:tcPr>
                      <w:p>
                        <w:pPr>
                          <w:pStyle w:val="TableParagraph"/>
                          <w:spacing w:before="33"/>
                          <w:ind w:left="60"/>
                          <w:rPr>
                            <w:sz w:val="20"/>
                          </w:rPr>
                        </w:pPr>
                        <w:r>
                          <w:rPr>
                            <w:color w:val="231F20"/>
                            <w:sz w:val="20"/>
                          </w:rPr>
                          <w:t>Acquisition and integration</w:t>
                        </w:r>
                      </w:p>
                    </w:tc>
                    <w:tc>
                      <w:tcPr>
                        <w:tcW w:w="1080" w:type="dxa"/>
                        <w:shd w:val="clear" w:color="auto" w:fill="CCECFC"/>
                      </w:tcPr>
                      <w:p>
                        <w:pPr>
                          <w:pStyle w:val="TableParagraph"/>
                          <w:spacing w:before="33"/>
                          <w:ind w:right="117"/>
                          <w:jc w:val="right"/>
                          <w:rPr>
                            <w:sz w:val="20"/>
                          </w:rPr>
                        </w:pPr>
                        <w:r>
                          <w:rPr>
                            <w:color w:val="231F20"/>
                            <w:sz w:val="20"/>
                          </w:rPr>
                          <w:t>0.07</w:t>
                        </w:r>
                      </w:p>
                    </w:tc>
                    <w:tc>
                      <w:tcPr>
                        <w:tcW w:w="200" w:type="dxa"/>
                        <w:shd w:val="clear" w:color="auto" w:fill="CCECFC"/>
                      </w:tcPr>
                      <w:p>
                        <w:pPr/>
                      </w:p>
                    </w:tc>
                    <w:tc>
                      <w:tcPr>
                        <w:tcW w:w="1080" w:type="dxa"/>
                        <w:shd w:val="clear" w:color="auto" w:fill="CCECFC"/>
                      </w:tcPr>
                      <w:p>
                        <w:pPr>
                          <w:pStyle w:val="TableParagraph"/>
                          <w:spacing w:before="33"/>
                          <w:ind w:right="117"/>
                          <w:jc w:val="right"/>
                          <w:rPr>
                            <w:sz w:val="20"/>
                          </w:rPr>
                        </w:pPr>
                        <w:r>
                          <w:rPr>
                            <w:color w:val="231F20"/>
                            <w:sz w:val="20"/>
                          </w:rPr>
                          <w:t>0.14</w:t>
                        </w:r>
                      </w:p>
                    </w:tc>
                    <w:tc>
                      <w:tcPr>
                        <w:tcW w:w="200" w:type="dxa"/>
                        <w:shd w:val="clear" w:color="auto" w:fill="CCECFC"/>
                      </w:tcPr>
                      <w:p>
                        <w:pPr/>
                      </w:p>
                    </w:tc>
                    <w:tc>
                      <w:tcPr>
                        <w:tcW w:w="1127" w:type="dxa"/>
                        <w:shd w:val="clear" w:color="auto" w:fill="CCECFC"/>
                      </w:tcPr>
                      <w:p>
                        <w:pPr>
                          <w:pStyle w:val="TableParagraph"/>
                          <w:spacing w:before="33"/>
                          <w:ind w:right="98"/>
                          <w:jc w:val="right"/>
                          <w:rPr>
                            <w:sz w:val="20"/>
                          </w:rPr>
                        </w:pPr>
                        <w:r>
                          <w:rPr>
                            <w:color w:val="231F20"/>
                            <w:sz w:val="20"/>
                          </w:rPr>
                          <w:t>(0.07)</w:t>
                        </w:r>
                      </w:p>
                    </w:tc>
                    <w:tc>
                      <w:tcPr>
                        <w:tcW w:w="153" w:type="dxa"/>
                        <w:shd w:val="clear" w:color="auto" w:fill="CCECFC"/>
                      </w:tcPr>
                      <w:p>
                        <w:pPr/>
                      </w:p>
                    </w:tc>
                    <w:tc>
                      <w:tcPr>
                        <w:tcW w:w="1080" w:type="dxa"/>
                        <w:shd w:val="clear" w:color="auto" w:fill="CCECFC"/>
                      </w:tcPr>
                      <w:p>
                        <w:pPr>
                          <w:pStyle w:val="TableParagraph"/>
                          <w:spacing w:before="33"/>
                          <w:ind w:left="423"/>
                          <w:rPr>
                            <w:sz w:val="20"/>
                          </w:rPr>
                        </w:pPr>
                        <w:r>
                          <w:rPr>
                            <w:color w:val="231F20"/>
                            <w:sz w:val="20"/>
                          </w:rPr>
                          <w:t>(50.0)</w:t>
                        </w:r>
                      </w:p>
                    </w:tc>
                  </w:tr>
                  <w:tr>
                    <w:trPr>
                      <w:trHeight w:val="295" w:hRule="exact"/>
                    </w:trPr>
                    <w:tc>
                      <w:tcPr>
                        <w:tcW w:w="4200" w:type="dxa"/>
                      </w:tcPr>
                      <w:p>
                        <w:pPr>
                          <w:pStyle w:val="TableParagraph"/>
                          <w:spacing w:before="33"/>
                          <w:ind w:left="60"/>
                          <w:rPr>
                            <w:sz w:val="20"/>
                          </w:rPr>
                        </w:pPr>
                        <w:r>
                          <w:rPr>
                            <w:color w:val="231F20"/>
                            <w:sz w:val="20"/>
                          </w:rPr>
                          <w:t>Other operating expenses</w:t>
                        </w:r>
                      </w:p>
                    </w:tc>
                    <w:tc>
                      <w:tcPr>
                        <w:tcW w:w="1080" w:type="dxa"/>
                        <w:tcBorders>
                          <w:bottom w:val="single" w:sz="4" w:space="0" w:color="231F20"/>
                        </w:tcBorders>
                      </w:tcPr>
                      <w:p>
                        <w:pPr>
                          <w:pStyle w:val="TableParagraph"/>
                          <w:spacing w:before="33"/>
                          <w:ind w:right="117"/>
                          <w:jc w:val="right"/>
                          <w:rPr>
                            <w:sz w:val="20"/>
                          </w:rPr>
                        </w:pPr>
                        <w:r>
                          <w:rPr>
                            <w:color w:val="231F20"/>
                            <w:sz w:val="20"/>
                          </w:rPr>
                          <w:t>1.63</w:t>
                        </w:r>
                      </w:p>
                    </w:tc>
                    <w:tc>
                      <w:tcPr>
                        <w:tcW w:w="200" w:type="dxa"/>
                      </w:tcPr>
                      <w:p>
                        <w:pPr/>
                      </w:p>
                    </w:tc>
                    <w:tc>
                      <w:tcPr>
                        <w:tcW w:w="1080" w:type="dxa"/>
                        <w:tcBorders>
                          <w:bottom w:val="single" w:sz="4" w:space="0" w:color="231F20"/>
                        </w:tcBorders>
                      </w:tcPr>
                      <w:p>
                        <w:pPr>
                          <w:pStyle w:val="TableParagraph"/>
                          <w:spacing w:before="33"/>
                          <w:ind w:right="117"/>
                          <w:jc w:val="right"/>
                          <w:rPr>
                            <w:sz w:val="20"/>
                          </w:rPr>
                        </w:pPr>
                        <w:r>
                          <w:rPr>
                            <w:color w:val="231F20"/>
                            <w:sz w:val="20"/>
                          </w:rPr>
                          <w:t>1.61</w:t>
                        </w:r>
                      </w:p>
                    </w:tc>
                    <w:tc>
                      <w:tcPr>
                        <w:tcW w:w="200" w:type="dxa"/>
                      </w:tcPr>
                      <w:p>
                        <w:pPr/>
                      </w:p>
                    </w:tc>
                    <w:tc>
                      <w:tcPr>
                        <w:tcW w:w="1127" w:type="dxa"/>
                        <w:tcBorders>
                          <w:bottom w:val="single" w:sz="4" w:space="0" w:color="231F20"/>
                        </w:tcBorders>
                      </w:tcPr>
                      <w:p>
                        <w:pPr>
                          <w:pStyle w:val="TableParagraph"/>
                          <w:spacing w:before="33"/>
                          <w:ind w:right="164"/>
                          <w:jc w:val="right"/>
                          <w:rPr>
                            <w:sz w:val="20"/>
                          </w:rPr>
                        </w:pPr>
                        <w:r>
                          <w:rPr>
                            <w:color w:val="231F20"/>
                            <w:sz w:val="20"/>
                          </w:rPr>
                          <w:t>0.02</w:t>
                        </w:r>
                      </w:p>
                    </w:tc>
                    <w:tc>
                      <w:tcPr>
                        <w:tcW w:w="153" w:type="dxa"/>
                      </w:tcPr>
                      <w:p>
                        <w:pPr/>
                      </w:p>
                    </w:tc>
                    <w:tc>
                      <w:tcPr>
                        <w:tcW w:w="1080" w:type="dxa"/>
                        <w:tcBorders>
                          <w:bottom w:val="single" w:sz="4" w:space="0" w:color="231F20"/>
                        </w:tcBorders>
                      </w:tcPr>
                      <w:p>
                        <w:pPr>
                          <w:pStyle w:val="TableParagraph"/>
                          <w:spacing w:before="33"/>
                          <w:ind w:left="590"/>
                          <w:rPr>
                            <w:sz w:val="20"/>
                          </w:rPr>
                        </w:pPr>
                        <w:r>
                          <w:rPr>
                            <w:color w:val="231F20"/>
                            <w:sz w:val="20"/>
                          </w:rPr>
                          <w:t>1.2</w:t>
                        </w:r>
                      </w:p>
                    </w:tc>
                  </w:tr>
                  <w:tr>
                    <w:trPr>
                      <w:trHeight w:val="340" w:hRule="exact"/>
                    </w:trPr>
                    <w:tc>
                      <w:tcPr>
                        <w:tcW w:w="4200" w:type="dxa"/>
                        <w:shd w:val="clear" w:color="auto" w:fill="CCECFC"/>
                      </w:tcPr>
                      <w:p>
                        <w:pPr>
                          <w:pStyle w:val="TableParagraph"/>
                          <w:spacing w:before="33"/>
                          <w:ind w:left="60"/>
                          <w:rPr>
                            <w:sz w:val="20"/>
                          </w:rPr>
                        </w:pPr>
                        <w:r>
                          <w:rPr>
                            <w:color w:val="231F20"/>
                            <w:sz w:val="20"/>
                          </w:rPr>
                          <w:t>Total</w:t>
                        </w:r>
                      </w:p>
                    </w:tc>
                    <w:tc>
                      <w:tcPr>
                        <w:tcW w:w="1080" w:type="dxa"/>
                        <w:tcBorders>
                          <w:top w:val="single" w:sz="4" w:space="0" w:color="231F20"/>
                          <w:bottom w:val="single" w:sz="4" w:space="0" w:color="231F20"/>
                        </w:tcBorders>
                        <w:shd w:val="clear" w:color="auto" w:fill="CCECFC"/>
                      </w:tcPr>
                      <w:p>
                        <w:pPr>
                          <w:pStyle w:val="TableParagraph"/>
                          <w:spacing w:before="33"/>
                          <w:ind w:right="17"/>
                          <w:jc w:val="right"/>
                          <w:rPr>
                            <w:sz w:val="20"/>
                          </w:rPr>
                        </w:pPr>
                        <w:r>
                          <w:rPr>
                            <w:color w:val="231F20"/>
                            <w:sz w:val="20"/>
                          </w:rPr>
                          <w:t>12.60¢</w:t>
                        </w:r>
                      </w:p>
                    </w:tc>
                    <w:tc>
                      <w:tcPr>
                        <w:tcW w:w="20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spacing w:before="33"/>
                          <w:ind w:right="17"/>
                          <w:jc w:val="right"/>
                          <w:rPr>
                            <w:sz w:val="20"/>
                          </w:rPr>
                        </w:pPr>
                        <w:r>
                          <w:rPr>
                            <w:color w:val="231F20"/>
                            <w:sz w:val="20"/>
                          </w:rPr>
                          <w:t>12.85¢</w:t>
                        </w:r>
                      </w:p>
                    </w:tc>
                    <w:tc>
                      <w:tcPr>
                        <w:tcW w:w="200" w:type="dxa"/>
                        <w:shd w:val="clear" w:color="auto" w:fill="CCECFC"/>
                      </w:tcPr>
                      <w:p>
                        <w:pPr/>
                      </w:p>
                    </w:tc>
                    <w:tc>
                      <w:tcPr>
                        <w:tcW w:w="1127" w:type="dxa"/>
                        <w:tcBorders>
                          <w:top w:val="single" w:sz="4" w:space="0" w:color="231F20"/>
                          <w:bottom w:val="single" w:sz="4" w:space="0" w:color="231F20"/>
                        </w:tcBorders>
                        <w:shd w:val="clear" w:color="auto" w:fill="CCECFC"/>
                      </w:tcPr>
                      <w:p>
                        <w:pPr>
                          <w:pStyle w:val="TableParagraph"/>
                          <w:spacing w:before="33"/>
                          <w:jc w:val="right"/>
                          <w:rPr>
                            <w:sz w:val="20"/>
                          </w:rPr>
                        </w:pPr>
                        <w:r>
                          <w:rPr>
                            <w:color w:val="231F20"/>
                            <w:sz w:val="20"/>
                          </w:rPr>
                          <w:t>(0.25)¢</w:t>
                        </w:r>
                      </w:p>
                    </w:tc>
                    <w:tc>
                      <w:tcPr>
                        <w:tcW w:w="153"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spacing w:before="28"/>
                          <w:ind w:right="5"/>
                          <w:jc w:val="right"/>
                          <w:rPr>
                            <w:sz w:val="20"/>
                          </w:rPr>
                        </w:pPr>
                        <w:r>
                          <w:rPr>
                            <w:color w:val="231F20"/>
                            <w:sz w:val="20"/>
                          </w:rPr>
                          <w:t>(1.9)%</w:t>
                        </w:r>
                      </w:p>
                    </w:tc>
                  </w:tr>
                </w:tbl>
                <w:p>
                  <w:pPr>
                    <w:pStyle w:val="BodyText"/>
                  </w:pPr>
                </w:p>
              </w:txbxContent>
            </v:textbox>
            <w10:wrap type="none"/>
          </v:shape>
        </w:pict>
      </w:r>
      <w:r>
        <w:rPr>
          <w:b/>
          <w:color w:val="231F20"/>
          <w:sz w:val="20"/>
        </w:rPr>
        <w:t>Year ended</w:t>
      </w:r>
      <w:r>
        <w:rPr>
          <w:b/>
          <w:color w:val="231F20"/>
          <w:spacing w:val="-1"/>
          <w:sz w:val="20"/>
        </w:rPr>
        <w:t> </w:t>
      </w:r>
      <w:r>
        <w:rPr>
          <w:b/>
          <w:color w:val="231F20"/>
          <w:sz w:val="20"/>
        </w:rPr>
        <w:t>December 31,</w:t>
        <w:tab/>
        <w:t>Per ASM</w:t>
        <w:tab/>
      </w:r>
      <w:r>
        <w:rPr>
          <w:b/>
          <w:color w:val="231F20"/>
          <w:position w:val="-9"/>
          <w:sz w:val="20"/>
        </w:rPr>
        <w:t>Percent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r>
        <w:rPr/>
        <w:pict>
          <v:line style="position:absolute;mso-position-horizontal-relative:page;mso-position-vertical-relative:paragraph;z-index:2848;mso-wrap-distance-left:0;mso-wrap-distance-right:0" from="279pt,13.092513pt" to="333pt,13.092513pt" stroked="true" strokeweight=".5pt" strokecolor="#231f20">
            <v:stroke dashstyle="solid"/>
            <w10:wrap type="topAndBottom"/>
          </v:line>
        </w:pict>
      </w:r>
      <w:r>
        <w:rPr/>
        <w:pict>
          <v:line style="position:absolute;mso-position-horizontal-relative:page;mso-position-vertical-relative:paragraph;z-index:2872;mso-wrap-distance-left:0;mso-wrap-distance-right:0" from="343pt,13.092513pt" to="397pt,13.092513pt" stroked="true" strokeweight=".5pt" strokecolor="#231f20">
            <v:stroke dashstyle="solid"/>
            <w10:wrap type="topAndBottom"/>
          </v:line>
        </w:pict>
      </w:r>
      <w:r>
        <w:rPr/>
        <w:pict>
          <v:line style="position:absolute;mso-position-horizontal-relative:page;mso-position-vertical-relative:paragraph;z-index:2896;mso-wrap-distance-left:0;mso-wrap-distance-right:0" from="407pt,13.092513pt" to="461pt,13.092513pt" stroked="true" strokeweight=".5pt" strokecolor="#231f20">
            <v:stroke dashstyle="solid"/>
            <w10:wrap type="topAndBottom"/>
          </v:line>
        </w:pict>
      </w:r>
    </w:p>
    <w:p>
      <w:pPr>
        <w:pStyle w:val="BodyText"/>
        <w:spacing w:before="7"/>
        <w:rPr>
          <w:b/>
          <w:sz w:val="27"/>
        </w:rPr>
      </w:pPr>
    </w:p>
    <w:p>
      <w:pPr>
        <w:pStyle w:val="BodyText"/>
        <w:spacing w:line="247" w:lineRule="auto"/>
        <w:ind w:left="100" w:right="118" w:firstLine="720"/>
        <w:jc w:val="both"/>
      </w:pPr>
      <w:r>
        <w:rPr>
          <w:color w:val="231F20"/>
        </w:rPr>
        <w:t>Operating expenses for 2013 decreased by $44 million, or 0.3 percent, compared with 2012, while capacity increased 1.7 percent, compared with 2012. Operating expenses per ASM for 2013</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decreased 1.9 percent, compared with 2012. Both the dollar and per ASM decreases were primarily  due to a decrease in Fuel and oil expense and in Acquisition and integration expense. On a non-GAAP basis, the Company’s Operating expenses per ASM for 2013, excluding fuel and special items, increased 2.3 percent, compared with 2012, primarily due to higher Salaries, wages, and benefits expense. See the previous Note Regarding Use of Non-GAAP Financial Measures.</w:t>
      </w:r>
    </w:p>
    <w:p>
      <w:pPr>
        <w:pStyle w:val="BodyText"/>
        <w:spacing w:before="5"/>
      </w:pPr>
    </w:p>
    <w:p>
      <w:pPr>
        <w:pStyle w:val="BodyText"/>
        <w:spacing w:line="247" w:lineRule="auto"/>
        <w:ind w:left="100" w:right="117" w:firstLine="720"/>
        <w:jc w:val="both"/>
      </w:pPr>
      <w:r>
        <w:rPr>
          <w:color w:val="231F20"/>
        </w:rPr>
        <w:t>Salaries, wages, and benefits expense for 2013 increased by $286 million, or 6.0 percent, compared with 2012. Salaries, wages, and benefits expense per ASM for 2013 increased 4.6 percent, compared with 2012. Approximately half of these increases were a result of higher wage rates for a significant portion of the Company’s workforce, and approximately half were a result of higher contributions to Employee retirement plans, including profitsharing and 401(k) matching contributions. The Company’s profitsharing expense is based on profits that exclude the unrealized gains and/or losses the Company records for its fuel hedging program as well as Acquisition and integration</w:t>
      </w:r>
      <w:r>
        <w:rPr>
          <w:color w:val="231F20"/>
          <w:spacing w:val="-3"/>
        </w:rPr>
        <w:t> </w:t>
      </w:r>
      <w:r>
        <w:rPr>
          <w:color w:val="231F20"/>
        </w:rPr>
        <w:t>costs.</w:t>
      </w:r>
    </w:p>
    <w:p>
      <w:pPr>
        <w:pStyle w:val="BodyText"/>
        <w:spacing w:before="5"/>
      </w:pPr>
    </w:p>
    <w:p>
      <w:pPr>
        <w:pStyle w:val="BodyText"/>
        <w:spacing w:line="247" w:lineRule="auto"/>
        <w:ind w:left="100" w:right="117" w:firstLine="720"/>
        <w:jc w:val="right"/>
      </w:pPr>
      <w:r>
        <w:rPr>
          <w:color w:val="231F20"/>
        </w:rPr>
        <w:t>Fuel and oil expense for 2013 decreased by $357 million, or 5.8 percent, compared with 2012. On a per ASM basis, Fuel and oil expense for 2013 decreased 7.5 percent, compared with 2012. Excluding the impact of fuel hedge accounting, approximately 75 percent of both the dollar and per</w:t>
      </w:r>
      <w:r>
        <w:rPr>
          <w:color w:val="231F20"/>
          <w:w w:val="100"/>
        </w:rPr>
        <w:t> </w:t>
      </w:r>
      <w:r>
        <w:rPr>
          <w:color w:val="231F20"/>
        </w:rPr>
        <w:t>ASM decreases were attributable to reduced fuel price per gallon, with the remainder attributed to</w:t>
      </w:r>
      <w:r>
        <w:rPr>
          <w:color w:val="231F20"/>
          <w:w w:val="100"/>
        </w:rPr>
        <w:t> </w:t>
      </w:r>
      <w:r>
        <w:rPr>
          <w:color w:val="231F20"/>
        </w:rPr>
        <w:t>improved fuel efficiency. During 2013, the Company’s average economic jet fuel price per gallon,</w:t>
      </w:r>
      <w:r>
        <w:rPr>
          <w:color w:val="231F20"/>
          <w:w w:val="100"/>
        </w:rPr>
        <w:t> </w:t>
      </w:r>
      <w:r>
        <w:rPr>
          <w:color w:val="231F20"/>
        </w:rPr>
        <w:t>including fuel tax, was $3.12, compared with $3.28 during 2012, a decrease of 4.9 percent. In addition,</w:t>
      </w:r>
      <w:r>
        <w:rPr>
          <w:color w:val="231F20"/>
          <w:w w:val="100"/>
        </w:rPr>
        <w:t> </w:t>
      </w:r>
      <w:r>
        <w:rPr>
          <w:color w:val="231F20"/>
        </w:rPr>
        <w:t>fuel gallons consumed decreased 1.6 percent, compared with 2012, while year-over-year capacity</w:t>
      </w:r>
      <w:r>
        <w:rPr>
          <w:color w:val="231F20"/>
          <w:w w:val="100"/>
        </w:rPr>
        <w:t> </w:t>
      </w:r>
      <w:r>
        <w:rPr>
          <w:color w:val="231F20"/>
        </w:rPr>
        <w:t>increased 1.7 percent. The improvement in fuel efficiency was primarily due to the Company’s continued replacement of older 737-300 and 737-500 aircraft with newer 737-700 and 737-800 aircraft.</w:t>
      </w:r>
    </w:p>
    <w:p>
      <w:pPr>
        <w:pStyle w:val="BodyText"/>
        <w:spacing w:before="5"/>
      </w:pPr>
    </w:p>
    <w:p>
      <w:pPr>
        <w:pStyle w:val="BodyText"/>
        <w:spacing w:line="247" w:lineRule="auto"/>
        <w:ind w:left="100" w:right="117" w:firstLine="720"/>
        <w:jc w:val="both"/>
      </w:pPr>
      <w:r>
        <w:rPr>
          <w:color w:val="231F20"/>
        </w:rPr>
        <w:t>As a result of the Company’s fuel hedging program and inclusive of accounting for derivatives and hedging, the Company recognized net losses totaling $118 million during 2013 in Fuel and oil expense relating to fuel derivative instruments versus net losses totaling $157 million recognized in Fuel and oil expense in 2012. These totals were inclusive of cash settlements realized from the settlement of fuel derivatives, which were $34 million paid to counterparties in 2013, versus $125 million paid to counterparties in 2012. These totals exclude gains and/or losses recognized from hedge ineffectiveness and from derivatives that do not qualify for hedge accounting, these impacts are recorded as a component of Other (gains) losses, net.</w:t>
      </w:r>
    </w:p>
    <w:p>
      <w:pPr>
        <w:pStyle w:val="BodyText"/>
        <w:spacing w:before="5"/>
      </w:pPr>
    </w:p>
    <w:p>
      <w:pPr>
        <w:pStyle w:val="BodyText"/>
        <w:spacing w:line="247" w:lineRule="auto"/>
        <w:ind w:left="100" w:right="117" w:firstLine="720"/>
        <w:jc w:val="both"/>
      </w:pPr>
      <w:r>
        <w:rPr>
          <w:color w:val="231F20"/>
        </w:rPr>
        <w:t>Maintenance materials and repairs expense for 2013 decreased by $52 million, or 4.6 percent, compared with 2012. On a per ASM basis, Maintenance materials and repairs expense for 2013 decreased 5.7 percent, compared with 2012. Both the dollar and per ASM decreases were primarily attributable to a reduction in engine repairs and materials expense due to (i) retirements of the Company’s 737-300 and 737-500 aircraft, and (ii) the transition of the Company’s 717-200 fleet out of active service for delivery to Delta.</w:t>
      </w:r>
    </w:p>
    <w:p>
      <w:pPr>
        <w:pStyle w:val="BodyText"/>
        <w:spacing w:before="5"/>
      </w:pPr>
    </w:p>
    <w:p>
      <w:pPr>
        <w:pStyle w:val="BodyText"/>
        <w:spacing w:line="247" w:lineRule="auto"/>
        <w:ind w:left="100" w:right="118" w:firstLine="720"/>
        <w:jc w:val="both"/>
      </w:pPr>
      <w:r>
        <w:rPr>
          <w:color w:val="231F20"/>
        </w:rPr>
        <w:t>Aircraft rentals expense for 2013 increased by $6 million, or 1.7 percent, compared with 2012, primarily due to expense associated with two 737-800 aircraft received in 2013 and the full year impact of five Boeing 737-800 aircraft received in 2012, all of which are accounted for as operating leases. On a per ASM basis Aircraft rentals expense for 2013 was flat compared with 2012.</w:t>
      </w:r>
    </w:p>
    <w:p>
      <w:pPr>
        <w:pStyle w:val="BodyText"/>
        <w:spacing w:before="5"/>
      </w:pPr>
    </w:p>
    <w:p>
      <w:pPr>
        <w:pStyle w:val="BodyText"/>
        <w:spacing w:line="247" w:lineRule="auto"/>
        <w:ind w:left="100" w:right="118" w:firstLine="720"/>
        <w:jc w:val="both"/>
      </w:pPr>
      <w:r>
        <w:rPr>
          <w:color w:val="231F20"/>
        </w:rPr>
        <w:t>Landing fees and other rentals expense for 2013 increased by $60 million, or 5.8 percent, compared with 2012. On a per ASM basis, Landing fees and other rentals expense for 2013 increased</w:t>
      </w:r>
    </w:p>
    <w:p>
      <w:pPr>
        <w:pStyle w:val="BodyText"/>
        <w:spacing w:line="253" w:lineRule="exact"/>
        <w:ind w:left="100"/>
        <w:jc w:val="both"/>
      </w:pPr>
      <w:r>
        <w:rPr>
          <w:color w:val="231F20"/>
        </w:rPr>
        <w:t>4.9 percent, compared with 2012. Both the dollar and per ASM increases were due to higher fixed </w:t>
      </w:r>
      <w:r>
        <w:rPr>
          <w:color w:val="231F20"/>
          <w:spacing w:val="51"/>
        </w:rPr>
        <w:t> </w:t>
      </w:r>
      <w:r>
        <w:rPr>
          <w:color w:val="231F20"/>
        </w:rPr>
        <w:t>and</w:t>
      </w:r>
    </w:p>
    <w:p>
      <w:pPr>
        <w:spacing w:after="0" w:line="253" w:lineRule="exact"/>
        <w:jc w:val="both"/>
        <w:sectPr>
          <w:pgSz w:w="11880" w:h="15480"/>
          <w:pgMar w:header="0" w:footer="1240" w:top="1240" w:bottom="1420" w:left="1280" w:right="1260"/>
        </w:sectPr>
      </w:pPr>
    </w:p>
    <w:p>
      <w:pPr>
        <w:pStyle w:val="BodyText"/>
        <w:spacing w:line="247" w:lineRule="auto" w:before="74"/>
        <w:ind w:left="100" w:right="117"/>
        <w:jc w:val="both"/>
      </w:pPr>
      <w:r>
        <w:rPr>
          <w:color w:val="231F20"/>
        </w:rPr>
        <w:t>variable rental rates charged by several airports during 2013 due to additional space being occupied by the Company in some locations and/or as a result of higher airport debt service costs passed through to the airlines in certain cities.</w:t>
      </w:r>
    </w:p>
    <w:p>
      <w:pPr>
        <w:pStyle w:val="BodyText"/>
        <w:spacing w:before="9"/>
        <w:rPr>
          <w:sz w:val="20"/>
        </w:rPr>
      </w:pPr>
    </w:p>
    <w:p>
      <w:pPr>
        <w:pStyle w:val="BodyText"/>
        <w:spacing w:line="247" w:lineRule="auto"/>
        <w:ind w:left="100" w:right="118" w:firstLine="720"/>
        <w:jc w:val="both"/>
      </w:pPr>
      <w:r>
        <w:rPr>
          <w:color w:val="231F20"/>
        </w:rPr>
        <w:t>Depreciation and amortization expense for 2013 increased by $23 million, or 2.7 percent, compared with 2012, primarily due to depreciation associated with large software projects that were placed into service during 2013. Aircraft depreciation was relatively flat year-over-year, as the increase in expense related to the purchase of new 737-800 aircraft was offset by a decline in expense from the retirement of older owned 737-300 and 737-500 aircraft. On a per ASM basis, Depreciation and amortization expense for 2013 was relatively flat, compared with 2012.</w:t>
      </w:r>
    </w:p>
    <w:p>
      <w:pPr>
        <w:pStyle w:val="BodyText"/>
        <w:spacing w:before="9"/>
        <w:rPr>
          <w:sz w:val="20"/>
        </w:rPr>
      </w:pPr>
    </w:p>
    <w:p>
      <w:pPr>
        <w:pStyle w:val="BodyText"/>
        <w:spacing w:line="247" w:lineRule="auto"/>
        <w:ind w:left="100" w:right="118" w:firstLine="720"/>
        <w:jc w:val="both"/>
      </w:pPr>
      <w:r>
        <w:rPr>
          <w:color w:val="231F20"/>
        </w:rPr>
        <w:t>Acquisition and integration expense for 2013 decreased by $97 million, or 53.0 percent, compared with 2012. The decrease was primarily due to charges recorded in 2012 related to the Company’s 717-200 lease and sublease agreements.</w:t>
      </w:r>
    </w:p>
    <w:p>
      <w:pPr>
        <w:pStyle w:val="BodyText"/>
        <w:spacing w:before="9"/>
        <w:rPr>
          <w:sz w:val="20"/>
        </w:rPr>
      </w:pPr>
    </w:p>
    <w:p>
      <w:pPr>
        <w:pStyle w:val="BodyText"/>
        <w:spacing w:line="247" w:lineRule="auto"/>
        <w:ind w:left="100" w:right="117" w:firstLine="720"/>
        <w:jc w:val="both"/>
      </w:pPr>
      <w:r>
        <w:rPr>
          <w:color w:val="231F20"/>
        </w:rPr>
        <w:t>Other operating expense for 2013 increased by $87 million, or 4.3 percent, compared with 2012. On a per ASM basis, Other operating expense for 2013 increased 1.2 percent, compared with 2012. Approximately half of both the dollar and per ASM increases were the result of increased Customer usage of WiFi onboard the Company’s aircraft and approximately half were the result of higher consulting and contract programming expenses, net of capitalized costs.</w:t>
      </w:r>
    </w:p>
    <w:p>
      <w:pPr>
        <w:pStyle w:val="BodyText"/>
        <w:spacing w:before="9"/>
        <w:rPr>
          <w:sz w:val="20"/>
        </w:rPr>
      </w:pPr>
    </w:p>
    <w:p>
      <w:pPr>
        <w:pStyle w:val="Heading1"/>
        <w:spacing w:before="0"/>
        <w:jc w:val="both"/>
      </w:pPr>
      <w:r>
        <w:rPr>
          <w:color w:val="231F20"/>
        </w:rPr>
        <w:t>Other</w:t>
      </w:r>
    </w:p>
    <w:p>
      <w:pPr>
        <w:pStyle w:val="BodyText"/>
        <w:spacing w:before="4"/>
        <w:rPr>
          <w:b/>
          <w:sz w:val="21"/>
        </w:rPr>
      </w:pPr>
    </w:p>
    <w:p>
      <w:pPr>
        <w:pStyle w:val="BodyText"/>
        <w:spacing w:line="247" w:lineRule="auto" w:before="1"/>
        <w:ind w:left="100" w:right="118" w:firstLine="720"/>
        <w:jc w:val="both"/>
      </w:pPr>
      <w:r>
        <w:rPr>
          <w:color w:val="231F20"/>
        </w:rPr>
        <w:t>Other expenses (income) include interest expense, capitalized interest, interest income, and other gains and losses. Interest expense for 2013 decreased by $16 million, or 10.9 percent, compared with 2012, primarily due to the repayment of the Company’s $385 million 6.5% notes in March 2012.</w:t>
      </w:r>
    </w:p>
    <w:p>
      <w:pPr>
        <w:pStyle w:val="BodyText"/>
        <w:spacing w:before="9"/>
        <w:rPr>
          <w:sz w:val="20"/>
        </w:rPr>
      </w:pPr>
    </w:p>
    <w:p>
      <w:pPr>
        <w:pStyle w:val="BodyText"/>
        <w:spacing w:line="247" w:lineRule="auto"/>
        <w:ind w:left="100" w:right="117" w:firstLine="720"/>
        <w:jc w:val="both"/>
      </w:pPr>
      <w:r>
        <w:rPr>
          <w:color w:val="231F20"/>
        </w:rPr>
        <w:t>Capitalized interest for 2013 increased by $3 million, or 14.3 percent, compared with 2012, primarily due to an increase in average progress payment balances for scheduled future aircraft deliveries.</w:t>
      </w:r>
    </w:p>
    <w:p>
      <w:pPr>
        <w:pStyle w:val="BodyText"/>
        <w:spacing w:before="8"/>
        <w:rPr>
          <w:sz w:val="20"/>
        </w:rPr>
      </w:pPr>
    </w:p>
    <w:p>
      <w:pPr>
        <w:pStyle w:val="BodyText"/>
        <w:spacing w:line="247" w:lineRule="auto" w:before="1"/>
        <w:ind w:left="100" w:right="118" w:firstLine="720"/>
        <w:jc w:val="both"/>
      </w:pPr>
      <w:r>
        <w:rPr>
          <w:color w:val="231F20"/>
        </w:rPr>
        <w:t>Interest income for 2013 decreased by $1 million, or 14.3 percent, compared with 2012, primarily due to lower interest rates.</w:t>
      </w:r>
    </w:p>
    <w:p>
      <w:pPr>
        <w:pStyle w:val="BodyText"/>
        <w:spacing w:before="9"/>
        <w:rPr>
          <w:sz w:val="20"/>
        </w:rPr>
      </w:pPr>
    </w:p>
    <w:p>
      <w:pPr>
        <w:pStyle w:val="BodyText"/>
        <w:spacing w:line="247" w:lineRule="auto"/>
        <w:ind w:left="100" w:right="118" w:firstLine="720"/>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2013, and 2012:</w:t>
      </w:r>
    </w:p>
    <w:p>
      <w:pPr>
        <w:spacing w:before="197" w:after="26"/>
        <w:ind w:left="0" w:right="317" w:firstLine="0"/>
        <w:jc w:val="righ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20"/>
        <w:gridCol w:w="1200"/>
        <w:gridCol w:w="200"/>
        <w:gridCol w:w="1200"/>
      </w:tblGrid>
      <w:tr>
        <w:trPr>
          <w:trHeight w:val="280" w:hRule="exact"/>
        </w:trPr>
        <w:tc>
          <w:tcPr>
            <w:tcW w:w="6520" w:type="dxa"/>
          </w:tcPr>
          <w:p>
            <w:pPr>
              <w:pStyle w:val="TableParagraph"/>
              <w:spacing w:before="23"/>
              <w:ind w:left="60"/>
              <w:rPr>
                <w:sz w:val="20"/>
              </w:rPr>
            </w:pPr>
            <w:r>
              <w:rPr>
                <w:color w:val="231F20"/>
                <w:sz w:val="20"/>
              </w:rPr>
              <w:t>(in millions)</w:t>
            </w:r>
          </w:p>
        </w:tc>
        <w:tc>
          <w:tcPr>
            <w:tcW w:w="1200" w:type="dxa"/>
            <w:tcBorders>
              <w:top w:val="single" w:sz="8" w:space="0" w:color="231F20"/>
              <w:bottom w:val="single" w:sz="8" w:space="0" w:color="231F20"/>
            </w:tcBorders>
          </w:tcPr>
          <w:p>
            <w:pPr>
              <w:pStyle w:val="TableParagraph"/>
              <w:spacing w:before="13"/>
              <w:ind w:left="400"/>
              <w:rPr>
                <w:b/>
                <w:sz w:val="20"/>
              </w:rPr>
            </w:pPr>
            <w:r>
              <w:rPr>
                <w:b/>
                <w:color w:val="231F20"/>
                <w:sz w:val="20"/>
              </w:rPr>
              <w:t>2013</w:t>
            </w:r>
          </w:p>
        </w:tc>
        <w:tc>
          <w:tcPr>
            <w:tcW w:w="200" w:type="dxa"/>
            <w:tcBorders>
              <w:top w:val="single" w:sz="8" w:space="0" w:color="231F20"/>
            </w:tcBorders>
          </w:tcPr>
          <w:p>
            <w:pPr/>
          </w:p>
        </w:tc>
        <w:tc>
          <w:tcPr>
            <w:tcW w:w="1200" w:type="dxa"/>
            <w:tcBorders>
              <w:top w:val="single" w:sz="8" w:space="0" w:color="231F20"/>
              <w:bottom w:val="single" w:sz="8" w:space="0" w:color="231F20"/>
            </w:tcBorders>
          </w:tcPr>
          <w:p>
            <w:pPr>
              <w:pStyle w:val="TableParagraph"/>
              <w:spacing w:before="13"/>
              <w:ind w:left="400"/>
              <w:rPr>
                <w:b/>
                <w:sz w:val="20"/>
              </w:rPr>
            </w:pPr>
            <w:r>
              <w:rPr>
                <w:b/>
                <w:color w:val="231F20"/>
                <w:sz w:val="20"/>
              </w:rPr>
              <w:t>2012</w:t>
            </w:r>
          </w:p>
        </w:tc>
      </w:tr>
      <w:tr>
        <w:trPr>
          <w:trHeight w:val="290" w:hRule="exact"/>
        </w:trPr>
        <w:tc>
          <w:tcPr>
            <w:tcW w:w="6520" w:type="dxa"/>
            <w:shd w:val="clear" w:color="auto" w:fill="CCECFC"/>
          </w:tcPr>
          <w:p>
            <w:pPr>
              <w:pStyle w:val="TableParagraph"/>
              <w:spacing w:before="43"/>
              <w:ind w:left="60"/>
              <w:rPr>
                <w:sz w:val="20"/>
              </w:rPr>
            </w:pPr>
            <w:r>
              <w:rPr>
                <w:color w:val="231F20"/>
                <w:sz w:val="20"/>
              </w:rPr>
              <w:t>Mark-to-market impact from fuel contracts settling in future periods</w:t>
            </w:r>
          </w:p>
        </w:tc>
        <w:tc>
          <w:tcPr>
            <w:tcW w:w="1200" w:type="dxa"/>
            <w:tcBorders>
              <w:top w:val="single" w:sz="8" w:space="0" w:color="231F20"/>
            </w:tcBorders>
            <w:shd w:val="clear" w:color="auto" w:fill="CCECFC"/>
          </w:tcPr>
          <w:p>
            <w:pPr>
              <w:pStyle w:val="TableParagraph"/>
              <w:tabs>
                <w:tab w:pos="752" w:val="left" w:leader="none"/>
              </w:tabs>
              <w:spacing w:before="33"/>
              <w:ind w:right="11"/>
              <w:jc w:val="right"/>
              <w:rPr>
                <w:sz w:val="20"/>
              </w:rPr>
            </w:pPr>
            <w:r>
              <w:rPr>
                <w:color w:val="231F20"/>
                <w:sz w:val="20"/>
              </w:rPr>
              <w:t>$</w:t>
              <w:tab/>
              <w:t>(103)</w:t>
            </w:r>
          </w:p>
        </w:tc>
        <w:tc>
          <w:tcPr>
            <w:tcW w:w="200" w:type="dxa"/>
            <w:shd w:val="clear" w:color="auto" w:fill="CCECFC"/>
          </w:tcPr>
          <w:p>
            <w:pPr/>
          </w:p>
        </w:tc>
        <w:tc>
          <w:tcPr>
            <w:tcW w:w="1200" w:type="dxa"/>
            <w:tcBorders>
              <w:top w:val="single" w:sz="8" w:space="0" w:color="231F20"/>
            </w:tcBorders>
            <w:shd w:val="clear" w:color="auto" w:fill="CCECFC"/>
          </w:tcPr>
          <w:p>
            <w:pPr>
              <w:pStyle w:val="TableParagraph"/>
              <w:tabs>
                <w:tab w:pos="752" w:val="left" w:leader="none"/>
              </w:tabs>
              <w:spacing w:before="33"/>
              <w:ind w:right="11"/>
              <w:jc w:val="right"/>
              <w:rPr>
                <w:sz w:val="20"/>
              </w:rPr>
            </w:pPr>
            <w:r>
              <w:rPr>
                <w:color w:val="231F20"/>
                <w:sz w:val="20"/>
              </w:rPr>
              <w:t>$</w:t>
              <w:tab/>
              <w:t>(221)</w:t>
            </w:r>
          </w:p>
        </w:tc>
      </w:tr>
      <w:tr>
        <w:trPr>
          <w:trHeight w:val="280" w:hRule="exact"/>
        </w:trPr>
        <w:tc>
          <w:tcPr>
            <w:tcW w:w="6520" w:type="dxa"/>
          </w:tcPr>
          <w:p>
            <w:pPr>
              <w:pStyle w:val="TableParagraph"/>
              <w:spacing w:before="33"/>
              <w:ind w:left="60"/>
              <w:rPr>
                <w:sz w:val="20"/>
              </w:rPr>
            </w:pPr>
            <w:r>
              <w:rPr>
                <w:color w:val="231F20"/>
                <w:sz w:val="20"/>
              </w:rPr>
              <w:t>Ineffectiveness from fuel hedges settling in future periods</w:t>
            </w:r>
          </w:p>
        </w:tc>
        <w:tc>
          <w:tcPr>
            <w:tcW w:w="1200" w:type="dxa"/>
          </w:tcPr>
          <w:p>
            <w:pPr>
              <w:pStyle w:val="TableParagraph"/>
              <w:spacing w:before="33"/>
              <w:ind w:right="77"/>
              <w:jc w:val="right"/>
              <w:rPr>
                <w:sz w:val="20"/>
              </w:rPr>
            </w:pPr>
            <w:r>
              <w:rPr>
                <w:color w:val="231F20"/>
                <w:sz w:val="20"/>
              </w:rPr>
              <w:t>11</w:t>
            </w:r>
          </w:p>
        </w:tc>
        <w:tc>
          <w:tcPr>
            <w:tcW w:w="200" w:type="dxa"/>
          </w:tcPr>
          <w:p>
            <w:pPr/>
          </w:p>
        </w:tc>
        <w:tc>
          <w:tcPr>
            <w:tcW w:w="1200" w:type="dxa"/>
          </w:tcPr>
          <w:p>
            <w:pPr>
              <w:pStyle w:val="TableParagraph"/>
              <w:spacing w:before="33"/>
              <w:ind w:right="77"/>
              <w:jc w:val="right"/>
              <w:rPr>
                <w:sz w:val="20"/>
              </w:rPr>
            </w:pPr>
            <w:r>
              <w:rPr>
                <w:color w:val="231F20"/>
                <w:sz w:val="20"/>
              </w:rPr>
              <w:t>42</w:t>
            </w:r>
          </w:p>
        </w:tc>
      </w:tr>
      <w:tr>
        <w:trPr>
          <w:trHeight w:val="280" w:hRule="exact"/>
        </w:trPr>
        <w:tc>
          <w:tcPr>
            <w:tcW w:w="6520" w:type="dxa"/>
            <w:shd w:val="clear" w:color="auto" w:fill="CCECFC"/>
          </w:tcPr>
          <w:p>
            <w:pPr>
              <w:pStyle w:val="TableParagraph"/>
              <w:spacing w:before="33"/>
              <w:ind w:left="60"/>
              <w:rPr>
                <w:sz w:val="20"/>
              </w:rPr>
            </w:pPr>
            <w:r>
              <w:rPr>
                <w:color w:val="231F20"/>
                <w:sz w:val="20"/>
              </w:rPr>
              <w:t>Realized ineffectiveness and mark-to-market (gains) or losses</w:t>
            </w:r>
          </w:p>
        </w:tc>
        <w:tc>
          <w:tcPr>
            <w:tcW w:w="1200" w:type="dxa"/>
            <w:shd w:val="clear" w:color="auto" w:fill="CCECFC"/>
          </w:tcPr>
          <w:p>
            <w:pPr>
              <w:pStyle w:val="TableParagraph"/>
              <w:spacing w:before="33"/>
              <w:ind w:right="77"/>
              <w:jc w:val="right"/>
              <w:rPr>
                <w:sz w:val="20"/>
              </w:rPr>
            </w:pPr>
            <w:r>
              <w:rPr>
                <w:color w:val="231F20"/>
                <w:sz w:val="20"/>
              </w:rPr>
              <w:t>3</w:t>
            </w:r>
          </w:p>
        </w:tc>
        <w:tc>
          <w:tcPr>
            <w:tcW w:w="200" w:type="dxa"/>
            <w:shd w:val="clear" w:color="auto" w:fill="CCECFC"/>
          </w:tcPr>
          <w:p>
            <w:pPr/>
          </w:p>
        </w:tc>
        <w:tc>
          <w:tcPr>
            <w:tcW w:w="1200" w:type="dxa"/>
            <w:shd w:val="clear" w:color="auto" w:fill="CCECFC"/>
          </w:tcPr>
          <w:p>
            <w:pPr>
              <w:pStyle w:val="TableParagraph"/>
              <w:spacing w:before="33"/>
              <w:ind w:right="11"/>
              <w:jc w:val="right"/>
              <w:rPr>
                <w:sz w:val="20"/>
              </w:rPr>
            </w:pPr>
            <w:r>
              <w:rPr>
                <w:color w:val="231F20"/>
                <w:sz w:val="20"/>
              </w:rPr>
              <w:t>(42)</w:t>
            </w:r>
          </w:p>
        </w:tc>
      </w:tr>
      <w:tr>
        <w:trPr>
          <w:trHeight w:val="280" w:hRule="exact"/>
        </w:trPr>
        <w:tc>
          <w:tcPr>
            <w:tcW w:w="6520" w:type="dxa"/>
          </w:tcPr>
          <w:p>
            <w:pPr>
              <w:pStyle w:val="TableParagraph"/>
              <w:spacing w:before="33"/>
              <w:ind w:left="60"/>
              <w:rPr>
                <w:sz w:val="20"/>
              </w:rPr>
            </w:pPr>
            <w:r>
              <w:rPr>
                <w:color w:val="231F20"/>
                <w:sz w:val="20"/>
              </w:rPr>
              <w:t>Premium cost of fuel contracts</w:t>
            </w:r>
          </w:p>
        </w:tc>
        <w:tc>
          <w:tcPr>
            <w:tcW w:w="1200" w:type="dxa"/>
          </w:tcPr>
          <w:p>
            <w:pPr>
              <w:pStyle w:val="TableParagraph"/>
              <w:spacing w:before="33"/>
              <w:ind w:right="79"/>
              <w:jc w:val="right"/>
              <w:rPr>
                <w:sz w:val="20"/>
              </w:rPr>
            </w:pPr>
            <w:r>
              <w:rPr>
                <w:color w:val="231F20"/>
                <w:sz w:val="20"/>
              </w:rPr>
              <w:t>60</w:t>
            </w:r>
          </w:p>
        </w:tc>
        <w:tc>
          <w:tcPr>
            <w:tcW w:w="200" w:type="dxa"/>
          </w:tcPr>
          <w:p>
            <w:pPr/>
          </w:p>
        </w:tc>
        <w:tc>
          <w:tcPr>
            <w:tcW w:w="1200" w:type="dxa"/>
          </w:tcPr>
          <w:p>
            <w:pPr>
              <w:pStyle w:val="TableParagraph"/>
              <w:spacing w:before="33"/>
              <w:ind w:right="79"/>
              <w:jc w:val="right"/>
              <w:rPr>
                <w:sz w:val="20"/>
              </w:rPr>
            </w:pPr>
            <w:r>
              <w:rPr>
                <w:color w:val="231F20"/>
                <w:sz w:val="20"/>
              </w:rPr>
              <w:t>36</w:t>
            </w:r>
          </w:p>
        </w:tc>
      </w:tr>
      <w:tr>
        <w:trPr>
          <w:trHeight w:val="295" w:hRule="exact"/>
        </w:trPr>
        <w:tc>
          <w:tcPr>
            <w:tcW w:w="6520" w:type="dxa"/>
            <w:shd w:val="clear" w:color="auto" w:fill="CCECFC"/>
          </w:tcPr>
          <w:p>
            <w:pPr>
              <w:pStyle w:val="TableParagraph"/>
              <w:spacing w:before="33"/>
              <w:ind w:left="60"/>
              <w:rPr>
                <w:sz w:val="20"/>
              </w:rPr>
            </w:pPr>
            <w:r>
              <w:rPr>
                <w:color w:val="231F20"/>
                <w:sz w:val="20"/>
              </w:rPr>
              <w:t>Other</w:t>
            </w:r>
          </w:p>
        </w:tc>
        <w:tc>
          <w:tcPr>
            <w:tcW w:w="1200" w:type="dxa"/>
            <w:tcBorders>
              <w:bottom w:val="single" w:sz="4" w:space="0" w:color="231F20"/>
            </w:tcBorders>
            <w:shd w:val="clear" w:color="auto" w:fill="CCECFC"/>
          </w:tcPr>
          <w:p>
            <w:pPr>
              <w:pStyle w:val="TableParagraph"/>
              <w:spacing w:before="33"/>
              <w:ind w:right="11"/>
              <w:jc w:val="right"/>
              <w:rPr>
                <w:sz w:val="20"/>
              </w:rPr>
            </w:pPr>
            <w:r>
              <w:rPr>
                <w:color w:val="231F20"/>
                <w:sz w:val="20"/>
              </w:rPr>
              <w:t>(3)</w:t>
            </w:r>
          </w:p>
        </w:tc>
        <w:tc>
          <w:tcPr>
            <w:tcW w:w="200" w:type="dxa"/>
            <w:shd w:val="clear" w:color="auto" w:fill="CCECFC"/>
          </w:tcPr>
          <w:p>
            <w:pPr/>
          </w:p>
        </w:tc>
        <w:tc>
          <w:tcPr>
            <w:tcW w:w="1200" w:type="dxa"/>
            <w:tcBorders>
              <w:bottom w:val="single" w:sz="4" w:space="0" w:color="231F20"/>
            </w:tcBorders>
            <w:shd w:val="clear" w:color="auto" w:fill="CCECFC"/>
          </w:tcPr>
          <w:p>
            <w:pPr>
              <w:pStyle w:val="TableParagraph"/>
              <w:spacing w:before="33"/>
              <w:ind w:right="79"/>
              <w:jc w:val="right"/>
              <w:rPr>
                <w:sz w:val="20"/>
              </w:rPr>
            </w:pPr>
            <w:r>
              <w:rPr>
                <w:color w:val="231F20"/>
                <w:sz w:val="20"/>
              </w:rPr>
              <w:t>4</w:t>
            </w:r>
          </w:p>
        </w:tc>
      </w:tr>
      <w:tr>
        <w:trPr>
          <w:trHeight w:val="269" w:hRule="exact"/>
        </w:trPr>
        <w:tc>
          <w:tcPr>
            <w:tcW w:w="6520" w:type="dxa"/>
          </w:tcPr>
          <w:p>
            <w:pPr/>
          </w:p>
        </w:tc>
        <w:tc>
          <w:tcPr>
            <w:tcW w:w="1200" w:type="dxa"/>
            <w:tcBorders>
              <w:top w:val="single" w:sz="4" w:space="0" w:color="231F20"/>
            </w:tcBorders>
          </w:tcPr>
          <w:p>
            <w:pPr>
              <w:pStyle w:val="TableParagraph"/>
              <w:tabs>
                <w:tab w:pos="852" w:val="left" w:leader="none"/>
              </w:tabs>
              <w:spacing w:before="33"/>
              <w:ind w:right="11"/>
              <w:jc w:val="right"/>
              <w:rPr>
                <w:sz w:val="20"/>
              </w:rPr>
            </w:pPr>
            <w:r>
              <w:rPr>
                <w:color w:val="231F20"/>
                <w:sz w:val="20"/>
              </w:rPr>
              <w:t>$</w:t>
              <w:tab/>
              <w:t>(32)</w:t>
            </w:r>
          </w:p>
        </w:tc>
        <w:tc>
          <w:tcPr>
            <w:tcW w:w="200" w:type="dxa"/>
          </w:tcPr>
          <w:p>
            <w:pPr/>
          </w:p>
        </w:tc>
        <w:tc>
          <w:tcPr>
            <w:tcW w:w="1200" w:type="dxa"/>
            <w:tcBorders>
              <w:top w:val="single" w:sz="4" w:space="0" w:color="231F20"/>
            </w:tcBorders>
          </w:tcPr>
          <w:p>
            <w:pPr>
              <w:pStyle w:val="TableParagraph"/>
              <w:tabs>
                <w:tab w:pos="752" w:val="left" w:leader="none"/>
              </w:tabs>
              <w:spacing w:before="48"/>
              <w:ind w:right="11"/>
              <w:jc w:val="right"/>
              <w:rPr>
                <w:sz w:val="20"/>
              </w:rPr>
            </w:pPr>
            <w:r>
              <w:rPr>
                <w:color w:val="231F20"/>
                <w:sz w:val="20"/>
              </w:rPr>
              <w:t>$</w:t>
              <w:tab/>
              <w:t>(181)</w:t>
            </w:r>
          </w:p>
        </w:tc>
      </w:tr>
    </w:tbl>
    <w:p>
      <w:pPr>
        <w:spacing w:after="0"/>
        <w:jc w:val="right"/>
        <w:rPr>
          <w:sz w:val="20"/>
        </w:rPr>
        <w:sectPr>
          <w:pgSz w:w="11880" w:h="15480"/>
          <w:pgMar w:header="0" w:footer="1240" w:top="1240" w:bottom="1420" w:left="1280" w:right="1260"/>
        </w:sectPr>
      </w:pPr>
    </w:p>
    <w:p>
      <w:pPr>
        <w:pStyle w:val="Heading1"/>
        <w:jc w:val="both"/>
      </w:pPr>
      <w:r>
        <w:rPr>
          <w:color w:val="231F20"/>
        </w:rPr>
        <w:t>Income Taxes</w:t>
      </w:r>
    </w:p>
    <w:p>
      <w:pPr>
        <w:pStyle w:val="BodyText"/>
        <w:rPr>
          <w:b/>
          <w:sz w:val="23"/>
        </w:rPr>
      </w:pPr>
    </w:p>
    <w:p>
      <w:pPr>
        <w:pStyle w:val="BodyText"/>
        <w:spacing w:before="1"/>
        <w:ind w:left="819"/>
      </w:pPr>
      <w:r>
        <w:rPr>
          <w:color w:val="231F20"/>
        </w:rPr>
        <w:t>The Company’s effective tax rate was approximately 37.6 percent for 2013, compared with</w:t>
      </w:r>
    </w:p>
    <w:p>
      <w:pPr>
        <w:pStyle w:val="BodyText"/>
        <w:spacing w:before="7"/>
        <w:ind w:left="100"/>
        <w:jc w:val="both"/>
      </w:pPr>
      <w:r>
        <w:rPr>
          <w:color w:val="231F20"/>
        </w:rPr>
        <w:t>38.5 percent for 2012.</w:t>
      </w:r>
    </w:p>
    <w:p>
      <w:pPr>
        <w:pStyle w:val="BodyText"/>
        <w:spacing w:before="1"/>
        <w:rPr>
          <w:sz w:val="23"/>
        </w:rPr>
      </w:pPr>
    </w:p>
    <w:p>
      <w:pPr>
        <w:pStyle w:val="Heading1"/>
        <w:spacing w:before="0"/>
        <w:jc w:val="both"/>
      </w:pPr>
      <w:bookmarkStart w:name="Liquidity and Capital Resources" w:id="13"/>
      <w:bookmarkEnd w:id="13"/>
      <w:r>
        <w:rPr>
          <w:b w:val="0"/>
        </w:rPr>
      </w:r>
      <w:r>
        <w:rPr>
          <w:color w:val="231F20"/>
        </w:rPr>
        <w:t>Liquidity and Capital Resources</w:t>
      </w:r>
    </w:p>
    <w:p>
      <w:pPr>
        <w:pStyle w:val="BodyText"/>
        <w:spacing w:before="1"/>
        <w:rPr>
          <w:b/>
          <w:sz w:val="23"/>
        </w:rPr>
      </w:pPr>
    </w:p>
    <w:p>
      <w:pPr>
        <w:pStyle w:val="BodyText"/>
        <w:ind w:left="819"/>
      </w:pPr>
      <w:r>
        <w:rPr>
          <w:color w:val="231F20"/>
        </w:rPr>
        <w:t>Net  cash  provided  by  operating  activities  for  2014,  2013,  and  2012  was  $2.9     </w:t>
      </w:r>
      <w:r>
        <w:rPr>
          <w:color w:val="231F20"/>
          <w:spacing w:val="50"/>
        </w:rPr>
        <w:t> </w:t>
      </w:r>
      <w:r>
        <w:rPr>
          <w:color w:val="231F20"/>
        </w:rPr>
        <w:t>billion,</w:t>
      </w:r>
    </w:p>
    <w:p>
      <w:pPr>
        <w:pStyle w:val="BodyText"/>
        <w:spacing w:line="247" w:lineRule="auto" w:before="7"/>
        <w:ind w:left="100" w:right="117"/>
        <w:jc w:val="both"/>
      </w:pPr>
      <w:r>
        <w:rPr>
          <w:color w:val="231F20"/>
        </w:rPr>
        <w:t>$2.5 billion, and $2.1 billion, respectively. Operating cash inflows are primarily derived from  providing air transportation to Customers. The vast majority of tickets were purchased prior to the day on which travel was provided and, in some cases, several months before the anticipated travel date. Operating cash outflows are related to the recurring expenses of airline operations. The operating cash flows for 2014, 2013, and 2012 were impacted primarily by the Company’s results of operations, as adjusted for non-cash items, which increased significantly year-over-year for each period, as well as changes in the Air traffic liability and Accounts payable and accrued liabilities. Operating cash flows can also be significantly impacted by the Company’s fuel and interest rate hedge positions and the corresponding cash collateral requirements associated with those positions. During 2014 the Company provided $233 million in cash collateral to derivative counterparties, and in 2013 and 2012 the Company received $57 million and $233 million, respectively, in cash collateral from derivative counterparties. Cash flows associated with entering into new fuel derivatives, which are also classified as  Other,  net,  operating  cash  flows,  were  net  outflows  of  $247  million  in  2014,  net  inflows </w:t>
      </w:r>
      <w:r>
        <w:rPr>
          <w:color w:val="231F20"/>
          <w:spacing w:val="24"/>
        </w:rPr>
        <w:t> </w:t>
      </w:r>
      <w:r>
        <w:rPr>
          <w:color w:val="231F20"/>
        </w:rPr>
        <w:t>of</w:t>
      </w:r>
    </w:p>
    <w:p>
      <w:pPr>
        <w:pStyle w:val="BodyText"/>
        <w:spacing w:line="247" w:lineRule="auto"/>
        <w:ind w:left="100" w:right="118"/>
        <w:jc w:val="both"/>
      </w:pPr>
      <w:r>
        <w:rPr>
          <w:color w:val="231F20"/>
        </w:rPr>
        <w:t>$60 million in 2013, and net inflows of $23 million in 2012. Net cash provided by operating activities is primarily used to finance capital expenditures, repay debt, fund stock repurchases, pay dividends,  and provide working</w:t>
      </w:r>
      <w:r>
        <w:rPr>
          <w:color w:val="231F20"/>
          <w:spacing w:val="-2"/>
        </w:rPr>
        <w:t> </w:t>
      </w:r>
      <w:r>
        <w:rPr>
          <w:color w:val="231F20"/>
        </w:rPr>
        <w:t>capital.</w:t>
      </w:r>
    </w:p>
    <w:p>
      <w:pPr>
        <w:pStyle w:val="BodyText"/>
        <w:spacing w:before="5"/>
      </w:pPr>
    </w:p>
    <w:p>
      <w:pPr>
        <w:pStyle w:val="BodyText"/>
        <w:spacing w:line="247" w:lineRule="auto" w:before="1"/>
        <w:ind w:left="100" w:right="117" w:firstLine="720"/>
        <w:jc w:val="both"/>
      </w:pPr>
      <w:r>
        <w:rPr>
          <w:color w:val="231F20"/>
        </w:rPr>
        <w:t>Net cash used in investing activities for 2014, 2013, and 2012 was $1.7 billion, $1.4 billion, and $833 million, respectively. Investing activities in 2014, 2013, and 2012 included payments for new aircraft delivered to the Company, progress payments for future aircraft deliveries, as well as purchases and sales of short-term and noncurrent investments, which fluctuate primarily based on anticipated working capital needs. Investing activities in 2014 also included payments associated with airport construction projects, denoted as Assets constructed for others. See Note 4 to the Consolidated Financial Statements for further information. During 2014, 2013, and 2012 the Company’s purchases and</w:t>
      </w:r>
      <w:r>
        <w:rPr>
          <w:color w:val="231F20"/>
          <w:spacing w:val="40"/>
        </w:rPr>
        <w:t> </w:t>
      </w:r>
      <w:r>
        <w:rPr>
          <w:color w:val="231F20"/>
        </w:rPr>
        <w:t>sales</w:t>
      </w:r>
      <w:r>
        <w:rPr>
          <w:color w:val="231F20"/>
          <w:spacing w:val="41"/>
        </w:rPr>
        <w:t> </w:t>
      </w:r>
      <w:r>
        <w:rPr>
          <w:color w:val="231F20"/>
        </w:rPr>
        <w:t>of</w:t>
      </w:r>
      <w:r>
        <w:rPr>
          <w:color w:val="231F20"/>
          <w:spacing w:val="39"/>
        </w:rPr>
        <w:t> </w:t>
      </w:r>
      <w:r>
        <w:rPr>
          <w:color w:val="231F20"/>
        </w:rPr>
        <w:t>short-term</w:t>
      </w:r>
      <w:r>
        <w:rPr>
          <w:color w:val="231F20"/>
          <w:spacing w:val="39"/>
        </w:rPr>
        <w:t> </w:t>
      </w:r>
      <w:r>
        <w:rPr>
          <w:color w:val="231F20"/>
        </w:rPr>
        <w:t>and</w:t>
      </w:r>
      <w:r>
        <w:rPr>
          <w:color w:val="231F20"/>
          <w:spacing w:val="40"/>
        </w:rPr>
        <w:t> </w:t>
      </w:r>
      <w:r>
        <w:rPr>
          <w:color w:val="231F20"/>
        </w:rPr>
        <w:t>noncurrent</w:t>
      </w:r>
      <w:r>
        <w:rPr>
          <w:color w:val="231F20"/>
          <w:spacing w:val="39"/>
        </w:rPr>
        <w:t> </w:t>
      </w:r>
      <w:r>
        <w:rPr>
          <w:color w:val="231F20"/>
        </w:rPr>
        <w:t>investments</w:t>
      </w:r>
      <w:r>
        <w:rPr>
          <w:color w:val="231F20"/>
          <w:spacing w:val="40"/>
        </w:rPr>
        <w:t> </w:t>
      </w:r>
      <w:r>
        <w:rPr>
          <w:color w:val="231F20"/>
        </w:rPr>
        <w:t>resulted</w:t>
      </w:r>
      <w:r>
        <w:rPr>
          <w:color w:val="231F20"/>
          <w:spacing w:val="40"/>
        </w:rPr>
        <w:t> </w:t>
      </w:r>
      <w:r>
        <w:rPr>
          <w:color w:val="231F20"/>
        </w:rPr>
        <w:t>in</w:t>
      </w:r>
      <w:r>
        <w:rPr>
          <w:color w:val="231F20"/>
          <w:spacing w:val="39"/>
        </w:rPr>
        <w:t> </w:t>
      </w:r>
      <w:r>
        <w:rPr>
          <w:color w:val="231F20"/>
        </w:rPr>
        <w:t>net</w:t>
      </w:r>
      <w:r>
        <w:rPr>
          <w:color w:val="231F20"/>
          <w:spacing w:val="40"/>
        </w:rPr>
        <w:t> </w:t>
      </w:r>
      <w:r>
        <w:rPr>
          <w:color w:val="231F20"/>
        </w:rPr>
        <w:t>cash</w:t>
      </w:r>
      <w:r>
        <w:rPr>
          <w:color w:val="231F20"/>
          <w:spacing w:val="41"/>
        </w:rPr>
        <w:t> </w:t>
      </w:r>
      <w:r>
        <w:rPr>
          <w:color w:val="231F20"/>
        </w:rPr>
        <w:t>provided</w:t>
      </w:r>
      <w:r>
        <w:rPr>
          <w:color w:val="231F20"/>
          <w:spacing w:val="38"/>
        </w:rPr>
        <w:t> </w:t>
      </w:r>
      <w:r>
        <w:rPr>
          <w:color w:val="231F20"/>
        </w:rPr>
        <w:t>of</w:t>
      </w:r>
      <w:r>
        <w:rPr>
          <w:color w:val="231F20"/>
          <w:spacing w:val="38"/>
        </w:rPr>
        <w:t> </w:t>
      </w:r>
      <w:r>
        <w:rPr>
          <w:color w:val="231F20"/>
        </w:rPr>
        <w:t>$105</w:t>
      </w:r>
      <w:r>
        <w:rPr>
          <w:color w:val="231F20"/>
          <w:spacing w:val="39"/>
        </w:rPr>
        <w:t> </w:t>
      </w:r>
      <w:r>
        <w:rPr>
          <w:color w:val="231F20"/>
        </w:rPr>
        <w:t>million,</w:t>
      </w:r>
    </w:p>
    <w:p>
      <w:pPr>
        <w:pStyle w:val="BodyText"/>
        <w:spacing w:line="247" w:lineRule="auto"/>
        <w:ind w:left="100" w:right="118"/>
        <w:jc w:val="both"/>
      </w:pPr>
      <w:r>
        <w:rPr>
          <w:color w:val="231F20"/>
        </w:rPr>
        <w:t>$63 million, and $515 million, respectively. The Company currently estimates its 2015 capital expenditures to be in the $1.7 billion to $1.8 billion range, excluding assets constructed for others which is estimated to be in the $50 million to $100 million range, net of reimbursements.</w:t>
      </w:r>
    </w:p>
    <w:p>
      <w:pPr>
        <w:pStyle w:val="BodyText"/>
        <w:spacing w:before="6"/>
      </w:pPr>
    </w:p>
    <w:p>
      <w:pPr>
        <w:pStyle w:val="BodyText"/>
        <w:spacing w:line="247" w:lineRule="auto"/>
        <w:ind w:left="100" w:right="117" w:firstLine="720"/>
        <w:jc w:val="both"/>
      </w:pPr>
      <w:r>
        <w:rPr>
          <w:color w:val="231F20"/>
        </w:rPr>
        <w:t>Net cash used in financing activities for 2014, 2013, and 2012 was $1.2 billion, $851 million, and $947 million, respectively. During 2014 the Company repaid $561 million in debt and capital lease obligations, compared with repayments of $313 million and $578 million during 2013 and 2012, respectively. During 2014 the Company issued $300 million 2.75% senior unsecured notes due 2019 under the shelf registration statement. See Note 6 to the Consolidated Financial Statements for further information. The Company repurchased approximately $955 million of its outstanding common stock through  authorized  share  repurchases  during 2014,  compared  with repurchases  of $540 million and</w:t>
      </w:r>
    </w:p>
    <w:p>
      <w:pPr>
        <w:pStyle w:val="BodyText"/>
        <w:spacing w:line="247" w:lineRule="auto"/>
        <w:ind w:left="100" w:right="117"/>
        <w:jc w:val="both"/>
      </w:pPr>
      <w:r>
        <w:rPr>
          <w:color w:val="231F20"/>
        </w:rPr>
        <w:t>$400 million during 2013 and 2012, respectively. The Company also paid $139 million in dividends to Shareholders during 2014, compared to $71 million in 2013 and $22 million in 2012. Although the Company currently intends to continue paying dividends on a quarterly basis for the foreseeable future, the Company’s Board of Directors may change the timing, amount, and payment of dividends on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97"/>
      </w:pPr>
      <w:r>
        <w:rPr>
          <w:color w:val="231F20"/>
        </w:rPr>
        <w:t>basis of results of operations, financial condition, cash requirements, future prospects, and other factors deemed relevant by the Board of Directors.</w:t>
      </w:r>
    </w:p>
    <w:p>
      <w:pPr>
        <w:pStyle w:val="BodyText"/>
        <w:spacing w:line="247" w:lineRule="auto" w:before="205"/>
        <w:ind w:left="100" w:right="118" w:firstLine="720"/>
        <w:jc w:val="both"/>
      </w:pPr>
      <w:r>
        <w:rPr>
          <w:color w:val="231F20"/>
        </w:rPr>
        <w:t>The Company is a “well-known seasoned issuer” and currently has an effective shelf registration statement registering an indeterminate amount of debt and equity securities for future sales. The Company currently intends to use the proceeds from any future securities sales of this shelf registration statement for general corporate purposes.</w:t>
      </w:r>
    </w:p>
    <w:p>
      <w:pPr>
        <w:pStyle w:val="BodyText"/>
        <w:spacing w:line="247" w:lineRule="auto" w:before="205"/>
        <w:ind w:left="100" w:right="117" w:firstLine="720"/>
        <w:jc w:val="both"/>
      </w:pPr>
      <w:r>
        <w:rPr>
          <w:color w:val="231F20"/>
        </w:rPr>
        <w:t>The Company has access to a $1 billion unsecured revolving credit facility expiring in April 2018. Interest on the facility is based on the Company’s credit ratings at the time of borrowing. At the Company’s current ratings, the interest cost would be LIBOR plus a spread of 125 basis points. The facility contains a financial covenant requiring a minimum coverage ratio of adjusted pre-tax income to fixed obligations, as defined. As of December 31, 2014, the Company was in compliance with this covenant and there were no amounts outstanding under the revolving credit facility.</w:t>
      </w:r>
    </w:p>
    <w:p>
      <w:pPr>
        <w:pStyle w:val="BodyText"/>
        <w:spacing w:line="247" w:lineRule="auto" w:before="205"/>
        <w:ind w:left="100" w:right="117" w:firstLine="720"/>
        <w:jc w:val="both"/>
      </w:pPr>
      <w:r>
        <w:rPr>
          <w:color w:val="231F20"/>
        </w:rPr>
        <w:t>The Company entered into an accelerated share repurchase agreement with a third party financial institution during first quarter 2014, pursuant to which the Company paid $200 million and received, in total, approximately nine million shares. Through May 9, 2014, the Company had repurchased, under its previously authorized $1.5 billion share repurchase program, approximately 126 million shares for a total of approximately $1.5 billion, completing  the  program. Furthermore, on  May 14, 2014, the Company’s Board of Directors approved a new $1 billion share repurchase program. Following the Board of Directors’ authorization of the Company’s new $1 billion share repurchase program, the Company entered into the following share</w:t>
      </w:r>
      <w:r>
        <w:rPr>
          <w:color w:val="231F20"/>
          <w:spacing w:val="-3"/>
        </w:rPr>
        <w:t> </w:t>
      </w:r>
      <w:r>
        <w:rPr>
          <w:color w:val="231F20"/>
        </w:rPr>
        <w:t>repurchases:</w:t>
      </w:r>
    </w:p>
    <w:p>
      <w:pPr>
        <w:pStyle w:val="BodyText"/>
        <w:spacing w:before="4"/>
        <w:rPr>
          <w:sz w:val="1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40"/>
        <w:gridCol w:w="200"/>
        <w:gridCol w:w="1600"/>
        <w:gridCol w:w="417"/>
        <w:gridCol w:w="1663"/>
      </w:tblGrid>
      <w:tr>
        <w:trPr>
          <w:trHeight w:val="256" w:hRule="exact"/>
        </w:trPr>
        <w:tc>
          <w:tcPr>
            <w:tcW w:w="5240" w:type="dxa"/>
            <w:tcBorders>
              <w:bottom w:val="single" w:sz="8" w:space="0" w:color="231F20"/>
            </w:tcBorders>
          </w:tcPr>
          <w:p>
            <w:pPr>
              <w:pStyle w:val="TableParagraph"/>
              <w:spacing w:line="229" w:lineRule="exact" w:before="0"/>
              <w:ind w:left="60"/>
              <w:rPr>
                <w:sz w:val="20"/>
              </w:rPr>
            </w:pPr>
            <w:r>
              <w:rPr>
                <w:color w:val="231F20"/>
                <w:sz w:val="20"/>
              </w:rPr>
              <w:t>Share repurchases</w:t>
            </w:r>
          </w:p>
        </w:tc>
        <w:tc>
          <w:tcPr>
            <w:tcW w:w="200" w:type="dxa"/>
          </w:tcPr>
          <w:p>
            <w:pPr/>
          </w:p>
        </w:tc>
        <w:tc>
          <w:tcPr>
            <w:tcW w:w="1600" w:type="dxa"/>
            <w:tcBorders>
              <w:bottom w:val="single" w:sz="8" w:space="0" w:color="231F20"/>
            </w:tcBorders>
          </w:tcPr>
          <w:p>
            <w:pPr>
              <w:pStyle w:val="TableParagraph"/>
              <w:spacing w:line="229" w:lineRule="exact" w:before="0"/>
              <w:ind w:left="130"/>
              <w:rPr>
                <w:b/>
                <w:sz w:val="20"/>
              </w:rPr>
            </w:pPr>
            <w:r>
              <w:rPr>
                <w:b/>
                <w:color w:val="231F20"/>
                <w:sz w:val="20"/>
              </w:rPr>
              <w:t>Shares received</w:t>
            </w:r>
          </w:p>
        </w:tc>
        <w:tc>
          <w:tcPr>
            <w:tcW w:w="417" w:type="dxa"/>
          </w:tcPr>
          <w:p>
            <w:pPr/>
          </w:p>
        </w:tc>
        <w:tc>
          <w:tcPr>
            <w:tcW w:w="1663" w:type="dxa"/>
            <w:tcBorders>
              <w:bottom w:val="single" w:sz="8" w:space="0" w:color="231F20"/>
            </w:tcBorders>
          </w:tcPr>
          <w:p>
            <w:pPr>
              <w:pStyle w:val="TableParagraph"/>
              <w:spacing w:line="229" w:lineRule="exact" w:before="0"/>
              <w:ind w:left="442"/>
              <w:rPr>
                <w:b/>
                <w:sz w:val="20"/>
              </w:rPr>
            </w:pPr>
            <w:r>
              <w:rPr>
                <w:b/>
                <w:color w:val="231F20"/>
                <w:sz w:val="20"/>
              </w:rPr>
              <w:t>Cash paid</w:t>
            </w:r>
          </w:p>
        </w:tc>
      </w:tr>
      <w:tr>
        <w:trPr>
          <w:trHeight w:val="290" w:hRule="exact"/>
        </w:trPr>
        <w:tc>
          <w:tcPr>
            <w:tcW w:w="5240" w:type="dxa"/>
            <w:tcBorders>
              <w:top w:val="single" w:sz="8" w:space="0" w:color="231F20"/>
            </w:tcBorders>
            <w:shd w:val="clear" w:color="auto" w:fill="CCECFC"/>
          </w:tcPr>
          <w:p>
            <w:pPr>
              <w:pStyle w:val="TableParagraph"/>
              <w:spacing w:before="33"/>
              <w:ind w:left="60"/>
              <w:rPr>
                <w:sz w:val="20"/>
              </w:rPr>
            </w:pPr>
            <w:r>
              <w:rPr>
                <w:color w:val="231F20"/>
                <w:sz w:val="20"/>
              </w:rPr>
              <w:t>Open market purchases</w:t>
            </w:r>
          </w:p>
        </w:tc>
        <w:tc>
          <w:tcPr>
            <w:tcW w:w="200" w:type="dxa"/>
            <w:shd w:val="clear" w:color="auto" w:fill="CCECFC"/>
          </w:tcPr>
          <w:p>
            <w:pPr/>
          </w:p>
        </w:tc>
        <w:tc>
          <w:tcPr>
            <w:tcW w:w="1600" w:type="dxa"/>
            <w:tcBorders>
              <w:top w:val="single" w:sz="8" w:space="0" w:color="231F20"/>
            </w:tcBorders>
            <w:shd w:val="clear" w:color="auto" w:fill="CCECFC"/>
          </w:tcPr>
          <w:p>
            <w:pPr>
              <w:pStyle w:val="TableParagraph"/>
              <w:spacing w:before="33"/>
              <w:ind w:left="550"/>
              <w:rPr>
                <w:sz w:val="20"/>
              </w:rPr>
            </w:pPr>
            <w:r>
              <w:rPr>
                <w:color w:val="231F20"/>
                <w:sz w:val="20"/>
              </w:rPr>
              <w:t>750,000</w:t>
            </w:r>
          </w:p>
        </w:tc>
        <w:tc>
          <w:tcPr>
            <w:tcW w:w="417" w:type="dxa"/>
            <w:shd w:val="clear" w:color="auto" w:fill="CCECFC"/>
          </w:tcPr>
          <w:p>
            <w:pPr/>
          </w:p>
        </w:tc>
        <w:tc>
          <w:tcPr>
            <w:tcW w:w="1663" w:type="dxa"/>
            <w:tcBorders>
              <w:top w:val="single" w:sz="8" w:space="0" w:color="231F20"/>
            </w:tcBorders>
            <w:shd w:val="clear" w:color="auto" w:fill="CCECFC"/>
          </w:tcPr>
          <w:p>
            <w:pPr>
              <w:pStyle w:val="TableParagraph"/>
              <w:tabs>
                <w:tab w:pos="599" w:val="left" w:leader="none"/>
              </w:tabs>
              <w:spacing w:before="33"/>
              <w:ind w:right="77"/>
              <w:jc w:val="right"/>
              <w:rPr>
                <w:sz w:val="20"/>
              </w:rPr>
            </w:pPr>
            <w:r>
              <w:rPr>
                <w:color w:val="231F20"/>
                <w:sz w:val="20"/>
              </w:rPr>
              <w:t>$</w:t>
              <w:tab/>
              <w:t>19,643,700</w:t>
            </w:r>
          </w:p>
        </w:tc>
      </w:tr>
      <w:tr>
        <w:trPr>
          <w:trHeight w:val="280" w:hRule="exact"/>
        </w:trPr>
        <w:tc>
          <w:tcPr>
            <w:tcW w:w="5240" w:type="dxa"/>
          </w:tcPr>
          <w:p>
            <w:pPr>
              <w:pStyle w:val="TableParagraph"/>
              <w:spacing w:before="33"/>
              <w:ind w:left="60"/>
              <w:rPr>
                <w:sz w:val="20"/>
              </w:rPr>
            </w:pPr>
            <w:r>
              <w:rPr>
                <w:color w:val="231F20"/>
                <w:sz w:val="20"/>
              </w:rPr>
              <w:t>Second Quarter ASR Program</w:t>
            </w:r>
          </w:p>
        </w:tc>
        <w:tc>
          <w:tcPr>
            <w:tcW w:w="200" w:type="dxa"/>
          </w:tcPr>
          <w:p>
            <w:pPr/>
          </w:p>
        </w:tc>
        <w:tc>
          <w:tcPr>
            <w:tcW w:w="1600" w:type="dxa"/>
          </w:tcPr>
          <w:p>
            <w:pPr>
              <w:pStyle w:val="TableParagraph"/>
              <w:spacing w:before="33"/>
              <w:ind w:left="400"/>
              <w:rPr>
                <w:sz w:val="20"/>
              </w:rPr>
            </w:pPr>
            <w:r>
              <w:rPr>
                <w:color w:val="231F20"/>
                <w:sz w:val="20"/>
              </w:rPr>
              <w:t>7,411,977</w:t>
            </w:r>
          </w:p>
        </w:tc>
        <w:tc>
          <w:tcPr>
            <w:tcW w:w="417" w:type="dxa"/>
          </w:tcPr>
          <w:p>
            <w:pPr/>
          </w:p>
        </w:tc>
        <w:tc>
          <w:tcPr>
            <w:tcW w:w="1663" w:type="dxa"/>
          </w:tcPr>
          <w:p>
            <w:pPr>
              <w:pStyle w:val="TableParagraph"/>
              <w:spacing w:before="33"/>
              <w:ind w:right="77"/>
              <w:jc w:val="right"/>
              <w:rPr>
                <w:sz w:val="20"/>
              </w:rPr>
            </w:pPr>
            <w:r>
              <w:rPr>
                <w:color w:val="231F20"/>
                <w:sz w:val="20"/>
              </w:rPr>
              <w:t>200,000,000</w:t>
            </w:r>
          </w:p>
        </w:tc>
      </w:tr>
      <w:tr>
        <w:trPr>
          <w:trHeight w:val="280" w:hRule="exact"/>
        </w:trPr>
        <w:tc>
          <w:tcPr>
            <w:tcW w:w="5240" w:type="dxa"/>
            <w:shd w:val="clear" w:color="auto" w:fill="CCECFC"/>
          </w:tcPr>
          <w:p>
            <w:pPr>
              <w:pStyle w:val="TableParagraph"/>
              <w:spacing w:before="33"/>
              <w:ind w:left="60"/>
              <w:rPr>
                <w:sz w:val="20"/>
              </w:rPr>
            </w:pPr>
            <w:r>
              <w:rPr>
                <w:color w:val="231F20"/>
                <w:sz w:val="20"/>
              </w:rPr>
              <w:t>Third Quarter ASR Program</w:t>
            </w:r>
          </w:p>
        </w:tc>
        <w:tc>
          <w:tcPr>
            <w:tcW w:w="200" w:type="dxa"/>
            <w:shd w:val="clear" w:color="auto" w:fill="CCECFC"/>
          </w:tcPr>
          <w:p>
            <w:pPr/>
          </w:p>
        </w:tc>
        <w:tc>
          <w:tcPr>
            <w:tcW w:w="1600" w:type="dxa"/>
            <w:shd w:val="clear" w:color="auto" w:fill="CCECFC"/>
          </w:tcPr>
          <w:p>
            <w:pPr>
              <w:pStyle w:val="TableParagraph"/>
              <w:spacing w:before="33"/>
              <w:ind w:left="400"/>
              <w:rPr>
                <w:sz w:val="20"/>
              </w:rPr>
            </w:pPr>
            <w:r>
              <w:rPr>
                <w:color w:val="231F20"/>
                <w:sz w:val="20"/>
              </w:rPr>
              <w:t>6,147,812</w:t>
            </w:r>
          </w:p>
        </w:tc>
        <w:tc>
          <w:tcPr>
            <w:tcW w:w="417" w:type="dxa"/>
            <w:shd w:val="clear" w:color="auto" w:fill="CCECFC"/>
          </w:tcPr>
          <w:p>
            <w:pPr/>
          </w:p>
        </w:tc>
        <w:tc>
          <w:tcPr>
            <w:tcW w:w="1663" w:type="dxa"/>
            <w:shd w:val="clear" w:color="auto" w:fill="CCECFC"/>
          </w:tcPr>
          <w:p>
            <w:pPr>
              <w:pStyle w:val="TableParagraph"/>
              <w:spacing w:before="33"/>
              <w:ind w:right="77"/>
              <w:jc w:val="right"/>
              <w:rPr>
                <w:sz w:val="20"/>
              </w:rPr>
            </w:pPr>
            <w:r>
              <w:rPr>
                <w:color w:val="231F20"/>
                <w:sz w:val="20"/>
              </w:rPr>
              <w:t>200,000,000</w:t>
            </w:r>
          </w:p>
        </w:tc>
      </w:tr>
      <w:tr>
        <w:trPr>
          <w:trHeight w:val="295" w:hRule="exact"/>
        </w:trPr>
        <w:tc>
          <w:tcPr>
            <w:tcW w:w="5240" w:type="dxa"/>
          </w:tcPr>
          <w:p>
            <w:pPr>
              <w:pStyle w:val="TableParagraph"/>
              <w:spacing w:before="33"/>
              <w:ind w:left="60"/>
              <w:rPr>
                <w:sz w:val="20"/>
              </w:rPr>
            </w:pPr>
            <w:r>
              <w:rPr>
                <w:color w:val="231F20"/>
                <w:sz w:val="20"/>
              </w:rPr>
              <w:t>Fourth Quarter ASR Program</w:t>
            </w:r>
          </w:p>
        </w:tc>
        <w:tc>
          <w:tcPr>
            <w:tcW w:w="200" w:type="dxa"/>
          </w:tcPr>
          <w:p>
            <w:pPr/>
          </w:p>
        </w:tc>
        <w:tc>
          <w:tcPr>
            <w:tcW w:w="1600" w:type="dxa"/>
            <w:tcBorders>
              <w:bottom w:val="single" w:sz="4" w:space="0" w:color="231F20"/>
            </w:tcBorders>
          </w:tcPr>
          <w:p>
            <w:pPr>
              <w:pStyle w:val="TableParagraph"/>
              <w:spacing w:before="33"/>
              <w:ind w:left="400"/>
              <w:rPr>
                <w:sz w:val="20"/>
              </w:rPr>
            </w:pPr>
            <w:r>
              <w:rPr>
                <w:color w:val="231F20"/>
                <w:sz w:val="20"/>
              </w:rPr>
              <w:t>3,810,008</w:t>
            </w:r>
          </w:p>
        </w:tc>
        <w:tc>
          <w:tcPr>
            <w:tcW w:w="417" w:type="dxa"/>
          </w:tcPr>
          <w:p>
            <w:pPr>
              <w:pStyle w:val="TableParagraph"/>
              <w:spacing w:before="33"/>
              <w:ind w:left="100"/>
              <w:rPr>
                <w:sz w:val="20"/>
              </w:rPr>
            </w:pPr>
            <w:r>
              <w:rPr>
                <w:color w:val="231F20"/>
                <w:sz w:val="20"/>
              </w:rPr>
              <w:t>(1)</w:t>
            </w:r>
          </w:p>
        </w:tc>
        <w:tc>
          <w:tcPr>
            <w:tcW w:w="1663" w:type="dxa"/>
            <w:tcBorders>
              <w:bottom w:val="single" w:sz="4" w:space="0" w:color="231F20"/>
            </w:tcBorders>
          </w:tcPr>
          <w:p>
            <w:pPr>
              <w:pStyle w:val="TableParagraph"/>
              <w:spacing w:before="33"/>
              <w:ind w:right="77"/>
              <w:jc w:val="right"/>
              <w:rPr>
                <w:sz w:val="20"/>
              </w:rPr>
            </w:pPr>
            <w:r>
              <w:rPr>
                <w:color w:val="231F20"/>
                <w:sz w:val="20"/>
              </w:rPr>
              <w:t>200,000,000</w:t>
            </w:r>
          </w:p>
        </w:tc>
      </w:tr>
      <w:tr>
        <w:trPr>
          <w:trHeight w:val="285" w:hRule="exact"/>
        </w:trPr>
        <w:tc>
          <w:tcPr>
            <w:tcW w:w="5240" w:type="dxa"/>
            <w:shd w:val="clear" w:color="auto" w:fill="CCECFC"/>
          </w:tcPr>
          <w:p>
            <w:pPr>
              <w:pStyle w:val="TableParagraph"/>
              <w:spacing w:before="33"/>
              <w:ind w:left="260"/>
              <w:rPr>
                <w:sz w:val="20"/>
              </w:rPr>
            </w:pPr>
            <w:r>
              <w:rPr>
                <w:color w:val="231F20"/>
                <w:sz w:val="20"/>
              </w:rPr>
              <w:t>Total</w:t>
            </w:r>
          </w:p>
        </w:tc>
        <w:tc>
          <w:tcPr>
            <w:tcW w:w="200" w:type="dxa"/>
            <w:shd w:val="clear" w:color="auto" w:fill="CCECFC"/>
          </w:tcPr>
          <w:p>
            <w:pPr/>
          </w:p>
        </w:tc>
        <w:tc>
          <w:tcPr>
            <w:tcW w:w="1600" w:type="dxa"/>
            <w:tcBorders>
              <w:top w:val="single" w:sz="4" w:space="0" w:color="231F20"/>
            </w:tcBorders>
            <w:shd w:val="clear" w:color="auto" w:fill="CCECFC"/>
          </w:tcPr>
          <w:p>
            <w:pPr>
              <w:pStyle w:val="TableParagraph"/>
              <w:spacing w:before="33"/>
              <w:ind w:left="300"/>
              <w:rPr>
                <w:sz w:val="20"/>
              </w:rPr>
            </w:pPr>
            <w:r>
              <w:rPr>
                <w:color w:val="231F20"/>
                <w:sz w:val="20"/>
              </w:rPr>
              <w:t>18,119,797</w:t>
            </w:r>
          </w:p>
        </w:tc>
        <w:tc>
          <w:tcPr>
            <w:tcW w:w="417" w:type="dxa"/>
            <w:shd w:val="clear" w:color="auto" w:fill="CCECFC"/>
          </w:tcPr>
          <w:p>
            <w:pPr/>
          </w:p>
        </w:tc>
        <w:tc>
          <w:tcPr>
            <w:tcW w:w="1663" w:type="dxa"/>
            <w:tcBorders>
              <w:top w:val="single" w:sz="4" w:space="0" w:color="231F20"/>
            </w:tcBorders>
            <w:shd w:val="clear" w:color="auto" w:fill="CCECFC"/>
          </w:tcPr>
          <w:p>
            <w:pPr>
              <w:pStyle w:val="TableParagraph"/>
              <w:tabs>
                <w:tab w:pos="499" w:val="left" w:leader="none"/>
              </w:tabs>
              <w:spacing w:before="28"/>
              <w:ind w:right="77"/>
              <w:jc w:val="right"/>
              <w:rPr>
                <w:sz w:val="20"/>
              </w:rPr>
            </w:pPr>
            <w:r>
              <w:rPr>
                <w:color w:val="231F20"/>
                <w:sz w:val="20"/>
              </w:rPr>
              <w:t>$</w:t>
              <w:tab/>
              <w:t>619,643,700</w:t>
            </w:r>
          </w:p>
        </w:tc>
      </w:tr>
    </w:tbl>
    <w:p>
      <w:pPr>
        <w:pStyle w:val="BodyText"/>
        <w:spacing w:before="6"/>
      </w:pPr>
    </w:p>
    <w:p>
      <w:pPr>
        <w:spacing w:line="249" w:lineRule="auto" w:before="0"/>
        <w:ind w:left="100" w:right="97" w:firstLine="0"/>
        <w:jc w:val="left"/>
        <w:rPr>
          <w:sz w:val="20"/>
        </w:rPr>
      </w:pPr>
      <w:r>
        <w:rPr>
          <w:color w:val="231F20"/>
          <w:sz w:val="20"/>
        </w:rPr>
        <w:t>(1) This transaction was recorded as a treasury share purchase for purposes of calculating earnings per share. The shares received represented an estimated 75 percent of the shares to be purchased by the Company under the Fourth Quarter ASR Program. See Part II, Item 5 for further information on the Company’s share repurchase authorization and the Fourth Quarter ASR Program.</w:t>
      </w:r>
    </w:p>
    <w:p>
      <w:pPr>
        <w:pStyle w:val="BodyText"/>
        <w:spacing w:before="1"/>
        <w:rPr>
          <w:sz w:val="18"/>
        </w:rPr>
      </w:pPr>
    </w:p>
    <w:p>
      <w:pPr>
        <w:pStyle w:val="BodyText"/>
        <w:spacing w:line="247" w:lineRule="auto"/>
        <w:ind w:left="100" w:right="117" w:firstLine="720"/>
        <w:jc w:val="both"/>
      </w:pPr>
      <w:r>
        <w:rPr>
          <w:color w:val="231F20"/>
        </w:rPr>
        <w:t>On August 5, 2014, Moody’s upgraded the Company’s senior unsecured debt rating to “Baa2” from “Baa3,” the five pass-through trust certificates (“PTCs”) to “Baa1,” and the A and C tranches of the AirTran Airways Series 1999-1 Enhanced Equipment Trust Certificates (“EETC”) to “A3” from “Baa1” and to “Baa3” from “Ba1,” respectively. The upgrade of the Company’s senior unsecured debt rating was based on Moody’s expectations of further strengthening of the Company’s credit metrics, building on the improvements in cash flow, earnings and financial leverage that the Company has achieved since the end of 2012. The upgrade of the Company’s ratings on its PTCs reflects Moody’s estimates that the loan-to-value (“LTVs”) for the two transactions maturing within the next 24 months are about 60 percent and 70 percent, while the three subsequent maturities have estimated LTVs at between 115 percent and 150 percent as older Boeing B737-700 aircraft secure these instruments. The upgrade of the AirTran Series 1999-1 EETC reflects that both tranches are guaranteed by Southwest and that two Boeing B717-200 aircraft that will be subleased to Delta Air Lines secure this financing. Moody’s estimates the LTVs of this financing at between 50 percent and 60 percent.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On September 22, 2014, Fitch affirmed the Company’s debt rating of “BBB” and revised the rating outlook from stable to positive. The positive outlook reflects Fitch’s view that a positive rating action could be warranted over the intermediate term should the Company continue to strengthen its operating margins, control unit cost inflation, generate solid free cash flow, and exhibit stable or declining leverage. Fitch also noted that the operating risks relating to the integration of AirTran are now largely in the past as the Company was expected to effectively complete the integration process  by year-end 2014.</w:t>
      </w:r>
    </w:p>
    <w:p>
      <w:pPr>
        <w:pStyle w:val="BodyText"/>
        <w:spacing w:line="247" w:lineRule="auto" w:before="206"/>
        <w:ind w:left="100" w:right="117" w:firstLine="720"/>
        <w:jc w:val="both"/>
      </w:pPr>
      <w:r>
        <w:rPr>
          <w:color w:val="231F20"/>
        </w:rPr>
        <w:t>On October 31, 2014, Standard and Poor’s raised the Company’s credit rating to ‘BBB’ from ‘BBB-’, based on the Company’s’ improving financial profile. Standard and Poor’s noted the Company’s improved credit ratios due to rising earnings and cash flow, and expects further improvement over the next two years.</w:t>
      </w:r>
    </w:p>
    <w:p>
      <w:pPr>
        <w:pStyle w:val="BodyText"/>
        <w:spacing w:line="247" w:lineRule="auto" w:before="206"/>
        <w:ind w:left="100" w:right="117" w:firstLine="720"/>
        <w:jc w:val="both"/>
      </w:pPr>
      <w:r>
        <w:rPr>
          <w:color w:val="231F20"/>
        </w:rPr>
        <w:t>The Company has a large net deferred tax liability on its Consolidated Balance Sheet. The deferral of income taxes has resulted in a significant benefit to the Company and its liquidity position. Since the Company purchases the majority of the aircraft it acquires, it has been able to utilize accelerated depreciation methods (including bonus depreciation) available under the Internal Revenue Code in 2014 and in previous years, which has enabled the Company to defer the cash tax payments associated with these depreciable assets to future years. Based on the Company’s scheduled future aircraft deliveries from Boeing and existing tax laws in effect, the Company will continue to defer a portion of cash income taxes to future years. The Company has paid in the past, and will continue to pay in the future, significant cash taxes to the various taxing jurisdictions where it operates. The Company expects to be able to continue to meet such obligations utilizing cash and investments on hand, as well as cash generated from its ongoing operations.</w:t>
      </w:r>
    </w:p>
    <w:p>
      <w:pPr>
        <w:pStyle w:val="Heading1"/>
        <w:spacing w:line="247" w:lineRule="auto" w:before="206"/>
        <w:ind w:right="97"/>
      </w:pPr>
      <w:bookmarkStart w:name="Off- Balance Sheet Arrangements, Contrac" w:id="14"/>
      <w:bookmarkEnd w:id="14"/>
      <w:r>
        <w:rPr>
          <w:b w:val="0"/>
        </w:rPr>
      </w:r>
      <w:r>
        <w:rPr>
          <w:color w:val="231F20"/>
        </w:rPr>
        <w:t>Off-Balance Sheet Arrangements, Contractual Obligations, and Contingent Liabilities and Commitments</w:t>
      </w:r>
    </w:p>
    <w:p>
      <w:pPr>
        <w:pStyle w:val="BodyText"/>
        <w:spacing w:line="247" w:lineRule="auto" w:before="206"/>
        <w:ind w:left="100" w:right="117" w:firstLine="720"/>
        <w:jc w:val="both"/>
      </w:pPr>
      <w:r>
        <w:rPr>
          <w:color w:val="231F20"/>
        </w:rPr>
        <w:t>The Company has contractual obligations and commitments primarily with regard to future purchases of aircraft, payment of debt, and lease arrangements.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 See Note 4 to the Consolidated Financial Statements for a complete table of the Company’s firm orders, options, and purchase rights with Boeing and other parties. Under the Company’s agreement with Boeing, it has the option to substitute 737-600s for the 737-700s ordered with at least 24 months notice prior to the contractual delivery date and can substitute 737-800s for the 737-700s with at least twelve months notice.</w:t>
      </w:r>
    </w:p>
    <w:p>
      <w:pPr>
        <w:pStyle w:val="BodyText"/>
        <w:spacing w:line="247" w:lineRule="auto" w:before="206"/>
        <w:ind w:left="100" w:right="117" w:firstLine="720"/>
        <w:jc w:val="both"/>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guarantees to the lessors regarding the residual value (or market value) of the aircraft at the end of the lease terms. As of December 31, 2014, the Company had 190 leased aircraft, including 78 B717s subleased to Delta. Of these leased aircraft, 174 are under operating leases, including 76 B717s subleased to Delta. Assets and obligations under operating leases are not included in the Company’s Consolidated Balance Sheet. Disclosure of the contractual obligations associated  with the Company’s leased aircraft is included below, as well as in Note 7 to the Consolidated Financial Statements.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firstLine="720"/>
        <w:jc w:val="both"/>
      </w:pPr>
      <w:r>
        <w:rPr>
          <w:color w:val="231F20"/>
        </w:rPr>
        <w:t>The Company is required to provide standby letters of credit to support certain obligations that arise in the ordinary course of business and may choose to provide letters of credit in place of posting cash collateral related to its fuel hedging positions. Although the letters of credit are off-balance sheet, the majority of the obligations to which they relate are reflected as liabilities in the Consolidated Balance Sheet. Outstanding letters of credit totaled $440 million at December 31, 2014.</w:t>
      </w:r>
    </w:p>
    <w:p>
      <w:pPr>
        <w:pStyle w:val="BodyText"/>
        <w:spacing w:before="2"/>
        <w:rPr>
          <w:sz w:val="27"/>
        </w:rPr>
      </w:pPr>
    </w:p>
    <w:p>
      <w:pPr>
        <w:pStyle w:val="BodyText"/>
        <w:spacing w:line="247" w:lineRule="auto"/>
        <w:ind w:left="120" w:right="118" w:firstLine="720"/>
        <w:jc w:val="both"/>
      </w:pPr>
      <w:r>
        <w:rPr>
          <w:color w:val="231F20"/>
        </w:rPr>
        <w:t>The following table aggregates the Company’s material expected contractual obligations and commitments as of December 31, 2014:</w:t>
      </w:r>
    </w:p>
    <w:p>
      <w:pPr>
        <w:pStyle w:val="BodyText"/>
        <w:spacing w:before="8"/>
        <w:rPr>
          <w:sz w:val="14"/>
        </w:rPr>
      </w:pPr>
    </w:p>
    <w:p>
      <w:pPr>
        <w:spacing w:before="100" w:after="35"/>
        <w:ind w:left="4960" w:right="0" w:firstLine="0"/>
        <w:jc w:val="left"/>
        <w:rPr>
          <w:b/>
          <w:sz w:val="16"/>
        </w:rPr>
      </w:pPr>
      <w:r>
        <w:rPr/>
        <w:pict>
          <v:line style="position:absolute;mso-position-horizontal-relative:page;mso-position-vertical-relative:paragraph;z-index:-406912" from="69pt,27.968725pt" to="205pt,27.968725pt" stroked="true" strokeweight="1pt" strokecolor="#231f20">
            <v:stroke dashstyle="solid"/>
            <w10:wrap type="none"/>
          </v:line>
        </w:pict>
      </w:r>
      <w:r>
        <w:rPr>
          <w:b/>
          <w:color w:val="231F20"/>
          <w:sz w:val="16"/>
        </w:rPr>
        <w:t>Obligations by period (in millions)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20"/>
        <w:gridCol w:w="140"/>
        <w:gridCol w:w="1140"/>
        <w:gridCol w:w="140"/>
        <w:gridCol w:w="1140"/>
        <w:gridCol w:w="140"/>
        <w:gridCol w:w="1140"/>
        <w:gridCol w:w="140"/>
        <w:gridCol w:w="1140"/>
        <w:gridCol w:w="140"/>
        <w:gridCol w:w="1140"/>
      </w:tblGrid>
      <w:tr>
        <w:trPr>
          <w:trHeight w:val="240" w:hRule="exact"/>
        </w:trPr>
        <w:tc>
          <w:tcPr>
            <w:tcW w:w="2720" w:type="dxa"/>
          </w:tcPr>
          <w:p>
            <w:pPr>
              <w:pStyle w:val="TableParagraph"/>
              <w:spacing w:before="20"/>
              <w:ind w:left="60"/>
              <w:rPr>
                <w:b/>
                <w:sz w:val="16"/>
              </w:rPr>
            </w:pPr>
            <w:r>
              <w:rPr>
                <w:b/>
                <w:color w:val="231F20"/>
                <w:w w:val="95"/>
                <w:sz w:val="16"/>
              </w:rPr>
              <w:t>Contractual  obligations</w:t>
            </w:r>
          </w:p>
        </w:tc>
        <w:tc>
          <w:tcPr>
            <w:tcW w:w="140" w:type="dxa"/>
          </w:tcPr>
          <w:p>
            <w:pPr/>
          </w:p>
        </w:tc>
        <w:tc>
          <w:tcPr>
            <w:tcW w:w="1140" w:type="dxa"/>
            <w:tcBorders>
              <w:top w:val="single" w:sz="8" w:space="0" w:color="231F20"/>
              <w:bottom w:val="single" w:sz="8" w:space="0" w:color="231F20"/>
            </w:tcBorders>
          </w:tcPr>
          <w:p>
            <w:pPr>
              <w:pStyle w:val="TableParagraph"/>
              <w:spacing w:before="10"/>
              <w:ind w:left="367" w:right="367"/>
              <w:jc w:val="center"/>
              <w:rPr>
                <w:b/>
                <w:sz w:val="16"/>
              </w:rPr>
            </w:pPr>
            <w:r>
              <w:rPr>
                <w:b/>
                <w:color w:val="231F20"/>
                <w:sz w:val="16"/>
              </w:rPr>
              <w:t>2015</w:t>
            </w:r>
          </w:p>
        </w:tc>
        <w:tc>
          <w:tcPr>
            <w:tcW w:w="140" w:type="dxa"/>
            <w:tcBorders>
              <w:top w:val="single" w:sz="8" w:space="0" w:color="231F20"/>
            </w:tcBorders>
          </w:tcPr>
          <w:p>
            <w:pPr/>
          </w:p>
        </w:tc>
        <w:tc>
          <w:tcPr>
            <w:tcW w:w="1140" w:type="dxa"/>
            <w:tcBorders>
              <w:top w:val="single" w:sz="8" w:space="0" w:color="231F20"/>
              <w:bottom w:val="single" w:sz="8" w:space="0" w:color="231F20"/>
            </w:tcBorders>
          </w:tcPr>
          <w:p>
            <w:pPr>
              <w:pStyle w:val="TableParagraph"/>
              <w:spacing w:before="10"/>
              <w:ind w:left="192"/>
              <w:rPr>
                <w:b/>
                <w:sz w:val="16"/>
              </w:rPr>
            </w:pPr>
            <w:r>
              <w:rPr>
                <w:b/>
                <w:color w:val="231F20"/>
                <w:sz w:val="16"/>
              </w:rPr>
              <w:t>2016 - 2017</w:t>
            </w:r>
          </w:p>
        </w:tc>
        <w:tc>
          <w:tcPr>
            <w:tcW w:w="140" w:type="dxa"/>
            <w:tcBorders>
              <w:top w:val="single" w:sz="8" w:space="0" w:color="231F20"/>
            </w:tcBorders>
          </w:tcPr>
          <w:p>
            <w:pPr/>
          </w:p>
        </w:tc>
        <w:tc>
          <w:tcPr>
            <w:tcW w:w="1140" w:type="dxa"/>
            <w:tcBorders>
              <w:top w:val="single" w:sz="8" w:space="0" w:color="231F20"/>
              <w:bottom w:val="single" w:sz="8" w:space="0" w:color="231F20"/>
            </w:tcBorders>
          </w:tcPr>
          <w:p>
            <w:pPr>
              <w:pStyle w:val="TableParagraph"/>
              <w:spacing w:before="10"/>
              <w:ind w:left="192"/>
              <w:rPr>
                <w:b/>
                <w:sz w:val="16"/>
              </w:rPr>
            </w:pPr>
            <w:r>
              <w:rPr>
                <w:b/>
                <w:color w:val="231F20"/>
                <w:sz w:val="16"/>
              </w:rPr>
              <w:t>2018 - 2019</w:t>
            </w:r>
          </w:p>
        </w:tc>
        <w:tc>
          <w:tcPr>
            <w:tcW w:w="140" w:type="dxa"/>
            <w:tcBorders>
              <w:top w:val="single" w:sz="8" w:space="0" w:color="231F20"/>
            </w:tcBorders>
          </w:tcPr>
          <w:p>
            <w:pPr/>
          </w:p>
        </w:tc>
        <w:tc>
          <w:tcPr>
            <w:tcW w:w="1140" w:type="dxa"/>
            <w:tcBorders>
              <w:top w:val="single" w:sz="8" w:space="0" w:color="231F20"/>
              <w:bottom w:val="single" w:sz="8" w:space="0" w:color="231F20"/>
            </w:tcBorders>
          </w:tcPr>
          <w:p>
            <w:pPr>
              <w:pStyle w:val="TableParagraph"/>
              <w:spacing w:before="10"/>
              <w:ind w:left="142"/>
              <w:rPr>
                <w:b/>
                <w:sz w:val="16"/>
              </w:rPr>
            </w:pPr>
            <w:r>
              <w:rPr>
                <w:b/>
                <w:color w:val="231F20"/>
                <w:sz w:val="16"/>
              </w:rPr>
              <w:t>Beyond 2019</w:t>
            </w:r>
          </w:p>
        </w:tc>
        <w:tc>
          <w:tcPr>
            <w:tcW w:w="140" w:type="dxa"/>
            <w:tcBorders>
              <w:top w:val="single" w:sz="8" w:space="0" w:color="231F20"/>
            </w:tcBorders>
          </w:tcPr>
          <w:p>
            <w:pPr/>
          </w:p>
        </w:tc>
        <w:tc>
          <w:tcPr>
            <w:tcW w:w="1140" w:type="dxa"/>
            <w:tcBorders>
              <w:top w:val="single" w:sz="8" w:space="0" w:color="231F20"/>
              <w:bottom w:val="single" w:sz="8" w:space="0" w:color="231F20"/>
            </w:tcBorders>
          </w:tcPr>
          <w:p>
            <w:pPr>
              <w:pStyle w:val="TableParagraph"/>
              <w:spacing w:before="10"/>
              <w:ind w:left="367" w:right="367"/>
              <w:jc w:val="center"/>
              <w:rPr>
                <w:b/>
                <w:sz w:val="16"/>
              </w:rPr>
            </w:pPr>
            <w:r>
              <w:rPr>
                <w:b/>
                <w:color w:val="231F20"/>
                <w:sz w:val="16"/>
              </w:rPr>
              <w:t>Total</w:t>
            </w:r>
          </w:p>
        </w:tc>
      </w:tr>
      <w:tr>
        <w:trPr>
          <w:trHeight w:val="290" w:hRule="exact"/>
        </w:trPr>
        <w:tc>
          <w:tcPr>
            <w:tcW w:w="2720" w:type="dxa"/>
            <w:shd w:val="clear" w:color="auto" w:fill="CCECFC"/>
          </w:tcPr>
          <w:p>
            <w:pPr>
              <w:pStyle w:val="TableParagraph"/>
              <w:spacing w:before="33"/>
              <w:ind w:left="60"/>
              <w:rPr>
                <w:sz w:val="20"/>
              </w:rPr>
            </w:pPr>
            <w:r>
              <w:rPr>
                <w:color w:val="231F20"/>
                <w:sz w:val="20"/>
              </w:rPr>
              <w:t>Long-term debt (1)</w:t>
            </w:r>
          </w:p>
        </w:tc>
        <w:tc>
          <w:tcPr>
            <w:tcW w:w="140" w:type="dxa"/>
            <w:shd w:val="clear" w:color="auto" w:fill="CCECFC"/>
          </w:tcPr>
          <w:p>
            <w:pPr/>
          </w:p>
        </w:tc>
        <w:tc>
          <w:tcPr>
            <w:tcW w:w="1140" w:type="dxa"/>
            <w:tcBorders>
              <w:top w:val="single" w:sz="8" w:space="0" w:color="231F20"/>
            </w:tcBorders>
            <w:shd w:val="clear" w:color="auto" w:fill="CCECFC"/>
          </w:tcPr>
          <w:p>
            <w:pPr>
              <w:pStyle w:val="TableParagraph"/>
              <w:tabs>
                <w:tab w:pos="765" w:val="left" w:leader="none"/>
              </w:tabs>
              <w:spacing w:before="33"/>
              <w:ind w:right="77"/>
              <w:jc w:val="right"/>
              <w:rPr>
                <w:sz w:val="20"/>
              </w:rPr>
            </w:pPr>
            <w:r>
              <w:rPr>
                <w:color w:val="231F20"/>
                <w:sz w:val="20"/>
              </w:rPr>
              <w:t>$</w:t>
              <w:tab/>
            </w:r>
            <w:r>
              <w:rPr>
                <w:color w:val="231F20"/>
                <w:w w:val="95"/>
                <w:sz w:val="20"/>
              </w:rPr>
              <w:t>232</w:t>
            </w:r>
          </w:p>
        </w:tc>
        <w:tc>
          <w:tcPr>
            <w:tcW w:w="140" w:type="dxa"/>
            <w:shd w:val="clear" w:color="auto" w:fill="CCECFC"/>
          </w:tcPr>
          <w:p>
            <w:pPr/>
          </w:p>
        </w:tc>
        <w:tc>
          <w:tcPr>
            <w:tcW w:w="1140" w:type="dxa"/>
            <w:tcBorders>
              <w:top w:val="single" w:sz="8" w:space="0" w:color="231F20"/>
            </w:tcBorders>
            <w:shd w:val="clear" w:color="auto" w:fill="CCECFC"/>
          </w:tcPr>
          <w:p>
            <w:pPr>
              <w:pStyle w:val="TableParagraph"/>
              <w:tabs>
                <w:tab w:pos="618" w:val="left" w:leader="none"/>
              </w:tabs>
              <w:spacing w:before="33"/>
              <w:ind w:right="77"/>
              <w:jc w:val="right"/>
              <w:rPr>
                <w:sz w:val="20"/>
              </w:rPr>
            </w:pPr>
            <w:r>
              <w:rPr>
                <w:color w:val="231F20"/>
                <w:sz w:val="20"/>
              </w:rPr>
              <w:t>$</w:t>
              <w:tab/>
            </w:r>
            <w:r>
              <w:rPr>
                <w:color w:val="231F20"/>
                <w:w w:val="95"/>
                <w:sz w:val="20"/>
              </w:rPr>
              <w:t>1,023</w:t>
            </w:r>
          </w:p>
        </w:tc>
        <w:tc>
          <w:tcPr>
            <w:tcW w:w="140" w:type="dxa"/>
            <w:shd w:val="clear" w:color="auto" w:fill="CCECFC"/>
          </w:tcPr>
          <w:p>
            <w:pPr/>
          </w:p>
        </w:tc>
        <w:tc>
          <w:tcPr>
            <w:tcW w:w="1140" w:type="dxa"/>
            <w:tcBorders>
              <w:top w:val="single" w:sz="8" w:space="0" w:color="231F20"/>
            </w:tcBorders>
            <w:shd w:val="clear" w:color="auto" w:fill="CCECFC"/>
          </w:tcPr>
          <w:p>
            <w:pPr>
              <w:pStyle w:val="TableParagraph"/>
              <w:tabs>
                <w:tab w:pos="765" w:val="left" w:leader="none"/>
              </w:tabs>
              <w:spacing w:before="33"/>
              <w:ind w:right="77"/>
              <w:jc w:val="right"/>
              <w:rPr>
                <w:sz w:val="20"/>
              </w:rPr>
            </w:pPr>
            <w:r>
              <w:rPr>
                <w:color w:val="231F20"/>
                <w:sz w:val="20"/>
              </w:rPr>
              <w:t>$</w:t>
              <w:tab/>
            </w:r>
            <w:r>
              <w:rPr>
                <w:color w:val="231F20"/>
                <w:w w:val="95"/>
                <w:sz w:val="20"/>
              </w:rPr>
              <w:t>737</w:t>
            </w:r>
          </w:p>
        </w:tc>
        <w:tc>
          <w:tcPr>
            <w:tcW w:w="140" w:type="dxa"/>
            <w:shd w:val="clear" w:color="auto" w:fill="CCECFC"/>
          </w:tcPr>
          <w:p>
            <w:pPr/>
          </w:p>
        </w:tc>
        <w:tc>
          <w:tcPr>
            <w:tcW w:w="1140" w:type="dxa"/>
            <w:tcBorders>
              <w:top w:val="single" w:sz="8" w:space="0" w:color="231F20"/>
            </w:tcBorders>
            <w:shd w:val="clear" w:color="auto" w:fill="CCECFC"/>
          </w:tcPr>
          <w:p>
            <w:pPr>
              <w:pStyle w:val="TableParagraph"/>
              <w:tabs>
                <w:tab w:pos="765" w:val="left" w:leader="none"/>
              </w:tabs>
              <w:spacing w:before="33"/>
              <w:ind w:right="77"/>
              <w:jc w:val="right"/>
              <w:rPr>
                <w:sz w:val="20"/>
              </w:rPr>
            </w:pPr>
            <w:r>
              <w:rPr>
                <w:color w:val="231F20"/>
                <w:sz w:val="20"/>
              </w:rPr>
              <w:t>$</w:t>
              <w:tab/>
            </w:r>
            <w:r>
              <w:rPr>
                <w:color w:val="231F20"/>
                <w:w w:val="95"/>
                <w:sz w:val="20"/>
              </w:rPr>
              <w:t>455</w:t>
            </w:r>
          </w:p>
        </w:tc>
        <w:tc>
          <w:tcPr>
            <w:tcW w:w="140" w:type="dxa"/>
            <w:shd w:val="clear" w:color="auto" w:fill="CCECFC"/>
          </w:tcPr>
          <w:p>
            <w:pPr/>
          </w:p>
        </w:tc>
        <w:tc>
          <w:tcPr>
            <w:tcW w:w="1140" w:type="dxa"/>
            <w:tcBorders>
              <w:top w:val="single" w:sz="8" w:space="0" w:color="231F20"/>
            </w:tcBorders>
            <w:shd w:val="clear" w:color="auto" w:fill="CCECFC"/>
          </w:tcPr>
          <w:p>
            <w:pPr>
              <w:pStyle w:val="TableParagraph"/>
              <w:tabs>
                <w:tab w:pos="618" w:val="left" w:leader="none"/>
              </w:tabs>
              <w:spacing w:before="33"/>
              <w:ind w:right="77"/>
              <w:jc w:val="right"/>
              <w:rPr>
                <w:sz w:val="20"/>
              </w:rPr>
            </w:pPr>
            <w:r>
              <w:rPr>
                <w:color w:val="231F20"/>
                <w:sz w:val="20"/>
              </w:rPr>
              <w:t>$</w:t>
              <w:tab/>
            </w:r>
            <w:r>
              <w:rPr>
                <w:color w:val="231F20"/>
                <w:w w:val="95"/>
                <w:sz w:val="20"/>
              </w:rPr>
              <w:t>2,447</w:t>
            </w:r>
          </w:p>
        </w:tc>
      </w:tr>
      <w:tr>
        <w:trPr>
          <w:trHeight w:val="280" w:hRule="exact"/>
        </w:trPr>
        <w:tc>
          <w:tcPr>
            <w:tcW w:w="2720" w:type="dxa"/>
          </w:tcPr>
          <w:p>
            <w:pPr>
              <w:pStyle w:val="TableParagraph"/>
              <w:spacing w:before="33"/>
              <w:ind w:left="60"/>
              <w:rPr>
                <w:sz w:val="20"/>
              </w:rPr>
            </w:pPr>
            <w:r>
              <w:rPr>
                <w:color w:val="231F20"/>
                <w:sz w:val="20"/>
              </w:rPr>
              <w:t>Interest commitments - fixed (2)</w:t>
            </w:r>
          </w:p>
        </w:tc>
        <w:tc>
          <w:tcPr>
            <w:tcW w:w="140" w:type="dxa"/>
          </w:tcPr>
          <w:p>
            <w:pPr/>
          </w:p>
        </w:tc>
        <w:tc>
          <w:tcPr>
            <w:tcW w:w="1140" w:type="dxa"/>
          </w:tcPr>
          <w:p>
            <w:pPr>
              <w:pStyle w:val="TableParagraph"/>
              <w:spacing w:before="33"/>
              <w:ind w:right="77"/>
              <w:jc w:val="right"/>
              <w:rPr>
                <w:sz w:val="20"/>
              </w:rPr>
            </w:pPr>
            <w:r>
              <w:rPr>
                <w:color w:val="231F20"/>
                <w:w w:val="95"/>
                <w:sz w:val="20"/>
              </w:rPr>
              <w:t>102</w:t>
            </w:r>
          </w:p>
        </w:tc>
        <w:tc>
          <w:tcPr>
            <w:tcW w:w="140" w:type="dxa"/>
          </w:tcPr>
          <w:p>
            <w:pPr/>
          </w:p>
        </w:tc>
        <w:tc>
          <w:tcPr>
            <w:tcW w:w="1140" w:type="dxa"/>
          </w:tcPr>
          <w:p>
            <w:pPr>
              <w:pStyle w:val="TableParagraph"/>
              <w:spacing w:before="33"/>
              <w:ind w:right="77"/>
              <w:jc w:val="right"/>
              <w:rPr>
                <w:sz w:val="20"/>
              </w:rPr>
            </w:pPr>
            <w:r>
              <w:rPr>
                <w:color w:val="231F20"/>
                <w:w w:val="95"/>
                <w:sz w:val="20"/>
              </w:rPr>
              <w:t>163</w:t>
            </w:r>
          </w:p>
        </w:tc>
        <w:tc>
          <w:tcPr>
            <w:tcW w:w="140" w:type="dxa"/>
          </w:tcPr>
          <w:p>
            <w:pPr/>
          </w:p>
        </w:tc>
        <w:tc>
          <w:tcPr>
            <w:tcW w:w="1140" w:type="dxa"/>
          </w:tcPr>
          <w:p>
            <w:pPr>
              <w:pStyle w:val="TableParagraph"/>
              <w:spacing w:before="33"/>
              <w:ind w:right="77"/>
              <w:jc w:val="right"/>
              <w:rPr>
                <w:sz w:val="20"/>
              </w:rPr>
            </w:pPr>
            <w:r>
              <w:rPr>
                <w:color w:val="231F20"/>
                <w:w w:val="95"/>
                <w:sz w:val="20"/>
              </w:rPr>
              <w:t>84</w:t>
            </w:r>
          </w:p>
        </w:tc>
        <w:tc>
          <w:tcPr>
            <w:tcW w:w="140" w:type="dxa"/>
          </w:tcPr>
          <w:p>
            <w:pPr/>
          </w:p>
        </w:tc>
        <w:tc>
          <w:tcPr>
            <w:tcW w:w="1140" w:type="dxa"/>
          </w:tcPr>
          <w:p>
            <w:pPr>
              <w:pStyle w:val="TableParagraph"/>
              <w:spacing w:before="33"/>
              <w:ind w:right="77"/>
              <w:jc w:val="right"/>
              <w:rPr>
                <w:sz w:val="20"/>
              </w:rPr>
            </w:pPr>
            <w:r>
              <w:rPr>
                <w:color w:val="231F20"/>
                <w:w w:val="95"/>
                <w:sz w:val="20"/>
              </w:rPr>
              <w:t>82</w:t>
            </w:r>
          </w:p>
        </w:tc>
        <w:tc>
          <w:tcPr>
            <w:tcW w:w="140" w:type="dxa"/>
          </w:tcPr>
          <w:p>
            <w:pPr/>
          </w:p>
        </w:tc>
        <w:tc>
          <w:tcPr>
            <w:tcW w:w="1140" w:type="dxa"/>
          </w:tcPr>
          <w:p>
            <w:pPr>
              <w:pStyle w:val="TableParagraph"/>
              <w:spacing w:before="33"/>
              <w:ind w:right="77"/>
              <w:jc w:val="right"/>
              <w:rPr>
                <w:sz w:val="20"/>
              </w:rPr>
            </w:pPr>
            <w:r>
              <w:rPr>
                <w:color w:val="231F20"/>
                <w:w w:val="95"/>
                <w:sz w:val="20"/>
              </w:rPr>
              <w:t>431</w:t>
            </w:r>
          </w:p>
        </w:tc>
      </w:tr>
      <w:tr>
        <w:trPr>
          <w:trHeight w:val="500" w:hRule="exact"/>
        </w:trPr>
        <w:tc>
          <w:tcPr>
            <w:tcW w:w="2720" w:type="dxa"/>
            <w:shd w:val="clear" w:color="auto" w:fill="CCECFC"/>
          </w:tcPr>
          <w:p>
            <w:pPr>
              <w:pStyle w:val="TableParagraph"/>
              <w:spacing w:line="220" w:lineRule="exact" w:before="44"/>
              <w:ind w:left="259" w:right="203" w:hanging="200"/>
              <w:rPr>
                <w:sz w:val="20"/>
              </w:rPr>
            </w:pPr>
            <w:r>
              <w:rPr>
                <w:color w:val="231F20"/>
                <w:sz w:val="20"/>
              </w:rPr>
              <w:t>Interest commitments - floating (3)</w:t>
            </w:r>
          </w:p>
        </w:tc>
        <w:tc>
          <w:tcPr>
            <w:tcW w:w="140" w:type="dxa"/>
            <w:shd w:val="clear" w:color="auto" w:fill="CCECFC"/>
          </w:tcPr>
          <w:p>
            <w:pPr/>
          </w:p>
        </w:tc>
        <w:tc>
          <w:tcPr>
            <w:tcW w:w="1140" w:type="dxa"/>
            <w:shd w:val="clear" w:color="auto" w:fill="CCECFC"/>
          </w:tcPr>
          <w:p>
            <w:pPr>
              <w:pStyle w:val="TableParagraph"/>
              <w:spacing w:before="0"/>
              <w:rPr>
                <w:b/>
                <w:sz w:val="22"/>
              </w:rPr>
            </w:pPr>
          </w:p>
          <w:p>
            <w:pPr>
              <w:pStyle w:val="TableParagraph"/>
              <w:spacing w:before="0"/>
              <w:ind w:right="79"/>
              <w:jc w:val="right"/>
              <w:rPr>
                <w:sz w:val="20"/>
              </w:rPr>
            </w:pPr>
            <w:r>
              <w:rPr>
                <w:color w:val="231F20"/>
                <w:w w:val="95"/>
                <w:sz w:val="20"/>
              </w:rPr>
              <w:t>15</w:t>
            </w:r>
          </w:p>
        </w:tc>
        <w:tc>
          <w:tcPr>
            <w:tcW w:w="140" w:type="dxa"/>
            <w:shd w:val="clear" w:color="auto" w:fill="CCECFC"/>
          </w:tcPr>
          <w:p>
            <w:pPr/>
          </w:p>
        </w:tc>
        <w:tc>
          <w:tcPr>
            <w:tcW w:w="1140" w:type="dxa"/>
            <w:shd w:val="clear" w:color="auto" w:fill="CCECFC"/>
          </w:tcPr>
          <w:p>
            <w:pPr>
              <w:pStyle w:val="TableParagraph"/>
              <w:spacing w:before="0"/>
              <w:rPr>
                <w:b/>
                <w:sz w:val="22"/>
              </w:rPr>
            </w:pPr>
          </w:p>
          <w:p>
            <w:pPr>
              <w:pStyle w:val="TableParagraph"/>
              <w:spacing w:before="0"/>
              <w:ind w:right="79"/>
              <w:jc w:val="right"/>
              <w:rPr>
                <w:sz w:val="20"/>
              </w:rPr>
            </w:pPr>
            <w:r>
              <w:rPr>
                <w:color w:val="231F20"/>
                <w:w w:val="95"/>
                <w:sz w:val="20"/>
              </w:rPr>
              <w:t>31</w:t>
            </w:r>
          </w:p>
        </w:tc>
        <w:tc>
          <w:tcPr>
            <w:tcW w:w="140" w:type="dxa"/>
            <w:shd w:val="clear" w:color="auto" w:fill="CCECFC"/>
          </w:tcPr>
          <w:p>
            <w:pPr/>
          </w:p>
        </w:tc>
        <w:tc>
          <w:tcPr>
            <w:tcW w:w="1140" w:type="dxa"/>
            <w:shd w:val="clear" w:color="auto" w:fill="CCECFC"/>
          </w:tcPr>
          <w:p>
            <w:pPr>
              <w:pStyle w:val="TableParagraph"/>
              <w:spacing w:before="0"/>
              <w:rPr>
                <w:b/>
                <w:sz w:val="22"/>
              </w:rPr>
            </w:pPr>
          </w:p>
          <w:p>
            <w:pPr>
              <w:pStyle w:val="TableParagraph"/>
              <w:spacing w:before="0"/>
              <w:ind w:right="78"/>
              <w:jc w:val="right"/>
              <w:rPr>
                <w:sz w:val="20"/>
              </w:rPr>
            </w:pPr>
            <w:r>
              <w:rPr>
                <w:color w:val="231F20"/>
                <w:w w:val="95"/>
                <w:sz w:val="20"/>
              </w:rPr>
              <w:t>22</w:t>
            </w:r>
          </w:p>
        </w:tc>
        <w:tc>
          <w:tcPr>
            <w:tcW w:w="140" w:type="dxa"/>
            <w:shd w:val="clear" w:color="auto" w:fill="CCECFC"/>
          </w:tcPr>
          <w:p>
            <w:pPr/>
          </w:p>
        </w:tc>
        <w:tc>
          <w:tcPr>
            <w:tcW w:w="1140" w:type="dxa"/>
            <w:shd w:val="clear" w:color="auto" w:fill="CCECFC"/>
          </w:tcPr>
          <w:p>
            <w:pPr>
              <w:pStyle w:val="TableParagraph"/>
              <w:spacing w:before="0"/>
              <w:rPr>
                <w:b/>
                <w:sz w:val="22"/>
              </w:rPr>
            </w:pPr>
          </w:p>
          <w:p>
            <w:pPr>
              <w:pStyle w:val="TableParagraph"/>
              <w:spacing w:before="0"/>
              <w:ind w:right="78"/>
              <w:jc w:val="right"/>
              <w:rPr>
                <w:sz w:val="20"/>
              </w:rPr>
            </w:pPr>
            <w:r>
              <w:rPr>
                <w:color w:val="231F20"/>
                <w:w w:val="98"/>
                <w:sz w:val="20"/>
              </w:rPr>
              <w:t>—</w:t>
            </w:r>
          </w:p>
        </w:tc>
        <w:tc>
          <w:tcPr>
            <w:tcW w:w="140" w:type="dxa"/>
            <w:shd w:val="clear" w:color="auto" w:fill="CCECFC"/>
          </w:tcPr>
          <w:p>
            <w:pPr/>
          </w:p>
        </w:tc>
        <w:tc>
          <w:tcPr>
            <w:tcW w:w="1140" w:type="dxa"/>
            <w:shd w:val="clear" w:color="auto" w:fill="CCECFC"/>
          </w:tcPr>
          <w:p>
            <w:pPr>
              <w:pStyle w:val="TableParagraph"/>
              <w:spacing w:before="0"/>
              <w:rPr>
                <w:b/>
                <w:sz w:val="22"/>
              </w:rPr>
            </w:pPr>
          </w:p>
          <w:p>
            <w:pPr>
              <w:pStyle w:val="TableParagraph"/>
              <w:spacing w:before="0"/>
              <w:ind w:right="78"/>
              <w:jc w:val="right"/>
              <w:rPr>
                <w:sz w:val="20"/>
              </w:rPr>
            </w:pPr>
            <w:r>
              <w:rPr>
                <w:color w:val="231F20"/>
                <w:w w:val="95"/>
                <w:sz w:val="20"/>
              </w:rPr>
              <w:t>68</w:t>
            </w:r>
          </w:p>
        </w:tc>
      </w:tr>
      <w:tr>
        <w:trPr>
          <w:trHeight w:val="280" w:hRule="exact"/>
        </w:trPr>
        <w:tc>
          <w:tcPr>
            <w:tcW w:w="2720" w:type="dxa"/>
          </w:tcPr>
          <w:p>
            <w:pPr>
              <w:pStyle w:val="TableParagraph"/>
              <w:spacing w:before="33"/>
              <w:ind w:left="60"/>
              <w:rPr>
                <w:sz w:val="20"/>
              </w:rPr>
            </w:pPr>
            <w:r>
              <w:rPr>
                <w:color w:val="231F20"/>
                <w:sz w:val="20"/>
              </w:rPr>
              <w:t>Operating</w:t>
            </w:r>
            <w:r>
              <w:rPr>
                <w:color w:val="231F20"/>
                <w:spacing w:val="-20"/>
                <w:sz w:val="20"/>
              </w:rPr>
              <w:t> </w:t>
            </w:r>
            <w:r>
              <w:rPr>
                <w:color w:val="231F20"/>
                <w:sz w:val="20"/>
              </w:rPr>
              <w:t>lease</w:t>
            </w:r>
            <w:r>
              <w:rPr>
                <w:color w:val="231F20"/>
                <w:spacing w:val="-20"/>
                <w:sz w:val="20"/>
              </w:rPr>
              <w:t> </w:t>
            </w:r>
            <w:r>
              <w:rPr>
                <w:color w:val="231F20"/>
                <w:sz w:val="20"/>
              </w:rPr>
              <w:t>commitments</w:t>
            </w:r>
            <w:r>
              <w:rPr>
                <w:color w:val="231F20"/>
                <w:spacing w:val="-21"/>
                <w:sz w:val="20"/>
              </w:rPr>
              <w:t> </w:t>
            </w:r>
            <w:r>
              <w:rPr>
                <w:color w:val="231F20"/>
                <w:sz w:val="20"/>
              </w:rPr>
              <w:t>(4)</w:t>
            </w:r>
          </w:p>
        </w:tc>
        <w:tc>
          <w:tcPr>
            <w:tcW w:w="140" w:type="dxa"/>
          </w:tcPr>
          <w:p>
            <w:pPr/>
          </w:p>
        </w:tc>
        <w:tc>
          <w:tcPr>
            <w:tcW w:w="1140" w:type="dxa"/>
          </w:tcPr>
          <w:p>
            <w:pPr>
              <w:pStyle w:val="TableParagraph"/>
              <w:spacing w:before="33"/>
              <w:ind w:right="77"/>
              <w:jc w:val="right"/>
              <w:rPr>
                <w:sz w:val="20"/>
              </w:rPr>
            </w:pPr>
            <w:r>
              <w:rPr>
                <w:color w:val="231F20"/>
                <w:w w:val="95"/>
                <w:sz w:val="20"/>
              </w:rPr>
              <w:t>684</w:t>
            </w:r>
          </w:p>
        </w:tc>
        <w:tc>
          <w:tcPr>
            <w:tcW w:w="140" w:type="dxa"/>
          </w:tcPr>
          <w:p>
            <w:pPr/>
          </w:p>
        </w:tc>
        <w:tc>
          <w:tcPr>
            <w:tcW w:w="1140" w:type="dxa"/>
          </w:tcPr>
          <w:p>
            <w:pPr>
              <w:pStyle w:val="TableParagraph"/>
              <w:spacing w:before="33"/>
              <w:ind w:right="77"/>
              <w:jc w:val="right"/>
              <w:rPr>
                <w:sz w:val="20"/>
              </w:rPr>
            </w:pPr>
            <w:r>
              <w:rPr>
                <w:color w:val="231F20"/>
                <w:w w:val="95"/>
                <w:sz w:val="20"/>
              </w:rPr>
              <w:t>1,228</w:t>
            </w:r>
          </w:p>
        </w:tc>
        <w:tc>
          <w:tcPr>
            <w:tcW w:w="140" w:type="dxa"/>
          </w:tcPr>
          <w:p>
            <w:pPr/>
          </w:p>
        </w:tc>
        <w:tc>
          <w:tcPr>
            <w:tcW w:w="1140" w:type="dxa"/>
          </w:tcPr>
          <w:p>
            <w:pPr>
              <w:pStyle w:val="TableParagraph"/>
              <w:spacing w:before="33"/>
              <w:ind w:right="77"/>
              <w:jc w:val="right"/>
              <w:rPr>
                <w:sz w:val="20"/>
              </w:rPr>
            </w:pPr>
            <w:r>
              <w:rPr>
                <w:color w:val="231F20"/>
                <w:w w:val="95"/>
                <w:sz w:val="20"/>
              </w:rPr>
              <w:t>926</w:t>
            </w:r>
          </w:p>
        </w:tc>
        <w:tc>
          <w:tcPr>
            <w:tcW w:w="140" w:type="dxa"/>
          </w:tcPr>
          <w:p>
            <w:pPr/>
          </w:p>
        </w:tc>
        <w:tc>
          <w:tcPr>
            <w:tcW w:w="1140" w:type="dxa"/>
          </w:tcPr>
          <w:p>
            <w:pPr>
              <w:pStyle w:val="TableParagraph"/>
              <w:spacing w:before="33"/>
              <w:ind w:right="77"/>
              <w:jc w:val="right"/>
              <w:rPr>
                <w:sz w:val="20"/>
              </w:rPr>
            </w:pPr>
            <w:r>
              <w:rPr>
                <w:color w:val="231F20"/>
                <w:w w:val="95"/>
                <w:sz w:val="20"/>
              </w:rPr>
              <w:t>2,317</w:t>
            </w:r>
          </w:p>
        </w:tc>
        <w:tc>
          <w:tcPr>
            <w:tcW w:w="140" w:type="dxa"/>
          </w:tcPr>
          <w:p>
            <w:pPr/>
          </w:p>
        </w:tc>
        <w:tc>
          <w:tcPr>
            <w:tcW w:w="1140" w:type="dxa"/>
          </w:tcPr>
          <w:p>
            <w:pPr>
              <w:pStyle w:val="TableParagraph"/>
              <w:spacing w:before="33"/>
              <w:ind w:right="77"/>
              <w:jc w:val="right"/>
              <w:rPr>
                <w:sz w:val="20"/>
              </w:rPr>
            </w:pPr>
            <w:r>
              <w:rPr>
                <w:color w:val="231F20"/>
                <w:w w:val="95"/>
                <w:sz w:val="20"/>
              </w:rPr>
              <w:t>5,155</w:t>
            </w:r>
          </w:p>
        </w:tc>
      </w:tr>
      <w:tr>
        <w:trPr>
          <w:trHeight w:val="280" w:hRule="exact"/>
        </w:trPr>
        <w:tc>
          <w:tcPr>
            <w:tcW w:w="2720" w:type="dxa"/>
            <w:shd w:val="clear" w:color="auto" w:fill="CCECFC"/>
          </w:tcPr>
          <w:p>
            <w:pPr>
              <w:pStyle w:val="TableParagraph"/>
              <w:spacing w:before="33"/>
              <w:ind w:left="60"/>
              <w:rPr>
                <w:sz w:val="20"/>
              </w:rPr>
            </w:pPr>
            <w:r>
              <w:rPr>
                <w:color w:val="231F20"/>
                <w:sz w:val="20"/>
              </w:rPr>
              <w:t>Capital lease commitments (5)</w:t>
            </w:r>
          </w:p>
        </w:tc>
        <w:tc>
          <w:tcPr>
            <w:tcW w:w="140" w:type="dxa"/>
            <w:shd w:val="clear" w:color="auto" w:fill="CCECFC"/>
          </w:tcPr>
          <w:p>
            <w:pPr/>
          </w:p>
        </w:tc>
        <w:tc>
          <w:tcPr>
            <w:tcW w:w="1140" w:type="dxa"/>
            <w:shd w:val="clear" w:color="auto" w:fill="CCECFC"/>
          </w:tcPr>
          <w:p>
            <w:pPr>
              <w:pStyle w:val="TableParagraph"/>
              <w:spacing w:before="33"/>
              <w:ind w:right="77"/>
              <w:jc w:val="right"/>
              <w:rPr>
                <w:sz w:val="20"/>
              </w:rPr>
            </w:pPr>
            <w:r>
              <w:rPr>
                <w:color w:val="231F20"/>
                <w:w w:val="95"/>
                <w:sz w:val="20"/>
              </w:rPr>
              <w:t>33</w:t>
            </w:r>
          </w:p>
        </w:tc>
        <w:tc>
          <w:tcPr>
            <w:tcW w:w="140" w:type="dxa"/>
            <w:shd w:val="clear" w:color="auto" w:fill="CCECFC"/>
          </w:tcPr>
          <w:p>
            <w:pPr/>
          </w:p>
        </w:tc>
        <w:tc>
          <w:tcPr>
            <w:tcW w:w="1140" w:type="dxa"/>
            <w:shd w:val="clear" w:color="auto" w:fill="CCECFC"/>
          </w:tcPr>
          <w:p>
            <w:pPr>
              <w:pStyle w:val="TableParagraph"/>
              <w:spacing w:before="33"/>
              <w:ind w:right="77"/>
              <w:jc w:val="right"/>
              <w:rPr>
                <w:sz w:val="20"/>
              </w:rPr>
            </w:pPr>
            <w:r>
              <w:rPr>
                <w:color w:val="231F20"/>
                <w:w w:val="95"/>
                <w:sz w:val="20"/>
              </w:rPr>
              <w:t>87</w:t>
            </w:r>
          </w:p>
        </w:tc>
        <w:tc>
          <w:tcPr>
            <w:tcW w:w="140" w:type="dxa"/>
            <w:shd w:val="clear" w:color="auto" w:fill="CCECFC"/>
          </w:tcPr>
          <w:p>
            <w:pPr/>
          </w:p>
        </w:tc>
        <w:tc>
          <w:tcPr>
            <w:tcW w:w="1140" w:type="dxa"/>
            <w:shd w:val="clear" w:color="auto" w:fill="CCECFC"/>
          </w:tcPr>
          <w:p>
            <w:pPr>
              <w:pStyle w:val="TableParagraph"/>
              <w:spacing w:before="33"/>
              <w:ind w:right="77"/>
              <w:jc w:val="right"/>
              <w:rPr>
                <w:sz w:val="20"/>
              </w:rPr>
            </w:pPr>
            <w:r>
              <w:rPr>
                <w:color w:val="231F20"/>
                <w:w w:val="95"/>
                <w:sz w:val="20"/>
              </w:rPr>
              <w:t>87</w:t>
            </w:r>
          </w:p>
        </w:tc>
        <w:tc>
          <w:tcPr>
            <w:tcW w:w="140" w:type="dxa"/>
            <w:shd w:val="clear" w:color="auto" w:fill="CCECFC"/>
          </w:tcPr>
          <w:p>
            <w:pPr/>
          </w:p>
        </w:tc>
        <w:tc>
          <w:tcPr>
            <w:tcW w:w="1140" w:type="dxa"/>
            <w:shd w:val="clear" w:color="auto" w:fill="CCECFC"/>
          </w:tcPr>
          <w:p>
            <w:pPr>
              <w:pStyle w:val="TableParagraph"/>
              <w:spacing w:before="33"/>
              <w:ind w:right="77"/>
              <w:jc w:val="right"/>
              <w:rPr>
                <w:sz w:val="20"/>
              </w:rPr>
            </w:pPr>
            <w:r>
              <w:rPr>
                <w:color w:val="231F20"/>
                <w:w w:val="95"/>
                <w:sz w:val="20"/>
              </w:rPr>
              <w:t>202</w:t>
            </w:r>
          </w:p>
        </w:tc>
        <w:tc>
          <w:tcPr>
            <w:tcW w:w="140" w:type="dxa"/>
            <w:shd w:val="clear" w:color="auto" w:fill="CCECFC"/>
          </w:tcPr>
          <w:p>
            <w:pPr/>
          </w:p>
        </w:tc>
        <w:tc>
          <w:tcPr>
            <w:tcW w:w="1140" w:type="dxa"/>
            <w:shd w:val="clear" w:color="auto" w:fill="CCECFC"/>
          </w:tcPr>
          <w:p>
            <w:pPr>
              <w:pStyle w:val="TableParagraph"/>
              <w:spacing w:before="33"/>
              <w:ind w:right="77"/>
              <w:jc w:val="right"/>
              <w:rPr>
                <w:sz w:val="20"/>
              </w:rPr>
            </w:pPr>
            <w:r>
              <w:rPr>
                <w:color w:val="231F20"/>
                <w:w w:val="95"/>
                <w:sz w:val="20"/>
              </w:rPr>
              <w:t>409</w:t>
            </w:r>
          </w:p>
        </w:tc>
      </w:tr>
      <w:tr>
        <w:trPr>
          <w:trHeight w:val="500" w:hRule="exact"/>
        </w:trPr>
        <w:tc>
          <w:tcPr>
            <w:tcW w:w="2720" w:type="dxa"/>
          </w:tcPr>
          <w:p>
            <w:pPr>
              <w:pStyle w:val="TableParagraph"/>
              <w:spacing w:line="220" w:lineRule="exact" w:before="44"/>
              <w:ind w:left="259" w:right="203" w:hanging="200"/>
              <w:rPr>
                <w:sz w:val="20"/>
              </w:rPr>
            </w:pPr>
            <w:r>
              <w:rPr>
                <w:color w:val="231F20"/>
                <w:sz w:val="20"/>
              </w:rPr>
              <w:t>Aircraft purchase commitments (6)</w:t>
            </w:r>
          </w:p>
        </w:tc>
        <w:tc>
          <w:tcPr>
            <w:tcW w:w="140" w:type="dxa"/>
          </w:tcPr>
          <w:p>
            <w:pPr/>
          </w:p>
        </w:tc>
        <w:tc>
          <w:tcPr>
            <w:tcW w:w="1140" w:type="dxa"/>
          </w:tcPr>
          <w:p>
            <w:pPr>
              <w:pStyle w:val="TableParagraph"/>
              <w:spacing w:before="0"/>
              <w:rPr>
                <w:b/>
                <w:sz w:val="22"/>
              </w:rPr>
            </w:pPr>
          </w:p>
          <w:p>
            <w:pPr>
              <w:pStyle w:val="TableParagraph"/>
              <w:spacing w:before="0"/>
              <w:ind w:right="77"/>
              <w:jc w:val="right"/>
              <w:rPr>
                <w:sz w:val="20"/>
              </w:rPr>
            </w:pPr>
            <w:r>
              <w:rPr>
                <w:color w:val="231F20"/>
                <w:w w:val="95"/>
                <w:sz w:val="20"/>
              </w:rPr>
              <w:t>836</w:t>
            </w:r>
          </w:p>
        </w:tc>
        <w:tc>
          <w:tcPr>
            <w:tcW w:w="140" w:type="dxa"/>
          </w:tcPr>
          <w:p>
            <w:pPr/>
          </w:p>
        </w:tc>
        <w:tc>
          <w:tcPr>
            <w:tcW w:w="1140" w:type="dxa"/>
          </w:tcPr>
          <w:p>
            <w:pPr>
              <w:pStyle w:val="TableParagraph"/>
              <w:spacing w:before="0"/>
              <w:rPr>
                <w:b/>
                <w:sz w:val="22"/>
              </w:rPr>
            </w:pPr>
          </w:p>
          <w:p>
            <w:pPr>
              <w:pStyle w:val="TableParagraph"/>
              <w:spacing w:before="0"/>
              <w:ind w:right="77"/>
              <w:jc w:val="right"/>
              <w:rPr>
                <w:sz w:val="20"/>
              </w:rPr>
            </w:pPr>
            <w:r>
              <w:rPr>
                <w:color w:val="231F20"/>
                <w:w w:val="95"/>
                <w:sz w:val="20"/>
              </w:rPr>
              <w:t>2,384</w:t>
            </w:r>
          </w:p>
        </w:tc>
        <w:tc>
          <w:tcPr>
            <w:tcW w:w="140" w:type="dxa"/>
          </w:tcPr>
          <w:p>
            <w:pPr/>
          </w:p>
        </w:tc>
        <w:tc>
          <w:tcPr>
            <w:tcW w:w="1140" w:type="dxa"/>
          </w:tcPr>
          <w:p>
            <w:pPr>
              <w:pStyle w:val="TableParagraph"/>
              <w:spacing w:before="0"/>
              <w:rPr>
                <w:b/>
                <w:sz w:val="22"/>
              </w:rPr>
            </w:pPr>
          </w:p>
          <w:p>
            <w:pPr>
              <w:pStyle w:val="TableParagraph"/>
              <w:spacing w:before="0"/>
              <w:ind w:right="79"/>
              <w:jc w:val="right"/>
              <w:rPr>
                <w:sz w:val="20"/>
              </w:rPr>
            </w:pPr>
            <w:r>
              <w:rPr>
                <w:color w:val="231F20"/>
                <w:w w:val="95"/>
                <w:sz w:val="20"/>
              </w:rPr>
              <w:t>2,136</w:t>
            </w:r>
          </w:p>
        </w:tc>
        <w:tc>
          <w:tcPr>
            <w:tcW w:w="140" w:type="dxa"/>
          </w:tcPr>
          <w:p>
            <w:pPr/>
          </w:p>
        </w:tc>
        <w:tc>
          <w:tcPr>
            <w:tcW w:w="1140" w:type="dxa"/>
          </w:tcPr>
          <w:p>
            <w:pPr>
              <w:pStyle w:val="TableParagraph"/>
              <w:spacing w:before="0"/>
              <w:rPr>
                <w:b/>
                <w:sz w:val="22"/>
              </w:rPr>
            </w:pPr>
          </w:p>
          <w:p>
            <w:pPr>
              <w:pStyle w:val="TableParagraph"/>
              <w:spacing w:before="0"/>
              <w:ind w:right="79"/>
              <w:jc w:val="right"/>
              <w:rPr>
                <w:sz w:val="20"/>
              </w:rPr>
            </w:pPr>
            <w:r>
              <w:rPr>
                <w:color w:val="231F20"/>
                <w:w w:val="95"/>
                <w:sz w:val="20"/>
              </w:rPr>
              <w:t>5,692</w:t>
            </w:r>
          </w:p>
        </w:tc>
        <w:tc>
          <w:tcPr>
            <w:tcW w:w="140" w:type="dxa"/>
          </w:tcPr>
          <w:p>
            <w:pPr/>
          </w:p>
        </w:tc>
        <w:tc>
          <w:tcPr>
            <w:tcW w:w="1140" w:type="dxa"/>
          </w:tcPr>
          <w:p>
            <w:pPr>
              <w:pStyle w:val="TableParagraph"/>
              <w:spacing w:before="0"/>
              <w:rPr>
                <w:b/>
                <w:sz w:val="22"/>
              </w:rPr>
            </w:pPr>
          </w:p>
          <w:p>
            <w:pPr>
              <w:pStyle w:val="TableParagraph"/>
              <w:spacing w:before="0"/>
              <w:ind w:right="79"/>
              <w:jc w:val="right"/>
              <w:rPr>
                <w:sz w:val="20"/>
              </w:rPr>
            </w:pPr>
            <w:r>
              <w:rPr>
                <w:color w:val="231F20"/>
                <w:w w:val="95"/>
                <w:sz w:val="20"/>
              </w:rPr>
              <w:t>11,048</w:t>
            </w:r>
          </w:p>
        </w:tc>
      </w:tr>
      <w:tr>
        <w:trPr>
          <w:trHeight w:val="295" w:hRule="exact"/>
        </w:trPr>
        <w:tc>
          <w:tcPr>
            <w:tcW w:w="2720" w:type="dxa"/>
            <w:shd w:val="clear" w:color="auto" w:fill="CCECFC"/>
          </w:tcPr>
          <w:p>
            <w:pPr>
              <w:pStyle w:val="TableParagraph"/>
              <w:spacing w:before="33"/>
              <w:ind w:left="60"/>
              <w:rPr>
                <w:sz w:val="20"/>
              </w:rPr>
            </w:pPr>
            <w:r>
              <w:rPr>
                <w:color w:val="231F20"/>
                <w:sz w:val="20"/>
              </w:rPr>
              <w:t>Other commitments</w:t>
            </w:r>
          </w:p>
        </w:tc>
        <w:tc>
          <w:tcPr>
            <w:tcW w:w="140" w:type="dxa"/>
            <w:shd w:val="clear" w:color="auto" w:fill="CCECFC"/>
          </w:tcPr>
          <w:p>
            <w:pPr/>
          </w:p>
        </w:tc>
        <w:tc>
          <w:tcPr>
            <w:tcW w:w="1140" w:type="dxa"/>
            <w:tcBorders>
              <w:bottom w:val="single" w:sz="4" w:space="0" w:color="231F20"/>
            </w:tcBorders>
            <w:shd w:val="clear" w:color="auto" w:fill="CCECFC"/>
          </w:tcPr>
          <w:p>
            <w:pPr>
              <w:pStyle w:val="TableParagraph"/>
              <w:spacing w:before="33"/>
              <w:ind w:right="77"/>
              <w:jc w:val="right"/>
              <w:rPr>
                <w:sz w:val="20"/>
              </w:rPr>
            </w:pPr>
            <w:r>
              <w:rPr>
                <w:color w:val="231F20"/>
                <w:w w:val="95"/>
                <w:sz w:val="20"/>
              </w:rPr>
              <w:t>230</w:t>
            </w:r>
          </w:p>
        </w:tc>
        <w:tc>
          <w:tcPr>
            <w:tcW w:w="140" w:type="dxa"/>
            <w:shd w:val="clear" w:color="auto" w:fill="CCECFC"/>
          </w:tcPr>
          <w:p>
            <w:pPr/>
          </w:p>
        </w:tc>
        <w:tc>
          <w:tcPr>
            <w:tcW w:w="1140" w:type="dxa"/>
            <w:tcBorders>
              <w:bottom w:val="single" w:sz="4" w:space="0" w:color="231F20"/>
            </w:tcBorders>
            <w:shd w:val="clear" w:color="auto" w:fill="CCECFC"/>
          </w:tcPr>
          <w:p>
            <w:pPr>
              <w:pStyle w:val="TableParagraph"/>
              <w:spacing w:before="33"/>
              <w:ind w:right="77"/>
              <w:jc w:val="right"/>
              <w:rPr>
                <w:sz w:val="20"/>
              </w:rPr>
            </w:pPr>
            <w:r>
              <w:rPr>
                <w:color w:val="231F20"/>
                <w:w w:val="95"/>
                <w:sz w:val="20"/>
              </w:rPr>
              <w:t>131</w:t>
            </w:r>
          </w:p>
        </w:tc>
        <w:tc>
          <w:tcPr>
            <w:tcW w:w="140" w:type="dxa"/>
            <w:shd w:val="clear" w:color="auto" w:fill="CCECFC"/>
          </w:tcPr>
          <w:p>
            <w:pPr/>
          </w:p>
        </w:tc>
        <w:tc>
          <w:tcPr>
            <w:tcW w:w="1140" w:type="dxa"/>
            <w:tcBorders>
              <w:bottom w:val="single" w:sz="4" w:space="0" w:color="231F20"/>
            </w:tcBorders>
            <w:shd w:val="clear" w:color="auto" w:fill="CCECFC"/>
          </w:tcPr>
          <w:p>
            <w:pPr>
              <w:pStyle w:val="TableParagraph"/>
              <w:spacing w:before="33"/>
              <w:ind w:right="79"/>
              <w:jc w:val="right"/>
              <w:rPr>
                <w:sz w:val="20"/>
              </w:rPr>
            </w:pPr>
            <w:r>
              <w:rPr>
                <w:color w:val="231F20"/>
                <w:w w:val="95"/>
                <w:sz w:val="20"/>
              </w:rPr>
              <w:t>17</w:t>
            </w:r>
          </w:p>
        </w:tc>
        <w:tc>
          <w:tcPr>
            <w:tcW w:w="140" w:type="dxa"/>
            <w:shd w:val="clear" w:color="auto" w:fill="CCECFC"/>
          </w:tcPr>
          <w:p>
            <w:pPr/>
          </w:p>
        </w:tc>
        <w:tc>
          <w:tcPr>
            <w:tcW w:w="1140" w:type="dxa"/>
            <w:tcBorders>
              <w:bottom w:val="single" w:sz="4" w:space="0" w:color="231F20"/>
            </w:tcBorders>
            <w:shd w:val="clear" w:color="auto" w:fill="CCECFC"/>
          </w:tcPr>
          <w:p>
            <w:pPr>
              <w:pStyle w:val="TableParagraph"/>
              <w:spacing w:before="33"/>
              <w:ind w:right="79"/>
              <w:jc w:val="right"/>
              <w:rPr>
                <w:sz w:val="20"/>
              </w:rPr>
            </w:pPr>
            <w:r>
              <w:rPr>
                <w:color w:val="231F20"/>
                <w:w w:val="95"/>
                <w:sz w:val="20"/>
              </w:rPr>
              <w:t>64</w:t>
            </w:r>
          </w:p>
        </w:tc>
        <w:tc>
          <w:tcPr>
            <w:tcW w:w="140" w:type="dxa"/>
            <w:shd w:val="clear" w:color="auto" w:fill="CCECFC"/>
          </w:tcPr>
          <w:p>
            <w:pPr/>
          </w:p>
        </w:tc>
        <w:tc>
          <w:tcPr>
            <w:tcW w:w="1140" w:type="dxa"/>
            <w:tcBorders>
              <w:bottom w:val="single" w:sz="4" w:space="0" w:color="231F20"/>
            </w:tcBorders>
            <w:shd w:val="clear" w:color="auto" w:fill="CCECFC"/>
          </w:tcPr>
          <w:p>
            <w:pPr>
              <w:pStyle w:val="TableParagraph"/>
              <w:spacing w:before="33"/>
              <w:ind w:right="79"/>
              <w:jc w:val="right"/>
              <w:rPr>
                <w:sz w:val="20"/>
              </w:rPr>
            </w:pPr>
            <w:r>
              <w:rPr>
                <w:color w:val="231F20"/>
                <w:w w:val="95"/>
                <w:sz w:val="20"/>
              </w:rPr>
              <w:t>442</w:t>
            </w:r>
          </w:p>
        </w:tc>
      </w:tr>
      <w:tr>
        <w:trPr>
          <w:trHeight w:val="340" w:hRule="exact"/>
        </w:trPr>
        <w:tc>
          <w:tcPr>
            <w:tcW w:w="2720" w:type="dxa"/>
          </w:tcPr>
          <w:p>
            <w:pPr>
              <w:pStyle w:val="TableParagraph"/>
              <w:ind w:left="60"/>
              <w:rPr>
                <w:sz w:val="20"/>
              </w:rPr>
            </w:pPr>
            <w:r>
              <w:rPr>
                <w:color w:val="231F20"/>
                <w:sz w:val="20"/>
              </w:rPr>
              <w:t>Total contractual obligations</w:t>
            </w:r>
          </w:p>
        </w:tc>
        <w:tc>
          <w:tcPr>
            <w:tcW w:w="140" w:type="dxa"/>
          </w:tcPr>
          <w:p>
            <w:pPr/>
          </w:p>
        </w:tc>
        <w:tc>
          <w:tcPr>
            <w:tcW w:w="1140" w:type="dxa"/>
            <w:tcBorders>
              <w:top w:val="single" w:sz="4" w:space="0" w:color="231F20"/>
              <w:bottom w:val="single" w:sz="4" w:space="0" w:color="231F20"/>
            </w:tcBorders>
          </w:tcPr>
          <w:p>
            <w:pPr>
              <w:pStyle w:val="TableParagraph"/>
              <w:tabs>
                <w:tab w:pos="618" w:val="left" w:leader="none"/>
              </w:tabs>
              <w:spacing w:before="33"/>
              <w:ind w:right="77"/>
              <w:jc w:val="right"/>
              <w:rPr>
                <w:sz w:val="20"/>
              </w:rPr>
            </w:pPr>
            <w:r>
              <w:rPr>
                <w:color w:val="231F20"/>
                <w:sz w:val="20"/>
              </w:rPr>
              <w:t>$</w:t>
              <w:tab/>
            </w:r>
            <w:r>
              <w:rPr>
                <w:color w:val="231F20"/>
                <w:w w:val="95"/>
                <w:sz w:val="20"/>
              </w:rPr>
              <w:t>2,132</w:t>
            </w:r>
          </w:p>
        </w:tc>
        <w:tc>
          <w:tcPr>
            <w:tcW w:w="140" w:type="dxa"/>
          </w:tcPr>
          <w:p>
            <w:pPr/>
          </w:p>
        </w:tc>
        <w:tc>
          <w:tcPr>
            <w:tcW w:w="1140" w:type="dxa"/>
            <w:tcBorders>
              <w:top w:val="single" w:sz="4" w:space="0" w:color="231F20"/>
              <w:bottom w:val="single" w:sz="4" w:space="0" w:color="231F20"/>
            </w:tcBorders>
          </w:tcPr>
          <w:p>
            <w:pPr>
              <w:pStyle w:val="TableParagraph"/>
              <w:tabs>
                <w:tab w:pos="618" w:val="left" w:leader="none"/>
              </w:tabs>
              <w:spacing w:before="33"/>
              <w:ind w:right="77"/>
              <w:jc w:val="right"/>
              <w:rPr>
                <w:sz w:val="20"/>
              </w:rPr>
            </w:pPr>
            <w:r>
              <w:rPr>
                <w:color w:val="231F20"/>
                <w:sz w:val="20"/>
              </w:rPr>
              <w:t>$</w:t>
              <w:tab/>
            </w:r>
            <w:r>
              <w:rPr>
                <w:color w:val="231F20"/>
                <w:w w:val="95"/>
                <w:sz w:val="20"/>
              </w:rPr>
              <w:t>5,047</w:t>
            </w:r>
          </w:p>
        </w:tc>
        <w:tc>
          <w:tcPr>
            <w:tcW w:w="140" w:type="dxa"/>
          </w:tcPr>
          <w:p>
            <w:pPr/>
          </w:p>
        </w:tc>
        <w:tc>
          <w:tcPr>
            <w:tcW w:w="1140" w:type="dxa"/>
            <w:tcBorders>
              <w:top w:val="single" w:sz="4" w:space="0" w:color="231F20"/>
              <w:bottom w:val="single" w:sz="4" w:space="0" w:color="231F20"/>
            </w:tcBorders>
          </w:tcPr>
          <w:p>
            <w:pPr>
              <w:pStyle w:val="TableParagraph"/>
              <w:tabs>
                <w:tab w:pos="618" w:val="left" w:leader="none"/>
              </w:tabs>
              <w:spacing w:before="33"/>
              <w:ind w:right="77"/>
              <w:jc w:val="right"/>
              <w:rPr>
                <w:sz w:val="20"/>
              </w:rPr>
            </w:pPr>
            <w:r>
              <w:rPr>
                <w:color w:val="231F20"/>
                <w:sz w:val="20"/>
              </w:rPr>
              <w:t>$</w:t>
              <w:tab/>
            </w:r>
            <w:r>
              <w:rPr>
                <w:color w:val="231F20"/>
                <w:w w:val="95"/>
                <w:sz w:val="20"/>
              </w:rPr>
              <w:t>4,009</w:t>
            </w:r>
          </w:p>
        </w:tc>
        <w:tc>
          <w:tcPr>
            <w:tcW w:w="140" w:type="dxa"/>
          </w:tcPr>
          <w:p>
            <w:pPr/>
          </w:p>
        </w:tc>
        <w:tc>
          <w:tcPr>
            <w:tcW w:w="1140" w:type="dxa"/>
            <w:tcBorders>
              <w:top w:val="single" w:sz="4" w:space="0" w:color="231F20"/>
              <w:bottom w:val="single" w:sz="4" w:space="0" w:color="231F20"/>
            </w:tcBorders>
          </w:tcPr>
          <w:p>
            <w:pPr>
              <w:pStyle w:val="TableParagraph"/>
              <w:tabs>
                <w:tab w:pos="618" w:val="left" w:leader="none"/>
              </w:tabs>
              <w:spacing w:before="33"/>
              <w:ind w:right="77"/>
              <w:jc w:val="right"/>
              <w:rPr>
                <w:sz w:val="20"/>
              </w:rPr>
            </w:pPr>
            <w:r>
              <w:rPr>
                <w:color w:val="231F20"/>
                <w:sz w:val="20"/>
              </w:rPr>
              <w:t>$</w:t>
              <w:tab/>
            </w:r>
            <w:r>
              <w:rPr>
                <w:color w:val="231F20"/>
                <w:w w:val="95"/>
                <w:sz w:val="20"/>
              </w:rPr>
              <w:t>8,812</w:t>
            </w:r>
          </w:p>
        </w:tc>
        <w:tc>
          <w:tcPr>
            <w:tcW w:w="140" w:type="dxa"/>
          </w:tcPr>
          <w:p>
            <w:pPr/>
          </w:p>
        </w:tc>
        <w:tc>
          <w:tcPr>
            <w:tcW w:w="1140" w:type="dxa"/>
            <w:tcBorders>
              <w:top w:val="single" w:sz="4" w:space="0" w:color="231F20"/>
              <w:bottom w:val="single" w:sz="4" w:space="0" w:color="231F20"/>
            </w:tcBorders>
          </w:tcPr>
          <w:p>
            <w:pPr>
              <w:pStyle w:val="TableParagraph"/>
              <w:tabs>
                <w:tab w:pos="520" w:val="left" w:leader="none"/>
              </w:tabs>
              <w:spacing w:before="48"/>
              <w:ind w:right="77"/>
              <w:jc w:val="right"/>
              <w:rPr>
                <w:sz w:val="20"/>
              </w:rPr>
            </w:pPr>
            <w:r>
              <w:rPr>
                <w:color w:val="231F20"/>
                <w:sz w:val="20"/>
              </w:rPr>
              <w:t>$</w:t>
              <w:tab/>
            </w:r>
            <w:r>
              <w:rPr>
                <w:color w:val="231F20"/>
                <w:w w:val="95"/>
                <w:sz w:val="20"/>
              </w:rPr>
              <w:t>20,000</w:t>
            </w:r>
          </w:p>
        </w:tc>
      </w:tr>
    </w:tbl>
    <w:p>
      <w:pPr>
        <w:pStyle w:val="BodyText"/>
        <w:spacing w:before="9"/>
        <w:rPr>
          <w:b/>
          <w:sz w:val="17"/>
        </w:rPr>
      </w:pPr>
    </w:p>
    <w:p>
      <w:pPr>
        <w:pStyle w:val="ListParagraph"/>
        <w:numPr>
          <w:ilvl w:val="0"/>
          <w:numId w:val="12"/>
        </w:numPr>
        <w:tabs>
          <w:tab w:pos="520" w:val="left" w:leader="none"/>
        </w:tabs>
        <w:spacing w:line="249" w:lineRule="auto" w:before="0" w:after="0"/>
        <w:ind w:left="520" w:right="119" w:hanging="400"/>
        <w:jc w:val="left"/>
        <w:rPr>
          <w:sz w:val="20"/>
        </w:rPr>
      </w:pPr>
      <w:r>
        <w:rPr/>
        <w:pict>
          <v:line style="position:absolute;mso-position-horizontal-relative:page;mso-position-vertical-relative:paragraph;z-index:-406888" from="212pt,-12.764063pt" to="269pt,-12.764063pt" stroked="true" strokeweight=".5pt" strokecolor="#231f20">
            <v:stroke dashstyle="solid"/>
            <w10:wrap type="none"/>
          </v:line>
        </w:pict>
      </w:r>
      <w:r>
        <w:rPr/>
        <w:pict>
          <v:line style="position:absolute;mso-position-horizontal-relative:page;mso-position-vertical-relative:paragraph;z-index:-406864" from="276pt,-12.764063pt" to="333pt,-12.764063pt" stroked="true" strokeweight=".5pt" strokecolor="#231f20">
            <v:stroke dashstyle="solid"/>
            <w10:wrap type="none"/>
          </v:line>
        </w:pict>
      </w:r>
      <w:r>
        <w:rPr/>
        <w:pict>
          <v:line style="position:absolute;mso-position-horizontal-relative:page;mso-position-vertical-relative:paragraph;z-index:-406840" from="340pt,-12.764063pt" to="397pt,-12.764063pt" stroked="true" strokeweight=".5pt" strokecolor="#231f20">
            <v:stroke dashstyle="solid"/>
            <w10:wrap type="none"/>
          </v:line>
        </w:pict>
      </w:r>
      <w:r>
        <w:rPr/>
        <w:pict>
          <v:line style="position:absolute;mso-position-horizontal-relative:page;mso-position-vertical-relative:paragraph;z-index:-406816" from="404pt,-12.764063pt" to="461pt,-12.764063pt" stroked="true" strokeweight=".5pt" strokecolor="#231f20">
            <v:stroke dashstyle="solid"/>
            <w10:wrap type="none"/>
          </v:line>
        </w:pict>
      </w:r>
      <w:r>
        <w:rPr/>
        <w:pict>
          <v:line style="position:absolute;mso-position-horizontal-relative:page;mso-position-vertical-relative:paragraph;z-index:-406792" from="468pt,-12.764063pt" to="525pt,-12.764063pt" stroked="true" strokeweight=".5pt" strokecolor="#231f20">
            <v:stroke dashstyle="solid"/>
            <w10:wrap type="none"/>
          </v:line>
        </w:pict>
      </w:r>
      <w:r>
        <w:rPr>
          <w:color w:val="231F20"/>
          <w:sz w:val="20"/>
        </w:rPr>
        <w:t>Includes principal only and includes $68 million in 2015 associated with the Company’s convertible senior notes due 2016. See Note 6 to the Consolidated Financial</w:t>
      </w:r>
      <w:r>
        <w:rPr>
          <w:color w:val="231F20"/>
          <w:spacing w:val="2"/>
          <w:sz w:val="20"/>
        </w:rPr>
        <w:t> </w:t>
      </w:r>
      <w:r>
        <w:rPr>
          <w:color w:val="231F20"/>
          <w:sz w:val="20"/>
        </w:rPr>
        <w:t>Statements.</w:t>
      </w:r>
    </w:p>
    <w:p>
      <w:pPr>
        <w:pStyle w:val="ListParagraph"/>
        <w:numPr>
          <w:ilvl w:val="0"/>
          <w:numId w:val="12"/>
        </w:numPr>
        <w:tabs>
          <w:tab w:pos="520" w:val="left" w:leader="none"/>
        </w:tabs>
        <w:spacing w:line="240" w:lineRule="auto" w:before="0" w:after="0"/>
        <w:ind w:left="520" w:right="0" w:hanging="400"/>
        <w:jc w:val="left"/>
        <w:rPr>
          <w:sz w:val="20"/>
        </w:rPr>
      </w:pPr>
      <w:r>
        <w:rPr>
          <w:color w:val="231F20"/>
          <w:sz w:val="20"/>
        </w:rPr>
        <w:t>Related to fixed-rate debt</w:t>
      </w:r>
      <w:r>
        <w:rPr>
          <w:color w:val="231F20"/>
          <w:spacing w:val="3"/>
          <w:sz w:val="20"/>
        </w:rPr>
        <w:t> </w:t>
      </w:r>
      <w:r>
        <w:rPr>
          <w:color w:val="231F20"/>
          <w:sz w:val="20"/>
        </w:rPr>
        <w:t>only.</w:t>
      </w:r>
    </w:p>
    <w:p>
      <w:pPr>
        <w:pStyle w:val="ListParagraph"/>
        <w:numPr>
          <w:ilvl w:val="0"/>
          <w:numId w:val="12"/>
        </w:numPr>
        <w:tabs>
          <w:tab w:pos="520" w:val="left" w:leader="none"/>
        </w:tabs>
        <w:spacing w:line="249" w:lineRule="auto" w:before="9" w:after="0"/>
        <w:ind w:left="520" w:right="120" w:hanging="400"/>
        <w:jc w:val="left"/>
        <w:rPr>
          <w:sz w:val="20"/>
        </w:rPr>
      </w:pPr>
      <w:r>
        <w:rPr>
          <w:color w:val="231F20"/>
          <w:sz w:val="20"/>
        </w:rPr>
        <w:t>Interest obligations associated with floating-rate debt (either at issuance or through swaps) is estimated utilizing forward interest rate curves as of December 31, 2014 and can be subject to significant</w:t>
      </w:r>
      <w:r>
        <w:rPr>
          <w:color w:val="231F20"/>
          <w:spacing w:val="12"/>
          <w:sz w:val="20"/>
        </w:rPr>
        <w:t> </w:t>
      </w:r>
      <w:r>
        <w:rPr>
          <w:color w:val="231F20"/>
          <w:sz w:val="20"/>
        </w:rPr>
        <w:t>fluctuation.</w:t>
      </w:r>
    </w:p>
    <w:p>
      <w:pPr>
        <w:pStyle w:val="ListParagraph"/>
        <w:numPr>
          <w:ilvl w:val="0"/>
          <w:numId w:val="12"/>
        </w:numPr>
        <w:tabs>
          <w:tab w:pos="520" w:val="left" w:leader="none"/>
        </w:tabs>
        <w:spacing w:line="249" w:lineRule="auto" w:before="0" w:after="0"/>
        <w:ind w:left="520" w:right="118" w:hanging="400"/>
        <w:jc w:val="left"/>
        <w:rPr>
          <w:sz w:val="20"/>
        </w:rPr>
      </w:pPr>
      <w:r>
        <w:rPr>
          <w:color w:val="231F20"/>
          <w:sz w:val="20"/>
        </w:rPr>
        <w:t>Includes Love Field Modernization Program commitment amounts, and includes the impact of the Boeing 717 lease/sublease transaction entered into in 2012. See Note 7 to the Consolidated Financial</w:t>
      </w:r>
      <w:r>
        <w:rPr>
          <w:color w:val="231F20"/>
          <w:spacing w:val="9"/>
          <w:sz w:val="20"/>
        </w:rPr>
        <w:t> </w:t>
      </w:r>
      <w:r>
        <w:rPr>
          <w:color w:val="231F20"/>
          <w:sz w:val="20"/>
        </w:rPr>
        <w:t>Statements.</w:t>
      </w:r>
    </w:p>
    <w:p>
      <w:pPr>
        <w:pStyle w:val="ListParagraph"/>
        <w:numPr>
          <w:ilvl w:val="0"/>
          <w:numId w:val="12"/>
        </w:numPr>
        <w:tabs>
          <w:tab w:pos="520" w:val="left" w:leader="none"/>
        </w:tabs>
        <w:spacing w:line="240" w:lineRule="auto" w:before="0" w:after="0"/>
        <w:ind w:left="520" w:right="0" w:hanging="400"/>
        <w:jc w:val="left"/>
        <w:rPr>
          <w:sz w:val="20"/>
        </w:rPr>
      </w:pPr>
      <w:r>
        <w:rPr>
          <w:color w:val="231F20"/>
          <w:sz w:val="20"/>
        </w:rPr>
        <w:t>Includes interest on capital</w:t>
      </w:r>
      <w:r>
        <w:rPr>
          <w:color w:val="231F20"/>
          <w:spacing w:val="4"/>
          <w:sz w:val="20"/>
        </w:rPr>
        <w:t> </w:t>
      </w:r>
      <w:r>
        <w:rPr>
          <w:color w:val="231F20"/>
          <w:sz w:val="20"/>
        </w:rPr>
        <w:t>leases.</w:t>
      </w:r>
    </w:p>
    <w:p>
      <w:pPr>
        <w:pStyle w:val="ListParagraph"/>
        <w:numPr>
          <w:ilvl w:val="0"/>
          <w:numId w:val="12"/>
        </w:numPr>
        <w:tabs>
          <w:tab w:pos="520" w:val="left" w:leader="none"/>
        </w:tabs>
        <w:spacing w:line="240" w:lineRule="auto" w:before="9" w:after="0"/>
        <w:ind w:left="520" w:right="0" w:hanging="400"/>
        <w:jc w:val="left"/>
        <w:rPr>
          <w:sz w:val="20"/>
        </w:rPr>
      </w:pPr>
      <w:r>
        <w:rPr>
          <w:color w:val="231F20"/>
          <w:sz w:val="20"/>
        </w:rPr>
        <w:t>Firm orders from Boeing and commitments with other</w:t>
      </w:r>
      <w:r>
        <w:rPr>
          <w:color w:val="231F20"/>
          <w:spacing w:val="7"/>
          <w:sz w:val="20"/>
        </w:rPr>
        <w:t> </w:t>
      </w:r>
      <w:r>
        <w:rPr>
          <w:color w:val="231F20"/>
          <w:sz w:val="20"/>
        </w:rPr>
        <w:t>parties.</w:t>
      </w:r>
    </w:p>
    <w:p>
      <w:pPr>
        <w:pStyle w:val="BodyText"/>
        <w:spacing w:before="3"/>
        <w:rPr>
          <w:sz w:val="28"/>
        </w:rPr>
      </w:pPr>
    </w:p>
    <w:p>
      <w:pPr>
        <w:pStyle w:val="BodyText"/>
        <w:spacing w:line="247" w:lineRule="auto"/>
        <w:ind w:left="120" w:right="117" w:firstLine="720"/>
        <w:jc w:val="both"/>
      </w:pPr>
      <w:r>
        <w:rPr>
          <w:color w:val="231F20"/>
        </w:rPr>
        <w:t>Cumulative   costs   associated   with   the   acquisition   and   integration   of   AirTran,   as    of December 31, 2014, totaled $536 million (before profitsharing and taxes). The Company expects total acquisition and integration costs to be approximately $550 million (before profitsharing and  taxes) upon completing the transition of AirTran 717-200s out of the fleet in 2015. These costs have been, and are expected to continue to be, funded with cash from operations. Given that the AirTran integration process had been effectively completed as of December 31, 2014, the Company does not anticipate significant future integration expenditure requirements. The Company believes that its current liquidity position, including unrestricted cash and short-term investments of $3.0 billion as of December 31, 2014, anticipated future internally generated funds from operations, and its fully available, unsecured revolving credit facility of $1 billion that expires in April 2018, will enable it to meet its future known obligations in the ordinary course of business. However, if a liquidity need were to arise, the Company believes it has access to financing arrangements because of its current investment grade credit ratings, large value of unencumbered assets, and modest leverage, which should enable it to meet its ongoing capital, operating, and other liquidity requirements. The Company will continue to consider various borrowing or leasing options to maximize liquidity and supplement cash requirements as</w:t>
      </w:r>
      <w:r>
        <w:rPr>
          <w:color w:val="231F20"/>
          <w:spacing w:val="1"/>
        </w:rPr>
        <w:t> </w:t>
      </w:r>
      <w:r>
        <w:rPr>
          <w:color w:val="231F20"/>
        </w:rPr>
        <w:t>necessary.</w:t>
      </w:r>
    </w:p>
    <w:p>
      <w:pPr>
        <w:spacing w:after="0" w:line="247" w:lineRule="auto"/>
        <w:jc w:val="both"/>
        <w:sectPr>
          <w:pgSz w:w="11880" w:h="15480"/>
          <w:pgMar w:header="0" w:footer="1240" w:top="1240" w:bottom="1420" w:left="1260" w:right="1260"/>
        </w:sectPr>
      </w:pPr>
    </w:p>
    <w:p>
      <w:pPr>
        <w:pStyle w:val="Heading1"/>
      </w:pPr>
      <w:r>
        <w:rPr>
          <w:color w:val="231F20"/>
        </w:rPr>
        <w:t>Airport Projects</w:t>
      </w:r>
    </w:p>
    <w:p>
      <w:pPr>
        <w:pStyle w:val="BodyText"/>
        <w:spacing w:before="6"/>
        <w:rPr>
          <w:b/>
          <w:sz w:val="21"/>
        </w:rPr>
      </w:pPr>
    </w:p>
    <w:p>
      <w:pPr>
        <w:pStyle w:val="BodyText"/>
        <w:spacing w:line="247" w:lineRule="auto" w:before="1"/>
        <w:ind w:left="100" w:right="117" w:firstLine="720"/>
        <w:jc w:val="both"/>
      </w:pPr>
      <w:r>
        <w:rPr>
          <w:color w:val="231F20"/>
        </w:rPr>
        <w:t>The Company has commitments associated with various airport improvement projects that will impact its future liquidity needs in differing ways. These projects include the construction of new facilities and the rebuilding or modernization of existing facilities and are discussed in more detail in Note 4 to the Consolidated Financial Statements.</w:t>
      </w:r>
    </w:p>
    <w:p>
      <w:pPr>
        <w:pStyle w:val="BodyText"/>
        <w:rPr>
          <w:sz w:val="21"/>
        </w:rPr>
      </w:pPr>
    </w:p>
    <w:p>
      <w:pPr>
        <w:pStyle w:val="Heading1"/>
        <w:spacing w:before="0"/>
        <w:ind w:left="819"/>
      </w:pPr>
      <w:r>
        <w:rPr>
          <w:color w:val="231F20"/>
        </w:rPr>
        <w:t>Dallas Love Field</w:t>
      </w:r>
    </w:p>
    <w:p>
      <w:pPr>
        <w:pStyle w:val="BodyText"/>
        <w:spacing w:line="247" w:lineRule="auto" w:before="127"/>
        <w:ind w:left="100" w:right="117" w:firstLine="720"/>
        <w:jc w:val="both"/>
      </w:pPr>
      <w:r>
        <w:rPr>
          <w:color w:val="231F20"/>
        </w:rPr>
        <w:t>For the rebuilding of the facilities at Dallas Love Field, the Company has guaranteed principal, premium, and interest on $456 million in bonds issued by the Love Field Airport Modernization Corporation (“LFAMC”) that have been utilized to fund the majority of the project. Repayment of the bonds will be through the “Facilities Payments” described below. Reimbursement of the Company for its payment of Facilities Payments are expected to be made through recurring ground rents, fees, and other revenues collected at the airport.</w:t>
      </w:r>
    </w:p>
    <w:p>
      <w:pPr>
        <w:pStyle w:val="BodyText"/>
        <w:spacing w:before="11"/>
        <w:rPr>
          <w:sz w:val="20"/>
        </w:rPr>
      </w:pPr>
    </w:p>
    <w:p>
      <w:pPr>
        <w:pStyle w:val="BodyText"/>
        <w:spacing w:line="247" w:lineRule="auto"/>
        <w:ind w:left="100" w:right="118" w:firstLine="720"/>
        <w:jc w:val="both"/>
      </w:pPr>
      <w:r>
        <w:rPr>
          <w:color w:val="231F20"/>
        </w:rPr>
        <w:t>Prior to the issuance of the bonds by the LFAMC, the Company entered into two separate funding agreements: (i) a “Facilities Agreement” pursuant to which the Company is obligated to make debt service payments on the principal and interest amounts associated with the bonds (“Facilities Payments”), less other sources of funds the City of Dallas may apply to the repayment of the bonds (including but not limited to passenger facility charges collected from passengers originating from the airport); and (ii) a “Revenue Credit Agreement” pursuant to which the City of Dallas will reimburse  the Company for the Facilities Payments made by the</w:t>
      </w:r>
      <w:r>
        <w:rPr>
          <w:color w:val="231F20"/>
          <w:spacing w:val="-1"/>
        </w:rPr>
        <w:t> </w:t>
      </w:r>
      <w:r>
        <w:rPr>
          <w:color w:val="231F20"/>
        </w:rPr>
        <w:t>Company.</w:t>
      </w:r>
    </w:p>
    <w:p>
      <w:pPr>
        <w:pStyle w:val="BodyText"/>
        <w:rPr>
          <w:sz w:val="21"/>
        </w:rPr>
      </w:pPr>
    </w:p>
    <w:p>
      <w:pPr>
        <w:pStyle w:val="BodyText"/>
        <w:spacing w:line="247" w:lineRule="auto"/>
        <w:ind w:left="100" w:right="118" w:firstLine="720"/>
        <w:jc w:val="both"/>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(i) use and lease agreements with other airlines, (ii) various concession agreements, and (iii) other airport miscellaneous revenues.</w:t>
      </w:r>
    </w:p>
    <w:p>
      <w:pPr>
        <w:pStyle w:val="BodyText"/>
        <w:rPr>
          <w:sz w:val="21"/>
        </w:rPr>
      </w:pPr>
    </w:p>
    <w:p>
      <w:pPr>
        <w:pStyle w:val="BodyText"/>
        <w:spacing w:line="247" w:lineRule="auto"/>
        <w:ind w:left="100" w:right="117" w:firstLine="720"/>
        <w:jc w:val="both"/>
      </w:pPr>
      <w:r>
        <w:rPr>
          <w:color w:val="231F20"/>
        </w:rPr>
        <w:t>The Company’s liquidity could be impacted by this project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project is not expected to have a significant impact on the Company’s capital resources or financial</w:t>
      </w:r>
      <w:r>
        <w:rPr>
          <w:color w:val="231F20"/>
          <w:spacing w:val="-1"/>
        </w:rPr>
        <w:t> </w:t>
      </w:r>
      <w:r>
        <w:rPr>
          <w:color w:val="231F20"/>
        </w:rPr>
        <w:t>position.</w:t>
      </w:r>
    </w:p>
    <w:p>
      <w:pPr>
        <w:pStyle w:val="BodyText"/>
        <w:rPr>
          <w:sz w:val="21"/>
        </w:rPr>
      </w:pPr>
    </w:p>
    <w:p>
      <w:pPr>
        <w:pStyle w:val="Heading1"/>
        <w:spacing w:before="0"/>
        <w:ind w:left="819"/>
      </w:pPr>
      <w:r>
        <w:rPr>
          <w:color w:val="231F20"/>
        </w:rPr>
        <w:t>Fort Lauderdale-Hollywood International Airport</w:t>
      </w:r>
    </w:p>
    <w:p>
      <w:pPr>
        <w:pStyle w:val="BodyText"/>
        <w:spacing w:before="7"/>
        <w:rPr>
          <w:b/>
          <w:sz w:val="21"/>
        </w:rPr>
      </w:pPr>
    </w:p>
    <w:p>
      <w:pPr>
        <w:pStyle w:val="BodyText"/>
        <w:spacing w:line="247" w:lineRule="auto"/>
        <w:ind w:left="100" w:right="117" w:firstLine="720"/>
        <w:jc w:val="both"/>
      </w:pPr>
      <w:r>
        <w:rPr>
          <w:color w:val="231F20"/>
        </w:rPr>
        <w:t>The Company has committed to oversee and manage the design and construction of Fort- Lauderdale-Hollywood International Airport’s Terminal 1 Modernization Project, including the design and construction of a new five-gate Concourse A with an international processing facility, at a cost not to exceed $295 million. Funding for the project will come directly from Broward County aviation sources, but will flow through the Company in its capacity as manager of the project. In general, as work is being completed on the project by various contractors, invoices would be submitted  to Broward County for initial payment to the Company, which would then make such payments to the contractors performing the work.</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The Company’s liquidity could be impacted by this project to the extent there are instances in which the Company chooses to make payments to contractors prior to receiving initial payment from Broward County, although the Company currently does not expect this to occur often based on its past experience with smaller projects conducted at the airport. The project is not expected to have a significant impact on the Company’s capital resources or financial position. Construction on the project is not expected to begin until mid to late 2015.</w:t>
      </w:r>
    </w:p>
    <w:p>
      <w:pPr>
        <w:pStyle w:val="BodyText"/>
        <w:spacing w:before="3"/>
        <w:rPr>
          <w:sz w:val="26"/>
        </w:rPr>
      </w:pPr>
    </w:p>
    <w:p>
      <w:pPr>
        <w:pStyle w:val="Heading1"/>
        <w:spacing w:before="0"/>
        <w:ind w:left="820"/>
      </w:pPr>
      <w:r>
        <w:rPr>
          <w:color w:val="231F20"/>
        </w:rPr>
        <w:t>Houston William P. Hobby Airport</w:t>
      </w:r>
    </w:p>
    <w:p>
      <w:pPr>
        <w:pStyle w:val="BodyText"/>
        <w:spacing w:before="10"/>
        <w:rPr>
          <w:b/>
          <w:sz w:val="26"/>
        </w:rPr>
      </w:pPr>
    </w:p>
    <w:p>
      <w:pPr>
        <w:pStyle w:val="BodyText"/>
        <w:spacing w:line="247" w:lineRule="auto" w:before="1"/>
        <w:ind w:left="100" w:right="117" w:firstLine="720"/>
        <w:jc w:val="both"/>
      </w:pPr>
      <w:r>
        <w:rPr>
          <w:color w:val="231F20"/>
        </w:rPr>
        <w:t>The Company has committed to oversee and manage the construction, at Houston William P. Hobby Airport, of a new five-gate international terminal with international passenger processing facilities, expansion of the existing security checkpoint, and upgrades to the Southwest ticketing counter area. The Company and the City of Houston (“City”) entered into an Airport Use and Lease Agreement (“Lease”) to control the execution of this expansion and the financial terms thereof. The project is estimated to cost $156 million, and the Company has agreed to provide the funding for, as well as management over, the project. In return, the Company will receive a monthly credit for the capital cost portions of the international terminal, from the date of initial occupancy of the terminal until expiration of the Lease. Additionally, some portion of the project is expected to qualify for rental credits that would be utilized upon completion of the facility against the Company’s current lease  space at the airport. At any time after the completion of the project, the City may buy out the Company’s investment in the international terminal via a cash payment for the then-unamortized cost of the</w:t>
      </w:r>
      <w:r>
        <w:rPr>
          <w:color w:val="231F20"/>
          <w:spacing w:val="-1"/>
        </w:rPr>
        <w:t> </w:t>
      </w:r>
      <w:r>
        <w:rPr>
          <w:color w:val="231F20"/>
        </w:rPr>
        <w:t>project.</w:t>
      </w:r>
    </w:p>
    <w:p>
      <w:pPr>
        <w:pStyle w:val="BodyText"/>
        <w:spacing w:before="3"/>
        <w:rPr>
          <w:sz w:val="26"/>
        </w:rPr>
      </w:pPr>
    </w:p>
    <w:p>
      <w:pPr>
        <w:pStyle w:val="BodyText"/>
        <w:spacing w:line="247" w:lineRule="auto" w:before="1"/>
        <w:ind w:left="100" w:right="117" w:firstLine="720"/>
        <w:jc w:val="both"/>
      </w:pPr>
      <w:r>
        <w:rPr>
          <w:color w:val="231F20"/>
        </w:rPr>
        <w:t>The Company’s liquidity will be impacted by this project from the point of initial funding until the time at which it receives monthly credits upon completion, and whether or not the City chooses to buy out the Company’s investment prior to the full amortization of the project. The project is not expected to have a significant impact on the Company’s capital resources or financial position. Construction began during third quarter 2013 and is estimated to be completed during the second half of</w:t>
      </w:r>
      <w:r>
        <w:rPr>
          <w:color w:val="231F20"/>
          <w:spacing w:val="-1"/>
        </w:rPr>
        <w:t> </w:t>
      </w:r>
      <w:r>
        <w:rPr>
          <w:color w:val="231F20"/>
        </w:rPr>
        <w:t>2015.</w:t>
      </w:r>
    </w:p>
    <w:p>
      <w:pPr>
        <w:pStyle w:val="BodyText"/>
        <w:spacing w:before="3"/>
        <w:rPr>
          <w:sz w:val="26"/>
        </w:rPr>
      </w:pPr>
    </w:p>
    <w:p>
      <w:pPr>
        <w:pStyle w:val="Heading1"/>
        <w:spacing w:before="1"/>
        <w:ind w:left="820"/>
      </w:pPr>
      <w:r>
        <w:rPr>
          <w:color w:val="231F20"/>
        </w:rPr>
        <w:t>Los Angeles International Airport</w:t>
      </w:r>
    </w:p>
    <w:p>
      <w:pPr>
        <w:pStyle w:val="BodyText"/>
        <w:spacing w:before="11"/>
        <w:rPr>
          <w:b/>
          <w:sz w:val="26"/>
        </w:rPr>
      </w:pPr>
    </w:p>
    <w:p>
      <w:pPr>
        <w:pStyle w:val="BodyText"/>
        <w:spacing w:line="247" w:lineRule="auto"/>
        <w:ind w:left="100" w:right="117" w:firstLine="720"/>
        <w:jc w:val="both"/>
      </w:pPr>
      <w:r>
        <w:rPr>
          <w:color w:val="231F20"/>
        </w:rPr>
        <w:t>In March 2013, the Company executed a lease agreement with Los Angeles World Airports (“LAWA”), which owns and operates Los Angeles International Airport. Under the lease agreement, which was amended in June 2014, the Company will oversee and manage the design, development, financing, construction and commissioning of the airport’s Terminal 1 Modernization Project (the “Project”) at a cost not to exceed $525 million. The Project will be funded using the Regional Airports Improvement Corporation (“RAIC”), which is a quasi-governmental special purpose entity that will act as a conduit borrower under a syndicated credit facility provided by a group of lenders. Loans made under the credit facility will be used to fund the development of the Project, and the outstanding loans will be repaid with the proceeds of LAWA’s payments to purchase completed Project phases. The Company has guaranteed the obligations of the RAIC under the credit facility.</w:t>
      </w:r>
    </w:p>
    <w:p>
      <w:pPr>
        <w:pStyle w:val="BodyText"/>
        <w:spacing w:before="3"/>
        <w:rPr>
          <w:sz w:val="26"/>
        </w:rPr>
      </w:pPr>
    </w:p>
    <w:p>
      <w:pPr>
        <w:pStyle w:val="BodyText"/>
        <w:spacing w:line="247" w:lineRule="auto"/>
        <w:ind w:left="100" w:right="117" w:firstLine="720"/>
        <w:jc w:val="both"/>
      </w:pPr>
      <w:r>
        <w:rPr>
          <w:color w:val="231F20"/>
        </w:rPr>
        <w:t>The Company’s liquidity could be impacted by this project under certain circumstances; however, the Company does not expect this to occur based on its past experience with other projects. The project is not expected to have a significant impact on the Company’s capital resources or  financial position. Construction on the project began during fourth quarter</w:t>
      </w:r>
      <w:r>
        <w:rPr>
          <w:color w:val="231F20"/>
          <w:spacing w:val="-4"/>
        </w:rPr>
        <w:t> </w:t>
      </w:r>
      <w:r>
        <w:rPr>
          <w:color w:val="231F20"/>
        </w:rPr>
        <w:t>2014.</w:t>
      </w:r>
    </w:p>
    <w:p>
      <w:pPr>
        <w:spacing w:after="0" w:line="247" w:lineRule="auto"/>
        <w:jc w:val="both"/>
        <w:sectPr>
          <w:pgSz w:w="11880" w:h="15480"/>
          <w:pgMar w:header="0" w:footer="1240" w:top="1240" w:bottom="1420" w:left="1280" w:right="1260"/>
        </w:sectPr>
      </w:pPr>
    </w:p>
    <w:p>
      <w:pPr>
        <w:pStyle w:val="Heading1"/>
      </w:pPr>
      <w:bookmarkStart w:name="Critical Accounting Policies and Estimat" w:id="15"/>
      <w:bookmarkEnd w:id="15"/>
      <w:r>
        <w:rPr>
          <w:b w:val="0"/>
        </w:rPr>
      </w:r>
      <w:r>
        <w:rPr>
          <w:color w:val="231F20"/>
        </w:rPr>
        <w:t>CRITICAL ACCOUNTING POLICIES AND ESTIMATES</w:t>
      </w:r>
    </w:p>
    <w:p>
      <w:pPr>
        <w:pStyle w:val="BodyText"/>
        <w:rPr>
          <w:b/>
          <w:sz w:val="23"/>
        </w:rPr>
      </w:pPr>
    </w:p>
    <w:p>
      <w:pPr>
        <w:pStyle w:val="BodyText"/>
        <w:spacing w:line="247" w:lineRule="auto" w:before="1"/>
        <w:ind w:left="100" w:right="117" w:firstLine="720"/>
        <w:jc w:val="both"/>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pStyle w:val="BodyText"/>
        <w:spacing w:before="5"/>
      </w:pPr>
    </w:p>
    <w:p>
      <w:pPr>
        <w:pStyle w:val="Heading1"/>
        <w:spacing w:before="0"/>
        <w:ind w:left="320"/>
      </w:pPr>
      <w:r>
        <w:rPr>
          <w:color w:val="231F20"/>
        </w:rPr>
        <w:t>Revenue recognition</w:t>
      </w:r>
    </w:p>
    <w:p>
      <w:pPr>
        <w:pStyle w:val="BodyText"/>
        <w:rPr>
          <w:b/>
          <w:sz w:val="23"/>
        </w:rPr>
      </w:pPr>
    </w:p>
    <w:p>
      <w:pPr>
        <w:pStyle w:val="BodyText"/>
        <w:spacing w:line="247" w:lineRule="auto"/>
        <w:ind w:left="100" w:right="117" w:firstLine="720"/>
        <w:jc w:val="both"/>
      </w:pPr>
      <w:r>
        <w:rPr>
          <w:color w:val="231F20"/>
        </w:rPr>
        <w:t>Tickets sold for Passenger air travel are initially deferred as Air traffic liability. Passenger revenue is recognized and Air traffic liability is reduced when the service is provided (i.e., when the flight takes place). Air traffic liability primarily represents tickets sold for future travel dates and estimated future refunds and exchanges of tickets sold for past travel dates. The balance in Air traffic liability, which includes a portion of the Company’s liability associated with its frequent flyer program, fluctuates throughout the year based on seasonal travel patterns, fare sale activity, and activity associated with the Company’s frequent flyer program.</w:t>
      </w:r>
    </w:p>
    <w:p>
      <w:pPr>
        <w:pStyle w:val="BodyText"/>
        <w:spacing w:before="5"/>
      </w:pPr>
    </w:p>
    <w:p>
      <w:pPr>
        <w:pStyle w:val="BodyText"/>
        <w:spacing w:line="247" w:lineRule="auto"/>
        <w:ind w:left="100" w:right="117" w:firstLine="720"/>
        <w:jc w:val="both"/>
      </w:pPr>
      <w:r>
        <w:rPr>
          <w:color w:val="231F20"/>
        </w:rPr>
        <w:t>For air travel on Southwest, the amount of tickets that will expire unused are estimated and recognized in Passenger revenue once the scheduled flight date has passed. Estimating the amount of tickets that will expire unused, be refunded, or exchanged involves some level of subjectivity and judgment. The majority of Southwest’s tickets sold are nonrefundable, which is the primary source of unused tickets. According to Southwest’s current “Contract of Carriage,” all refundable tickets that are sold but not flown on the travel date can be reused for another flight, up to a year from the date of sale, or can be refunded. This policy also applies to unused Customer funds that may be left over from exchanging a less expensive ticket for a previously purchased ticket that was more expensive. In September 2013, Southwest implemented a No Show policy that applies to nonrefundable fares that are not canceled or changed by a Customer at least ten minutes prior to a flight’s scheduled departure. See Note 1 to the Consolidated Financial Statements for further information. A small percentage of tickets (or partial tickets) expire unused. Fully refundable tickets are rarely forfeited. Estimates of tickets that will expire unused are based on historical experience over many years. Southwest and other airlines have consistently applied this accounting method to estimate revenue from unused tickets at the date of scheduled travel.</w:t>
      </w:r>
    </w:p>
    <w:p>
      <w:pPr>
        <w:pStyle w:val="BodyText"/>
        <w:spacing w:before="5"/>
      </w:pPr>
    </w:p>
    <w:p>
      <w:pPr>
        <w:pStyle w:val="BodyText"/>
        <w:spacing w:line="247" w:lineRule="auto"/>
        <w:ind w:left="100" w:right="117" w:firstLine="720"/>
        <w:jc w:val="both"/>
      </w:pPr>
      <w:r>
        <w:rPr>
          <w:color w:val="231F20"/>
        </w:rPr>
        <w:t>Events and circumstances outside of historical fare sale activity or historical Customer travel patterns can result in actual refunds, exchanges, or forfeited tickets differing significantly from estimates. The Company evaluates its estimates within a narrow range of acceptable amounts. If actual refunds, exchanges, or forfeiture experience results in an amount outside of this range, estimates and assumptions are reviewed and adjustments to Air traffic liability and to Passenger revenue are  recorded, as necessary. Additional factors that may affect estimated refunds and exchanges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w:t>
      </w:r>
      <w:r>
        <w:rPr>
          <w:color w:val="231F20"/>
          <w:spacing w:val="17"/>
        </w:rPr>
        <w:t> </w:t>
      </w:r>
      <w:r>
        <w:rPr>
          <w:color w:val="231F20"/>
        </w:rPr>
        <w:t>estimation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techniques have been consistently applied from year to year; however, as with any estimates, actual refund, exchange, and forfeiture activity may vary from estimated amounts. During 2014, the  Company revised assumptions regarding Customer behavior subsequent to the implementation of its No Show policy. Consequently, the Company’s estimate of the amount of refunded, exchanged, or forfeited tickets recorded during 2014 was approximately 15 percent higher than what it believes its historical averages would indicate for those years. The Company believes these estimates are  supported by actual data and are reasonable given the underlying fact</w:t>
      </w:r>
      <w:r>
        <w:rPr>
          <w:color w:val="231F20"/>
          <w:spacing w:val="1"/>
        </w:rPr>
        <w:t> </w:t>
      </w:r>
      <w:r>
        <w:rPr>
          <w:color w:val="231F20"/>
        </w:rPr>
        <w:t>patterns.</w:t>
      </w:r>
    </w:p>
    <w:p>
      <w:pPr>
        <w:pStyle w:val="BodyText"/>
        <w:spacing w:before="3"/>
        <w:rPr>
          <w:sz w:val="21"/>
        </w:rPr>
      </w:pPr>
    </w:p>
    <w:p>
      <w:pPr>
        <w:pStyle w:val="BodyText"/>
        <w:spacing w:line="247" w:lineRule="auto"/>
        <w:ind w:left="100" w:right="117" w:firstLine="720"/>
        <w:jc w:val="both"/>
      </w:pPr>
      <w:r>
        <w:rPr>
          <w:color w:val="231F20"/>
        </w:rPr>
        <w:t>The Company believes it is unlikely that materially different estimates for future refunds, exchanges, and forfeited tickets would be reported based on other reasonable assumptions or  conditions suggested by actual historical experience and other data available at the time estimates were made.</w:t>
      </w:r>
    </w:p>
    <w:p>
      <w:pPr>
        <w:pStyle w:val="BodyText"/>
        <w:spacing w:before="3"/>
        <w:rPr>
          <w:sz w:val="21"/>
        </w:rPr>
      </w:pPr>
    </w:p>
    <w:p>
      <w:pPr>
        <w:pStyle w:val="Heading1"/>
        <w:spacing w:before="0"/>
        <w:ind w:left="320"/>
      </w:pPr>
      <w:r>
        <w:rPr>
          <w:color w:val="231F20"/>
        </w:rPr>
        <w:t>Accounting for long-lived assets</w:t>
      </w:r>
    </w:p>
    <w:p>
      <w:pPr>
        <w:pStyle w:val="BodyText"/>
        <w:spacing w:before="10"/>
        <w:rPr>
          <w:b/>
          <w:sz w:val="21"/>
        </w:rPr>
      </w:pPr>
    </w:p>
    <w:p>
      <w:pPr>
        <w:pStyle w:val="BodyText"/>
        <w:spacing w:line="247" w:lineRule="auto" w:before="1"/>
        <w:ind w:left="100" w:right="117" w:firstLine="720"/>
        <w:jc w:val="both"/>
      </w:pPr>
      <w:r>
        <w:rPr>
          <w:color w:val="231F20"/>
        </w:rPr>
        <w:t>Flight equipment and related assets make up the majority of the Company’s long-lived assets. Flight equipment primarily relates to the 567 Boeing 737 aircraft in the  Company’s  fleet  at  December 31, 2014, which are either owned or on capital lease. The remaining 98 Boeing 737 aircraft in the Company’s fleet at December 31, 2014, are operated under operating leases. The Company also has 12 Boeing 717 aircraft which are either owned or on capital lease, which are included in a lease agreement to another carrier. However, since these aircraft are not in service for the Company, they are not included in its fleet figures as of December 31, 2014. See Note 7 to the Consolidated Financial Statements for further information. In accounting for long-lived assets, the Company must make estimates about the expected useful lives of the assets, the expected residual values of the assets, and the potential for impairment based on the fair value of the assets and their future expected cash</w:t>
      </w:r>
      <w:r>
        <w:rPr>
          <w:color w:val="231F20"/>
          <w:spacing w:val="-1"/>
        </w:rPr>
        <w:t> </w:t>
      </w:r>
      <w:r>
        <w:rPr>
          <w:color w:val="231F20"/>
        </w:rPr>
        <w:t>flows.</w:t>
      </w:r>
    </w:p>
    <w:p>
      <w:pPr>
        <w:pStyle w:val="BodyText"/>
        <w:spacing w:before="4"/>
        <w:rPr>
          <w:sz w:val="21"/>
        </w:rPr>
      </w:pPr>
    </w:p>
    <w:p>
      <w:pPr>
        <w:pStyle w:val="BodyText"/>
        <w:spacing w:line="247" w:lineRule="auto"/>
        <w:ind w:left="100" w:right="117" w:firstLine="720"/>
        <w:jc w:val="both"/>
      </w:pPr>
      <w:r>
        <w:rPr>
          <w:color w:val="231F20"/>
        </w:rPr>
        <w:t>The following table shows a breakdown of the Company’s long-lived asset groups along with information about estimated useful lives and residual values for new assets generally purchased from the manufacturer:</w:t>
      </w:r>
    </w:p>
    <w:p>
      <w:pPr>
        <w:pStyle w:val="BodyText"/>
        <w:spacing w:before="4"/>
        <w:rPr>
          <w:sz w:val="18"/>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120"/>
        <w:gridCol w:w="1400"/>
        <w:gridCol w:w="100"/>
        <w:gridCol w:w="1500"/>
      </w:tblGrid>
      <w:tr>
        <w:trPr>
          <w:trHeight w:val="450" w:hRule="exact"/>
        </w:trPr>
        <w:tc>
          <w:tcPr>
            <w:tcW w:w="6120" w:type="dxa"/>
          </w:tcPr>
          <w:p>
            <w:pPr/>
          </w:p>
        </w:tc>
        <w:tc>
          <w:tcPr>
            <w:tcW w:w="1400" w:type="dxa"/>
            <w:tcBorders>
              <w:bottom w:val="single" w:sz="8" w:space="0" w:color="231F20"/>
            </w:tcBorders>
          </w:tcPr>
          <w:p>
            <w:pPr>
              <w:pStyle w:val="TableParagraph"/>
              <w:spacing w:line="200" w:lineRule="exact" w:before="20"/>
              <w:ind w:left="296" w:right="278" w:firstLine="3"/>
              <w:rPr>
                <w:sz w:val="20"/>
              </w:rPr>
            </w:pPr>
            <w:r>
              <w:rPr>
                <w:color w:val="231F20"/>
                <w:sz w:val="20"/>
              </w:rPr>
              <w:t>Estimated useful life</w:t>
            </w:r>
          </w:p>
        </w:tc>
        <w:tc>
          <w:tcPr>
            <w:tcW w:w="100" w:type="dxa"/>
          </w:tcPr>
          <w:p>
            <w:pPr/>
          </w:p>
        </w:tc>
        <w:tc>
          <w:tcPr>
            <w:tcW w:w="1500" w:type="dxa"/>
            <w:tcBorders>
              <w:bottom w:val="single" w:sz="8" w:space="0" w:color="231F20"/>
            </w:tcBorders>
          </w:tcPr>
          <w:p>
            <w:pPr>
              <w:pStyle w:val="TableParagraph"/>
              <w:spacing w:line="200" w:lineRule="exact" w:before="20"/>
              <w:ind w:left="150" w:right="213" w:firstLine="159"/>
              <w:rPr>
                <w:sz w:val="20"/>
              </w:rPr>
            </w:pPr>
            <w:r>
              <w:rPr>
                <w:color w:val="231F20"/>
                <w:sz w:val="20"/>
              </w:rPr>
              <w:t>Estimated residual value</w:t>
            </w:r>
          </w:p>
        </w:tc>
      </w:tr>
      <w:tr>
        <w:trPr>
          <w:trHeight w:val="310" w:hRule="exact"/>
        </w:trPr>
        <w:tc>
          <w:tcPr>
            <w:tcW w:w="6120" w:type="dxa"/>
            <w:shd w:val="clear" w:color="auto" w:fill="CCECFC"/>
          </w:tcPr>
          <w:p>
            <w:pPr>
              <w:pStyle w:val="TableParagraph"/>
              <w:ind w:left="60"/>
              <w:rPr>
                <w:sz w:val="20"/>
              </w:rPr>
            </w:pPr>
            <w:r>
              <w:rPr>
                <w:color w:val="231F20"/>
                <w:sz w:val="20"/>
              </w:rPr>
              <w:t>Airframes and engines</w:t>
            </w:r>
          </w:p>
        </w:tc>
        <w:tc>
          <w:tcPr>
            <w:tcW w:w="1400" w:type="dxa"/>
            <w:tcBorders>
              <w:top w:val="single" w:sz="8" w:space="0" w:color="231F20"/>
            </w:tcBorders>
            <w:shd w:val="clear" w:color="auto" w:fill="CCECFC"/>
          </w:tcPr>
          <w:p>
            <w:pPr>
              <w:pStyle w:val="TableParagraph"/>
              <w:ind w:left="270"/>
              <w:jc w:val="center"/>
              <w:rPr>
                <w:sz w:val="20"/>
              </w:rPr>
            </w:pPr>
            <w:r>
              <w:rPr>
                <w:color w:val="231F20"/>
                <w:sz w:val="20"/>
              </w:rPr>
              <w:t>23 to 25 years</w:t>
            </w:r>
          </w:p>
        </w:tc>
        <w:tc>
          <w:tcPr>
            <w:tcW w:w="100" w:type="dxa"/>
            <w:shd w:val="clear" w:color="auto" w:fill="CCECFC"/>
          </w:tcPr>
          <w:p>
            <w:pPr/>
          </w:p>
        </w:tc>
        <w:tc>
          <w:tcPr>
            <w:tcW w:w="1500" w:type="dxa"/>
            <w:tcBorders>
              <w:top w:val="single" w:sz="8" w:space="0" w:color="231F20"/>
            </w:tcBorders>
            <w:shd w:val="clear" w:color="auto" w:fill="CCECFC"/>
          </w:tcPr>
          <w:p>
            <w:pPr>
              <w:pStyle w:val="TableParagraph"/>
              <w:ind w:left="203" w:right="61"/>
              <w:jc w:val="center"/>
              <w:rPr>
                <w:sz w:val="20"/>
              </w:rPr>
            </w:pPr>
            <w:r>
              <w:rPr>
                <w:color w:val="231F20"/>
                <w:sz w:val="20"/>
              </w:rPr>
              <w:t>2 to 20 percent</w:t>
            </w:r>
          </w:p>
        </w:tc>
      </w:tr>
      <w:tr>
        <w:trPr>
          <w:trHeight w:val="300" w:hRule="exact"/>
        </w:trPr>
        <w:tc>
          <w:tcPr>
            <w:tcW w:w="6120" w:type="dxa"/>
          </w:tcPr>
          <w:p>
            <w:pPr>
              <w:pStyle w:val="TableParagraph"/>
              <w:ind w:left="60"/>
              <w:rPr>
                <w:sz w:val="20"/>
              </w:rPr>
            </w:pPr>
            <w:r>
              <w:rPr>
                <w:color w:val="231F20"/>
                <w:sz w:val="20"/>
              </w:rPr>
              <w:t>Aircraft parts</w:t>
            </w:r>
          </w:p>
        </w:tc>
        <w:tc>
          <w:tcPr>
            <w:tcW w:w="1400" w:type="dxa"/>
          </w:tcPr>
          <w:p>
            <w:pPr>
              <w:pStyle w:val="TableParagraph"/>
              <w:ind w:left="269"/>
              <w:jc w:val="center"/>
              <w:rPr>
                <w:sz w:val="20"/>
              </w:rPr>
            </w:pPr>
            <w:r>
              <w:rPr>
                <w:color w:val="231F20"/>
                <w:sz w:val="20"/>
              </w:rPr>
              <w:t>Fleet life</w:t>
            </w:r>
          </w:p>
        </w:tc>
        <w:tc>
          <w:tcPr>
            <w:tcW w:w="100" w:type="dxa"/>
          </w:tcPr>
          <w:p>
            <w:pPr/>
          </w:p>
        </w:tc>
        <w:tc>
          <w:tcPr>
            <w:tcW w:w="1500" w:type="dxa"/>
          </w:tcPr>
          <w:p>
            <w:pPr>
              <w:pStyle w:val="TableParagraph"/>
              <w:ind w:left="203" w:right="61"/>
              <w:jc w:val="center"/>
              <w:rPr>
                <w:sz w:val="20"/>
              </w:rPr>
            </w:pPr>
            <w:r>
              <w:rPr>
                <w:color w:val="231F20"/>
                <w:sz w:val="20"/>
              </w:rPr>
              <w:t>4 percent</w:t>
            </w:r>
          </w:p>
        </w:tc>
      </w:tr>
      <w:tr>
        <w:trPr>
          <w:trHeight w:val="300" w:hRule="exact"/>
        </w:trPr>
        <w:tc>
          <w:tcPr>
            <w:tcW w:w="6120" w:type="dxa"/>
            <w:shd w:val="clear" w:color="auto" w:fill="CCECFC"/>
          </w:tcPr>
          <w:p>
            <w:pPr>
              <w:pStyle w:val="TableParagraph"/>
              <w:ind w:left="60"/>
              <w:rPr>
                <w:sz w:val="20"/>
              </w:rPr>
            </w:pPr>
            <w:r>
              <w:rPr>
                <w:color w:val="231F20"/>
                <w:sz w:val="20"/>
              </w:rPr>
              <w:t>Ground property and equipment</w:t>
            </w:r>
          </w:p>
        </w:tc>
        <w:tc>
          <w:tcPr>
            <w:tcW w:w="1400" w:type="dxa"/>
            <w:shd w:val="clear" w:color="auto" w:fill="CCECFC"/>
          </w:tcPr>
          <w:p>
            <w:pPr>
              <w:pStyle w:val="TableParagraph"/>
              <w:ind w:left="270"/>
              <w:jc w:val="center"/>
              <w:rPr>
                <w:sz w:val="20"/>
              </w:rPr>
            </w:pPr>
            <w:r>
              <w:rPr>
                <w:color w:val="231F20"/>
                <w:sz w:val="20"/>
              </w:rPr>
              <w:t>5 to 30 years</w:t>
            </w:r>
          </w:p>
        </w:tc>
        <w:tc>
          <w:tcPr>
            <w:tcW w:w="100" w:type="dxa"/>
            <w:shd w:val="clear" w:color="auto" w:fill="CCECFC"/>
          </w:tcPr>
          <w:p>
            <w:pPr/>
          </w:p>
        </w:tc>
        <w:tc>
          <w:tcPr>
            <w:tcW w:w="1500" w:type="dxa"/>
            <w:shd w:val="clear" w:color="auto" w:fill="CCECFC"/>
          </w:tcPr>
          <w:p>
            <w:pPr>
              <w:pStyle w:val="TableParagraph"/>
              <w:ind w:left="203" w:right="61"/>
              <w:jc w:val="center"/>
              <w:rPr>
                <w:sz w:val="20"/>
              </w:rPr>
            </w:pPr>
            <w:r>
              <w:rPr>
                <w:color w:val="231F20"/>
                <w:sz w:val="20"/>
              </w:rPr>
              <w:t>0 to 10 percent</w:t>
            </w:r>
          </w:p>
        </w:tc>
      </w:tr>
    </w:tbl>
    <w:p>
      <w:pPr>
        <w:pStyle w:val="BodyText"/>
        <w:spacing w:before="1"/>
        <w:rPr>
          <w:sz w:val="26"/>
        </w:rPr>
      </w:pPr>
    </w:p>
    <w:p>
      <w:pPr>
        <w:pStyle w:val="BodyText"/>
        <w:spacing w:line="247" w:lineRule="auto"/>
        <w:ind w:left="100" w:right="117" w:firstLine="720"/>
        <w:jc w:val="both"/>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Generally, these adjustments are accounted for on a prospective basis through depreciation and amortization expense. For</w:t>
      </w:r>
      <w:r>
        <w:rPr>
          <w:color w:val="231F20"/>
          <w:spacing w:val="36"/>
        </w:rPr>
        <w:t> </w:t>
      </w:r>
      <w:r>
        <w:rPr>
          <w:color w:val="231F20"/>
        </w:rPr>
        <w:t>example,</w:t>
      </w:r>
      <w:r>
        <w:rPr>
          <w:color w:val="231F20"/>
          <w:spacing w:val="37"/>
        </w:rPr>
        <w:t> </w:t>
      </w:r>
      <w:r>
        <w:rPr>
          <w:color w:val="231F20"/>
        </w:rPr>
        <w:t>during</w:t>
      </w:r>
      <w:r>
        <w:rPr>
          <w:color w:val="231F20"/>
          <w:spacing w:val="36"/>
        </w:rPr>
        <w:t> </w:t>
      </w:r>
      <w:r>
        <w:rPr>
          <w:color w:val="231F20"/>
        </w:rPr>
        <w:t>third</w:t>
      </w:r>
      <w:r>
        <w:rPr>
          <w:color w:val="231F20"/>
          <w:spacing w:val="36"/>
        </w:rPr>
        <w:t> </w:t>
      </w:r>
      <w:r>
        <w:rPr>
          <w:color w:val="231F20"/>
        </w:rPr>
        <w:t>quarter</w:t>
      </w:r>
      <w:r>
        <w:rPr>
          <w:color w:val="231F20"/>
          <w:spacing w:val="36"/>
        </w:rPr>
        <w:t> </w:t>
      </w:r>
      <w:r>
        <w:rPr>
          <w:color w:val="231F20"/>
        </w:rPr>
        <w:t>2012,</w:t>
      </w:r>
      <w:r>
        <w:rPr>
          <w:color w:val="231F20"/>
          <w:spacing w:val="37"/>
        </w:rPr>
        <w:t> </w:t>
      </w:r>
      <w:r>
        <w:rPr>
          <w:color w:val="231F20"/>
        </w:rPr>
        <w:t>the</w:t>
      </w:r>
      <w:r>
        <w:rPr>
          <w:color w:val="231F20"/>
          <w:spacing w:val="37"/>
        </w:rPr>
        <w:t> </w:t>
      </w:r>
      <w:r>
        <w:rPr>
          <w:color w:val="231F20"/>
        </w:rPr>
        <w:t>Company</w:t>
      </w:r>
      <w:r>
        <w:rPr>
          <w:color w:val="231F20"/>
          <w:spacing w:val="37"/>
        </w:rPr>
        <w:t> </w:t>
      </w:r>
      <w:r>
        <w:rPr>
          <w:color w:val="231F20"/>
        </w:rPr>
        <w:t>changed</w:t>
      </w:r>
      <w:r>
        <w:rPr>
          <w:color w:val="231F20"/>
          <w:spacing w:val="37"/>
        </w:rPr>
        <w:t> </w:t>
      </w:r>
      <w:r>
        <w:rPr>
          <w:color w:val="231F20"/>
        </w:rPr>
        <w:t>the</w:t>
      </w:r>
      <w:r>
        <w:rPr>
          <w:color w:val="231F20"/>
          <w:spacing w:val="37"/>
        </w:rPr>
        <w:t> </w:t>
      </w:r>
      <w:r>
        <w:rPr>
          <w:color w:val="231F20"/>
        </w:rPr>
        <w:t>estimated</w:t>
      </w:r>
      <w:r>
        <w:rPr>
          <w:color w:val="231F20"/>
          <w:spacing w:val="36"/>
        </w:rPr>
        <w:t> </w:t>
      </w:r>
      <w:r>
        <w:rPr>
          <w:color w:val="231F20"/>
        </w:rPr>
        <w:t>residual</w:t>
      </w:r>
      <w:r>
        <w:rPr>
          <w:color w:val="231F20"/>
          <w:spacing w:val="36"/>
        </w:rPr>
        <w:t> </w:t>
      </w:r>
      <w:r>
        <w:rPr>
          <w:color w:val="231F20"/>
        </w:rPr>
        <w:t>values</w:t>
      </w:r>
      <w:r>
        <w:rPr>
          <w:color w:val="231F20"/>
          <w:spacing w:val="36"/>
        </w:rPr>
        <w:t> </w:t>
      </w:r>
      <w:r>
        <w:rPr>
          <w:color w:val="231F20"/>
        </w:rPr>
        <w:t>of</w:t>
      </w:r>
      <w:r>
        <w:rPr>
          <w:color w:val="231F20"/>
          <w:spacing w:val="35"/>
        </w:rPr>
        <w:t> </w:t>
      </w:r>
      <w:r>
        <w:rPr>
          <w:color w:val="231F20"/>
        </w:rPr>
        <w:t>its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entire remaining fleet of owned 737-300 and 737-500 aircraft. Based on current and expected future market conditions related to these aircraft, as well as a significant change in the way the Company expected to utilize the fleet, the Company reduced the residual values of these aircraft. This determination was made based on the continuous assessment of the market for these older aircraft, as many buyers of used aircraft prefer newer, more fuel efficient models, and the increase in the number of airlines retiring these older aircraft, which has increased the supply of older aircraft on the market. As this reduction in residual value is considered a change in estimate, it was accounted for on a prospective basis, and thus the Company has effectively accelerated the recording of depreciation expense over the remainder of the useful lives for each aircraft. The Company does not believe these changes in estimates towards the end of the useful lives for a given fleet type are unusual, especially given the rapid pace of technological advancement, volatile fuel prices, and recent significant transactions involving the Company’s fleet. See Note 1 to the Consolidated Financial Statements for further information. The impact of this change for the year ended December 31, 2012 was an increase to Depreciation expense of $34</w:t>
      </w:r>
      <w:r>
        <w:rPr>
          <w:color w:val="231F20"/>
          <w:spacing w:val="-1"/>
        </w:rPr>
        <w:t> </w:t>
      </w:r>
      <w:r>
        <w:rPr>
          <w:color w:val="231F20"/>
        </w:rPr>
        <w:t>million.</w:t>
      </w:r>
    </w:p>
    <w:p>
      <w:pPr>
        <w:pStyle w:val="BodyText"/>
        <w:spacing w:before="5"/>
      </w:pPr>
    </w:p>
    <w:p>
      <w:pPr>
        <w:pStyle w:val="BodyText"/>
        <w:spacing w:line="247" w:lineRule="auto"/>
        <w:ind w:left="100" w:right="117" w:firstLine="720"/>
        <w:jc w:val="both"/>
      </w:pPr>
      <w:r>
        <w:rPr>
          <w:color w:val="231F20"/>
        </w:rPr>
        <w:t>The Company evaluates its long-lived assets for impairment. Factors that would indicate potential impairment may include, but are not limited to, significant decreases in the market value of the long-lived asset(s), a significant change in the long-lived asset’s physical condition, and operating or cash flow losses associated with the use of the long-lived asset. The Company has continued to operate virtually all of its aircraft, generate positive cash flow, and produce operating profits. Consequently, the Company has not identified any impairment related to its existing aircraft fleet. The Company will continue to monitor its long-lived assets and the airline operating</w:t>
      </w:r>
      <w:r>
        <w:rPr>
          <w:color w:val="231F20"/>
          <w:spacing w:val="-3"/>
        </w:rPr>
        <w:t> </w:t>
      </w:r>
      <w:r>
        <w:rPr>
          <w:color w:val="231F20"/>
        </w:rPr>
        <w:t>environment.</w:t>
      </w:r>
    </w:p>
    <w:p>
      <w:pPr>
        <w:pStyle w:val="BodyText"/>
        <w:spacing w:before="5"/>
      </w:pPr>
    </w:p>
    <w:p>
      <w:pPr>
        <w:pStyle w:val="BodyText"/>
        <w:spacing w:line="247" w:lineRule="auto"/>
        <w:ind w:left="100" w:right="119" w:firstLine="720"/>
        <w:jc w:val="both"/>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BodyText"/>
        <w:spacing w:before="5"/>
      </w:pPr>
    </w:p>
    <w:p>
      <w:pPr>
        <w:pStyle w:val="Heading1"/>
        <w:spacing w:before="0"/>
        <w:ind w:left="320"/>
      </w:pPr>
      <w:r>
        <w:rPr>
          <w:color w:val="231F20"/>
        </w:rPr>
        <w:t>Financial derivative instruments</w:t>
      </w:r>
    </w:p>
    <w:p>
      <w:pPr>
        <w:pStyle w:val="BodyText"/>
        <w:spacing w:before="1"/>
        <w:rPr>
          <w:b/>
          <w:sz w:val="23"/>
        </w:rPr>
      </w:pPr>
    </w:p>
    <w:p>
      <w:pPr>
        <w:pStyle w:val="BodyText"/>
        <w:spacing w:line="247" w:lineRule="auto"/>
        <w:ind w:left="100" w:right="117" w:firstLine="720"/>
        <w:jc w:val="both"/>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 instruments.</w:t>
      </w:r>
    </w:p>
    <w:p>
      <w:pPr>
        <w:pStyle w:val="BodyText"/>
        <w:spacing w:before="5"/>
      </w:pPr>
    </w:p>
    <w:p>
      <w:pPr>
        <w:pStyle w:val="BodyText"/>
        <w:spacing w:line="247" w:lineRule="auto"/>
        <w:ind w:left="100" w:right="117" w:firstLine="720"/>
        <w:jc w:val="both"/>
      </w:pPr>
      <w:r>
        <w:rPr>
          <w:color w:val="231F20"/>
        </w:rPr>
        <w:t>All derivatives are required to be reflected at fair value and recorded on the Consolidated Balance Sheet. At December 31, 2014, the Company was a party to over 1,100 separate financial derivative instruments related to its fuel hedging program for the years 2015 through 2018. Changes in the fair values of these instruments can vary dramatically based on changes in the underlying commodity prices, as has been evident in recent years and in the second half of 2014. For example, during 2014, market “spot” prices for Brent crude oil peaked at a high of approximately $115 per  barrel and hit a low price of approximately $57 per barrel. During 2013, market spot prices ranged  from a high of $119 per barrel to a low of $98 per barrel. Market price changes can be driven by  factors such as supply and demand, inventory levels, weather events, refinery capacity, political agendas, the value of the U.S. dollar, geopolitical events, and general economic conditions, among other items. The financial derivative instruments utilized by the Company primarily are a combination of collars, purchased call options, call spreads, put spreads, and fixed price swap agreements.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The Company enters into financial derivative instruments with third party institutions in “over- the-counter”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beyond approximately 24 months,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w:t>
      </w:r>
      <w:r>
        <w:rPr>
          <w:color w:val="231F20"/>
          <w:spacing w:val="-2"/>
        </w:rPr>
        <w:t> </w:t>
      </w:r>
      <w:r>
        <w:rPr>
          <w:color w:val="231F20"/>
        </w:rPr>
        <w:t>hedges.</w:t>
      </w:r>
    </w:p>
    <w:p>
      <w:pPr>
        <w:pStyle w:val="BodyText"/>
        <w:spacing w:before="5"/>
      </w:pPr>
    </w:p>
    <w:p>
      <w:pPr>
        <w:pStyle w:val="BodyText"/>
        <w:spacing w:line="247" w:lineRule="auto"/>
        <w:ind w:left="100" w:right="117" w:firstLine="720"/>
        <w:jc w:val="both"/>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periods, because of increased volatility in energy markets, the Company has lost hedge accounting for certain types of commodities, including in the third quarter of 2013, when the Company lost hedge accounting for West Texas Intermediate crude oil instruments. At this time, the Company marks all such derivatives to fair value in each quarterly period, with all changes in value reflected as a component of Other (gains) losses, net in the Consolidated Statement of Income. The Company did not lose hedge accounting for an entire commodity during any other periods presented. Although the Company continues to use a prospective assessment to determine that other commodities continue to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financial</w:t>
      </w:r>
      <w:r>
        <w:rPr>
          <w:color w:val="231F20"/>
          <w:spacing w:val="-1"/>
        </w:rPr>
        <w:t> </w:t>
      </w:r>
      <w:r>
        <w:rPr>
          <w:color w:val="231F20"/>
        </w:rPr>
        <w:t>results.</w:t>
      </w:r>
    </w:p>
    <w:p>
      <w:pPr>
        <w:pStyle w:val="BodyText"/>
        <w:spacing w:before="5"/>
      </w:pPr>
    </w:p>
    <w:p>
      <w:pPr>
        <w:pStyle w:val="BodyText"/>
        <w:spacing w:line="247" w:lineRule="auto"/>
        <w:ind w:left="100" w:right="117" w:firstLine="720"/>
        <w:jc w:val="both"/>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expire/settle until a future period. Likewise, if a derivative contract ceases to qualify for hedge accounting, the change in the fair value of the derivative instrument is recorded every period to Other (gains) and losses, net in the Consolidated Statement of Income in the period of the</w:t>
      </w:r>
      <w:r>
        <w:rPr>
          <w:color w:val="231F20"/>
          <w:spacing w:val="-4"/>
        </w:rPr>
        <w:t> </w:t>
      </w:r>
      <w:r>
        <w:rPr>
          <w:color w:val="231F20"/>
        </w:rPr>
        <w:t>change.</w:t>
      </w:r>
    </w:p>
    <w:p>
      <w:pPr>
        <w:pStyle w:val="BodyText"/>
        <w:spacing w:before="5"/>
      </w:pPr>
    </w:p>
    <w:p>
      <w:pPr>
        <w:pStyle w:val="BodyText"/>
        <w:spacing w:line="247" w:lineRule="auto"/>
        <w:ind w:left="100" w:right="117" w:firstLine="720"/>
        <w:jc w:val="both"/>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 volumes.</w:t>
      </w:r>
    </w:p>
    <w:p>
      <w:pPr>
        <w:pStyle w:val="BodyText"/>
        <w:spacing w:before="9"/>
        <w:rPr>
          <w:sz w:val="20"/>
        </w:rPr>
      </w:pPr>
    </w:p>
    <w:p>
      <w:pPr>
        <w:pStyle w:val="BodyText"/>
        <w:spacing w:line="247" w:lineRule="auto"/>
        <w:ind w:left="100" w:right="117" w:firstLine="720"/>
        <w:jc w:val="both"/>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2014, 2013, and 2012, and has not changed for either assessing or measuring hedge ineffectiveness during these periods.</w:t>
      </w:r>
    </w:p>
    <w:p>
      <w:pPr>
        <w:pStyle w:val="BodyText"/>
        <w:spacing w:before="9"/>
        <w:rPr>
          <w:sz w:val="20"/>
        </w:rPr>
      </w:pPr>
    </w:p>
    <w:p>
      <w:pPr>
        <w:pStyle w:val="BodyText"/>
        <w:spacing w:line="247" w:lineRule="auto"/>
        <w:ind w:left="100" w:right="117" w:firstLine="720"/>
        <w:jc w:val="both"/>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BodyText"/>
        <w:spacing w:before="9"/>
        <w:rPr>
          <w:sz w:val="20"/>
        </w:rPr>
      </w:pPr>
    </w:p>
    <w:p>
      <w:pPr>
        <w:pStyle w:val="Heading2"/>
        <w:rPr>
          <w:i/>
        </w:rPr>
      </w:pPr>
      <w:r>
        <w:rPr>
          <w:i/>
          <w:color w:val="231F20"/>
        </w:rPr>
        <w:t>Fair value measurements</w:t>
      </w:r>
    </w:p>
    <w:p>
      <w:pPr>
        <w:pStyle w:val="BodyText"/>
        <w:spacing w:before="5"/>
        <w:rPr>
          <w:b/>
          <w:i/>
          <w:sz w:val="21"/>
        </w:rPr>
      </w:pPr>
    </w:p>
    <w:p>
      <w:pPr>
        <w:pStyle w:val="BodyText"/>
        <w:spacing w:line="247" w:lineRule="auto"/>
        <w:ind w:left="100" w:right="118" w:firstLine="720"/>
        <w:jc w:val="both"/>
      </w:pPr>
      <w:r>
        <w:rPr>
          <w:color w:val="231F20"/>
        </w:rPr>
        <w:t>The Company utilizes unobservable (Level 3) inputs in determining the fair value of certain assets and liabilities. At December 31, 2014, these included auction rate security investments, valued at</w:t>
      </w:r>
    </w:p>
    <w:p>
      <w:pPr>
        <w:pStyle w:val="BodyText"/>
        <w:spacing w:line="247" w:lineRule="auto"/>
        <w:ind w:left="100" w:right="117"/>
        <w:jc w:val="both"/>
      </w:pPr>
      <w:r>
        <w:rPr>
          <w:color w:val="231F20"/>
        </w:rPr>
        <w:t>$27 million, a portion of its fuel derivative option contracts, which were a net liability of $1.1 billion, and $5 million in other investments.</w:t>
      </w:r>
    </w:p>
    <w:p>
      <w:pPr>
        <w:pStyle w:val="BodyText"/>
        <w:spacing w:before="10"/>
        <w:rPr>
          <w:sz w:val="20"/>
        </w:rPr>
      </w:pPr>
    </w:p>
    <w:p>
      <w:pPr>
        <w:pStyle w:val="BodyText"/>
        <w:spacing w:line="247" w:lineRule="auto"/>
        <w:ind w:left="100" w:right="117" w:firstLine="720"/>
        <w:jc w:val="both"/>
      </w:pPr>
      <w:r>
        <w:rPr>
          <w:color w:val="231F20"/>
        </w:rPr>
        <w:t>All of the Company’s auction rate security instruments are reflected at estimated fair value in the Consolidated Balance Sheet. The Company has determined the estimated fair values of these securities utilizing a discounted cash flow analysis or other type of valuation model, which qualify the instruments as Level 3. The Company’s analyses consider,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the London Interbank Offered Rate (“LIBOR”) or the issuer’s net loan rate, and a counterparty credit spread.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before="1"/>
        <w:rPr>
          <w:sz w:val="28"/>
        </w:rPr>
      </w:pPr>
    </w:p>
    <w:p>
      <w:pPr>
        <w:pStyle w:val="BodyText"/>
        <w:spacing w:line="247" w:lineRule="auto"/>
        <w:ind w:left="100" w:right="117" w:firstLine="720"/>
        <w:jc w:val="both"/>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 values.</w:t>
      </w:r>
    </w:p>
    <w:p>
      <w:pPr>
        <w:pStyle w:val="BodyText"/>
        <w:spacing w:before="1"/>
        <w:rPr>
          <w:sz w:val="28"/>
        </w:rPr>
      </w:pPr>
    </w:p>
    <w:p>
      <w:pPr>
        <w:pStyle w:val="Heading2"/>
        <w:rPr>
          <w:i/>
        </w:rPr>
      </w:pPr>
      <w:r>
        <w:rPr>
          <w:i/>
          <w:color w:val="231F20"/>
        </w:rPr>
        <w:t>Frequent flyer accounting</w:t>
      </w:r>
    </w:p>
    <w:p>
      <w:pPr>
        <w:pStyle w:val="BodyText"/>
        <w:spacing w:before="8"/>
        <w:rPr>
          <w:b/>
          <w:i/>
          <w:sz w:val="28"/>
        </w:rPr>
      </w:pPr>
    </w:p>
    <w:p>
      <w:pPr>
        <w:pStyle w:val="BodyText"/>
        <w:spacing w:line="247" w:lineRule="auto"/>
        <w:ind w:left="100" w:right="117" w:firstLine="720"/>
        <w:jc w:val="both"/>
      </w:pPr>
      <w:r>
        <w:rPr>
          <w:color w:val="231F20"/>
        </w:rPr>
        <w:t>The Company utilizes estimates in the recognition of liabilities associated with its frequent flyer program. These estimates primarily include the liability associated with frequent flyer member account balances that are expected to be redeemed for travel or other products at a future date.  Frequent flyer account balances include points earned through flights taken, points sold to Customers, or points earned through business partners participating in the frequent flyer</w:t>
      </w:r>
      <w:r>
        <w:rPr>
          <w:color w:val="231F20"/>
          <w:spacing w:val="-5"/>
        </w:rPr>
        <w:t> </w:t>
      </w:r>
      <w:r>
        <w:rPr>
          <w:color w:val="231F20"/>
        </w:rPr>
        <w:t>program.</w:t>
      </w:r>
    </w:p>
    <w:p>
      <w:pPr>
        <w:pStyle w:val="BodyText"/>
        <w:spacing w:before="1"/>
        <w:rPr>
          <w:sz w:val="28"/>
        </w:rPr>
      </w:pPr>
    </w:p>
    <w:p>
      <w:pPr>
        <w:pStyle w:val="BodyText"/>
        <w:spacing w:line="247" w:lineRule="auto"/>
        <w:ind w:left="100" w:right="117" w:firstLine="720"/>
        <w:jc w:val="both"/>
      </w:pPr>
      <w:r>
        <w:rPr>
          <w:color w:val="231F20"/>
        </w:rPr>
        <w:t>Under the Southwest Rapid Rewards frequent flyer program, members earn points for every dollar spent. The amount of points earned under the program is based on the fare and fare class purchased, with higher fare products (e.g., Business Select) earning more points than lower fare products (e.g., 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cruises, hotel stays, rental cars, gift cards, event tickets, and more. In addition to earning points for revenue flights and qualifying purchases with Rapid Rewards Partners, Rapid Rewards Members also have the ability to purchase points.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The Company utilizes the incremental cost method of accounting for points earned through flights taken in its frequent flyer program. A liability is recorded for the estimated incremental cost of providing free travel as points are being earned. The liability recorded represents the total number of points expected to be redeemed by members, regardless of whether the members may have enough to qualify for a full travel award. The incremental cost liability is primarily composed of direct Passenger costs such as fuel, food, and other operational costs, but does not include any contribution to fixed overhead costs or profit. At December 31, 2014, the incremental cost liability was approximately $63 million.</w:t>
      </w:r>
    </w:p>
    <w:p>
      <w:pPr>
        <w:pStyle w:val="BodyText"/>
        <w:spacing w:before="5"/>
      </w:pPr>
    </w:p>
    <w:p>
      <w:pPr>
        <w:pStyle w:val="BodyText"/>
        <w:spacing w:line="247" w:lineRule="auto"/>
        <w:ind w:left="100" w:right="117" w:firstLine="720"/>
        <w:jc w:val="both"/>
      </w:pPr>
      <w:r>
        <w:rPr>
          <w:color w:val="231F20"/>
        </w:rPr>
        <w:t>The Company also sells frequent flyer points and related services to business partners participating in the frequent flyer program. The majority of the points sold to business partners are through the Southwest co-branded Chase Visa credit card. Funds received from the sale of points associated with these agreements are accounted for under the residual method. Under the residual method, as of both December 31, 2013, and 2014, the Company estimated that 100 percent of the amount received from frequent flyer points sold associated with Southwest’s co-branded Chase Visa credit card relates to free travel. This is due to the increase in Southwest’s average fare in recent years, while the average value received from business partners for the purchase of points has remained relatively flat. Therefore, for accounting purposes, the Company currently assigns no value associated with items such as business partner access to Southwest’s frequent flyer program population for marketing/solicitation purposes, use of Southwest’s logo on the co-branded Chase Visa credit cards, and other trademarks, designs, images, etc., of Southwest for use in marketing materials. The estimated amounts associated with free travel are deferred and recognized as Passenger revenue when  the ultimate free travel awards are flown. For all points sold to business partners that are expected to expire unused, the Company recognizes spoilage in accordance with the redemption method. For any portion of funds received that is deemed not to be associated with future travel, the Company would recognize such revenue in the period in which it has fulfilled its obligation under the contract signed with the particular business partner, which is on a monthly or quarterly basis, upon sale, as the related marketing services are performed or provided. The vast majority of these marketing services consist of the access granted, either monthly or quarterly, to various lists of Southwest’s frequent flyer members. Any estimated amount that is not associated with free travel would be recognized in Other revenue in the period</w:t>
      </w:r>
      <w:r>
        <w:rPr>
          <w:color w:val="231F20"/>
          <w:spacing w:val="-1"/>
        </w:rPr>
        <w:t> </w:t>
      </w:r>
      <w:r>
        <w:rPr>
          <w:color w:val="231F20"/>
        </w:rPr>
        <w:t>earned.</w:t>
      </w:r>
    </w:p>
    <w:p>
      <w:pPr>
        <w:pStyle w:val="BodyText"/>
        <w:spacing w:before="5"/>
      </w:pPr>
    </w:p>
    <w:p>
      <w:pPr>
        <w:pStyle w:val="BodyText"/>
        <w:spacing w:line="247" w:lineRule="auto"/>
        <w:ind w:left="100" w:right="117" w:firstLine="720"/>
        <w:jc w:val="both"/>
      </w:pPr>
      <w:r>
        <w:rPr>
          <w:color w:val="231F20"/>
        </w:rPr>
        <w:t>Under its current program, Southwest estimates the portion of frequent flyer points that will  not be redeemed. In estimating spoilage, the Company takes into account the Member’s past behavior, as well as several factors related to the Member’s account that are expected to be indicative of the likelihood of future point redemption. These factors include, but are not limited to, tenure with program, points accrued in the program, and whether or not the customer has a co-branded credit card. During fourth quarter 2014, the Company obtained sufficient historical behavioral data to develop a predictive statistical model to analyze the amount of spoilage expected for points sold to business partners, which indicated an increase in the expected spoilage rate. This change in estimate, which is recorded on a prospective basis, as of October 1, 2014, resulted in an increase in Passenger revenue of approximately $55 million for the quarter and the year ended December 31, 2014. The Company expects the higher spoilage rate to continue to increase Passenger revenue in 2015, but at a lower amount than the fourth quarter 2014 impact. The precise impact will not be determinable until the actual number of point redemptions for the period is known. For the year ended December 31, 2014, based on actual redemptions of points sold to business partners, a hypothetical one percentage point change in the estimated spoilage rate results in a change to Passenger revenue of approximately $25 million</w:t>
      </w:r>
      <w:r>
        <w:rPr>
          <w:color w:val="231F20"/>
          <w:spacing w:val="44"/>
        </w:rPr>
        <w:t> </w:t>
      </w:r>
      <w:r>
        <w:rPr>
          <w:color w:val="231F20"/>
        </w:rPr>
        <w:t>(an</w:t>
      </w:r>
      <w:r>
        <w:rPr>
          <w:color w:val="231F20"/>
          <w:spacing w:val="45"/>
        </w:rPr>
        <w:t> </w:t>
      </w:r>
      <w:r>
        <w:rPr>
          <w:color w:val="231F20"/>
        </w:rPr>
        <w:t>increase</w:t>
      </w:r>
      <w:r>
        <w:rPr>
          <w:color w:val="231F20"/>
          <w:spacing w:val="46"/>
        </w:rPr>
        <w:t> </w:t>
      </w:r>
      <w:r>
        <w:rPr>
          <w:color w:val="231F20"/>
        </w:rPr>
        <w:t>in</w:t>
      </w:r>
      <w:r>
        <w:rPr>
          <w:color w:val="231F20"/>
          <w:spacing w:val="44"/>
        </w:rPr>
        <w:t> </w:t>
      </w:r>
      <w:r>
        <w:rPr>
          <w:color w:val="231F20"/>
        </w:rPr>
        <w:t>spoilage</w:t>
      </w:r>
      <w:r>
        <w:rPr>
          <w:color w:val="231F20"/>
          <w:spacing w:val="45"/>
        </w:rPr>
        <w:t> </w:t>
      </w:r>
      <w:r>
        <w:rPr>
          <w:color w:val="231F20"/>
        </w:rPr>
        <w:t>would</w:t>
      </w:r>
      <w:r>
        <w:rPr>
          <w:color w:val="231F20"/>
          <w:spacing w:val="45"/>
        </w:rPr>
        <w:t> </w:t>
      </w:r>
      <w:r>
        <w:rPr>
          <w:color w:val="231F20"/>
        </w:rPr>
        <w:t>have</w:t>
      </w:r>
      <w:r>
        <w:rPr>
          <w:color w:val="231F20"/>
          <w:spacing w:val="45"/>
        </w:rPr>
        <w:t> </w:t>
      </w:r>
      <w:r>
        <w:rPr>
          <w:color w:val="231F20"/>
        </w:rPr>
        <w:t>resulted</w:t>
      </w:r>
      <w:r>
        <w:rPr>
          <w:color w:val="231F20"/>
          <w:spacing w:val="45"/>
        </w:rPr>
        <w:t> </w:t>
      </w:r>
      <w:r>
        <w:rPr>
          <w:color w:val="231F20"/>
        </w:rPr>
        <w:t>in</w:t>
      </w:r>
      <w:r>
        <w:rPr>
          <w:color w:val="231F20"/>
          <w:spacing w:val="44"/>
        </w:rPr>
        <w:t> </w:t>
      </w:r>
      <w:r>
        <w:rPr>
          <w:color w:val="231F20"/>
        </w:rPr>
        <w:t>an</w:t>
      </w:r>
      <w:r>
        <w:rPr>
          <w:color w:val="231F20"/>
          <w:spacing w:val="45"/>
        </w:rPr>
        <w:t> </w:t>
      </w:r>
      <w:r>
        <w:rPr>
          <w:color w:val="231F20"/>
        </w:rPr>
        <w:t>increase</w:t>
      </w:r>
      <w:r>
        <w:rPr>
          <w:color w:val="231F20"/>
          <w:spacing w:val="46"/>
        </w:rPr>
        <w:t> </w:t>
      </w:r>
      <w:r>
        <w:rPr>
          <w:color w:val="231F20"/>
        </w:rPr>
        <w:t>in</w:t>
      </w:r>
      <w:r>
        <w:rPr>
          <w:color w:val="231F20"/>
          <w:spacing w:val="44"/>
        </w:rPr>
        <w:t> </w:t>
      </w:r>
      <w:r>
        <w:rPr>
          <w:color w:val="231F20"/>
        </w:rPr>
        <w:t>revenue</w:t>
      </w:r>
      <w:r>
        <w:rPr>
          <w:color w:val="231F20"/>
          <w:spacing w:val="45"/>
        </w:rPr>
        <w:t> </w:t>
      </w:r>
      <w:r>
        <w:rPr>
          <w:color w:val="231F20"/>
        </w:rPr>
        <w:t>and</w:t>
      </w:r>
      <w:r>
        <w:rPr>
          <w:color w:val="231F20"/>
          <w:spacing w:val="45"/>
        </w:rPr>
        <w:t> </w:t>
      </w:r>
      <w:r>
        <w:rPr>
          <w:color w:val="231F20"/>
        </w:rPr>
        <w:t>a</w:t>
      </w:r>
      <w:r>
        <w:rPr>
          <w:color w:val="231F20"/>
          <w:spacing w:val="45"/>
        </w:rPr>
        <w:t> </w:t>
      </w:r>
      <w:r>
        <w:rPr>
          <w:color w:val="231F20"/>
        </w:rPr>
        <w:t>decrease</w:t>
      </w:r>
      <w:r>
        <w:rPr>
          <w:color w:val="231F20"/>
          <w:spacing w:val="45"/>
        </w:rPr>
        <w:t> </w:t>
      </w:r>
      <w:r>
        <w:rPr>
          <w:color w:val="231F20"/>
        </w:rPr>
        <w:t>in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spoilage would have resulted in a decrease in revenue). Given that Member behavior will continue to develop as the program matures, the Company expects the current estimates may change in future periods. However, the Company believes its current estimates are reasonable given current facts and circumstances.</w:t>
      </w:r>
    </w:p>
    <w:p>
      <w:pPr>
        <w:pStyle w:val="BodyText"/>
        <w:spacing w:before="5"/>
      </w:pPr>
    </w:p>
    <w:p>
      <w:pPr>
        <w:pStyle w:val="Heading2"/>
        <w:rPr>
          <w:i/>
        </w:rPr>
      </w:pPr>
      <w:r>
        <w:rPr>
          <w:i/>
          <w:color w:val="231F20"/>
        </w:rPr>
        <w:t>Goodwill and other intangible assets</w:t>
      </w:r>
    </w:p>
    <w:p>
      <w:pPr>
        <w:pStyle w:val="BodyText"/>
        <w:spacing w:before="1"/>
        <w:rPr>
          <w:b/>
          <w:i/>
          <w:sz w:val="23"/>
        </w:rPr>
      </w:pPr>
    </w:p>
    <w:p>
      <w:pPr>
        <w:pStyle w:val="BodyText"/>
        <w:spacing w:line="247" w:lineRule="auto"/>
        <w:ind w:left="100" w:right="117" w:firstLine="720"/>
        <w:jc w:val="both"/>
      </w:pPr>
      <w:r>
        <w:rPr>
          <w:color w:val="231F20"/>
        </w:rPr>
        <w:t>As a result of the Company’s acquisition of AirTran on May 2, 2011, the Company has reflected Goodwill on its Consolidated Balance Sheet in the amount of $970 million at December 31, 2014, the excess of the consideration transferred over the fair value of AirTran’s assets and liabilities  on the acquisition date. In addition, the Company has recorded other intangible assets totaling approximately $363 million at December 31, 2014, primarily consisting of leasehold rights to airport gates, take-off and landing slots at certain domestic slot-controlled airports, and certain intangible assets recognized as part of the valuation of AirTran. All of the Company’s intangible assets, other  than goodwill and owned takeoff and landing slots at domestic airports, are finite-lived and are being amortized over their estimated economic useful lives. Goodwill is not amortized, but will continue to be tested for impairment at least annually, or more frequently if events or circumstances indicate that  an impairment may</w:t>
      </w:r>
      <w:r>
        <w:rPr>
          <w:color w:val="231F20"/>
          <w:spacing w:val="-1"/>
        </w:rPr>
        <w:t> </w:t>
      </w:r>
      <w:r>
        <w:rPr>
          <w:color w:val="231F20"/>
        </w:rPr>
        <w:t>exist.</w:t>
      </w:r>
    </w:p>
    <w:p>
      <w:pPr>
        <w:pStyle w:val="BodyText"/>
        <w:spacing w:before="5"/>
      </w:pPr>
    </w:p>
    <w:p>
      <w:pPr>
        <w:pStyle w:val="BodyText"/>
        <w:spacing w:line="247" w:lineRule="auto"/>
        <w:ind w:left="100" w:right="117" w:firstLine="720"/>
        <w:jc w:val="both"/>
      </w:pPr>
      <w:r>
        <w:rPr>
          <w:color w:val="231F20"/>
        </w:rPr>
        <w:t>The Company applies a fair value based impairment test to the carrying value of goodwill and indefinite-lived intangible assets on an annual basis (as of October 1) and, or more frequently if certain events or circumstances indicate that an impairment loss may have been incurred. The FASB standard “Testing Indefinite-Lived Intangible Assets for Impairment” gives companies the option to perform a qualitative assessment to determine whether it is more likely than not that an indefinite-lived intangible asset is impaired rather than calculating the fair value of the indefinite-lived intangible asset. The Company adopted this standard and has applied the provisions to our annual indefinite-lived intangible asset impairment test for 2014.</w:t>
      </w:r>
    </w:p>
    <w:p>
      <w:pPr>
        <w:pStyle w:val="BodyText"/>
        <w:spacing w:before="5"/>
      </w:pPr>
    </w:p>
    <w:p>
      <w:pPr>
        <w:pStyle w:val="BodyText"/>
        <w:spacing w:line="247" w:lineRule="auto"/>
        <w:ind w:left="100" w:right="117" w:firstLine="720"/>
        <w:jc w:val="both"/>
      </w:pPr>
      <w:r>
        <w:rPr>
          <w:color w:val="231F20"/>
        </w:rPr>
        <w:t>The Company first utilizes a qualitative approach and analyzes various factors to determine if events and circumstances have affected the fair value of the goodwill and indefinite-lived intangible assets. If the Company determines it is more likely than not that the asset value may be impaired, the Company then uses the quantitative approach to assess the asset’s fair value and amount of  impairment. As a result of the Company’s qualitative analyses performed during 2014 the Company concluded it was more likely than not that the fair values of its Goodwill and Indefinite-lived intangible assets was greater than the carrying value and; therefore, a quantitative assessment was not</w:t>
      </w:r>
      <w:r>
        <w:rPr>
          <w:color w:val="231F20"/>
          <w:spacing w:val="1"/>
        </w:rPr>
        <w:t> </w:t>
      </w:r>
      <w:r>
        <w:rPr>
          <w:color w:val="231F20"/>
        </w:rPr>
        <w:t>necessary.</w:t>
      </w:r>
    </w:p>
    <w:p>
      <w:pPr>
        <w:pStyle w:val="BodyText"/>
        <w:spacing w:before="5"/>
      </w:pPr>
    </w:p>
    <w:p>
      <w:pPr>
        <w:pStyle w:val="BodyText"/>
        <w:spacing w:line="247" w:lineRule="auto"/>
        <w:ind w:left="100" w:right="118" w:firstLine="720"/>
        <w:jc w:val="both"/>
      </w:pPr>
      <w:r>
        <w:rPr>
          <w:color w:val="231F20"/>
        </w:rPr>
        <w:t>In 2013 the Company made the determination that all of its owned domestic slots should be assigned an indefinite life and would thus not be subject to further amortization, including those that  are owned but leased to other carriers. Among other factors, this was due to the Company’s reassessment of the current size and importance of its operations at New York’s LaGuardia Airport and Washington’s Ronald Reagan National Airport versus when the Company first began service to these airports in recent years. The impact of this prospective change in accounting estimate had an insignificant impact on amortization expense for 2014. The Company has selected October 1st as its annual testing date for indefinite-lived intangible impairment. As part of this evaluation the Company assesses  whether  changes  in  (i)  macroeconomic  conditions;  (ii)  industry  and  market  </w:t>
      </w:r>
      <w:r>
        <w:rPr>
          <w:color w:val="231F20"/>
          <w:spacing w:val="54"/>
        </w:rPr>
        <w:t> </w:t>
      </w:r>
      <w:r>
        <w:rPr>
          <w:color w:val="231F20"/>
        </w:rPr>
        <w:t>conditions;</w:t>
      </w:r>
    </w:p>
    <w:p>
      <w:pPr>
        <w:pStyle w:val="ListParagraph"/>
        <w:numPr>
          <w:ilvl w:val="0"/>
          <w:numId w:val="11"/>
        </w:numPr>
        <w:tabs>
          <w:tab w:pos="514" w:val="left" w:leader="none"/>
        </w:tabs>
        <w:spacing w:line="247" w:lineRule="auto" w:before="0" w:after="0"/>
        <w:ind w:left="100" w:right="118" w:firstLine="0"/>
        <w:jc w:val="both"/>
        <w:rPr>
          <w:sz w:val="22"/>
        </w:rPr>
      </w:pPr>
      <w:r>
        <w:rPr>
          <w:color w:val="231F20"/>
          <w:sz w:val="22"/>
        </w:rPr>
        <w:t>cost factors; (iv) overall financial performance; and (v) Company-specific events, had occurred which would impact the use and/or fair value of these assets. The Company conducted an annual impairment test during fourth quarter 2014 and no impairment was</w:t>
      </w:r>
      <w:r>
        <w:rPr>
          <w:color w:val="231F20"/>
          <w:spacing w:val="-5"/>
          <w:sz w:val="22"/>
        </w:rPr>
        <w:t> </w:t>
      </w:r>
      <w:r>
        <w:rPr>
          <w:color w:val="231F20"/>
          <w:sz w:val="22"/>
        </w:rPr>
        <w:t>noted.</w:t>
      </w:r>
    </w:p>
    <w:p>
      <w:pPr>
        <w:spacing w:after="0" w:line="247" w:lineRule="auto"/>
        <w:jc w:val="both"/>
        <w:rPr>
          <w:sz w:val="22"/>
        </w:rPr>
        <w:sectPr>
          <w:pgSz w:w="11880" w:h="15480"/>
          <w:pgMar w:header="0" w:footer="1240" w:top="1240" w:bottom="1420" w:left="1280" w:right="1260"/>
        </w:sectPr>
      </w:pPr>
    </w:p>
    <w:p>
      <w:pPr>
        <w:pStyle w:val="BodyText"/>
        <w:spacing w:line="247" w:lineRule="auto" w:before="74"/>
        <w:ind w:left="100" w:right="117" w:firstLine="720"/>
        <w:jc w:val="both"/>
      </w:pPr>
      <w:r>
        <w:rPr>
          <w:color w:val="231F20"/>
        </w:rPr>
        <w:t>Future impairment of Goodwill and owned domestic slots may result from changes in assumptions, estimates, or circumstances, some of which are beyond the Company’s control. Factors which could result in an impairment of Goodwill, holding other assumptions constant, could include, but are not limited to: (i) reduced passenger demand as a result of domestic or global economic conditions; (ii) significantly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Factors which could result in an impairment of owned domestic slots, holding other assumptions constant, could include, but are not limited to: (i) increased competition in the slotted airport; (ii) a change in competition in the slotted airport; (iii) significantly higher prices for jet fuel; and (iv) increased competition at a nearby airport.</w:t>
      </w:r>
    </w:p>
    <w:p>
      <w:pPr>
        <w:pStyle w:val="BodyText"/>
        <w:spacing w:before="5"/>
      </w:pPr>
    </w:p>
    <w:p>
      <w:pPr>
        <w:pStyle w:val="Heading2"/>
        <w:tabs>
          <w:tab w:pos="2018" w:val="left" w:leader="none"/>
        </w:tabs>
        <w:ind w:left="100"/>
        <w:rPr>
          <w:i/>
        </w:rPr>
      </w:pPr>
      <w:bookmarkStart w:name="Item 7A. Quantitative and Qualitative Di" w:id="16"/>
      <w:bookmarkEnd w:id="16"/>
      <w:r>
        <w:rPr>
          <w:b w:val="0"/>
          <w:i w:val="0"/>
        </w:rPr>
      </w:r>
      <w:r>
        <w:rPr>
          <w:i w:val="0"/>
          <w:color w:val="231F20"/>
        </w:rPr>
        <w:t>Item 7A.</w:t>
        <w:tab/>
      </w:r>
      <w:r>
        <w:rPr>
          <w:i/>
          <w:color w:val="231F20"/>
        </w:rPr>
        <w:t>Quantitative and Qualitative Disclosures About Market</w:t>
      </w:r>
      <w:r>
        <w:rPr>
          <w:i/>
          <w:color w:val="231F20"/>
          <w:spacing w:val="-2"/>
        </w:rPr>
        <w:t> </w:t>
      </w:r>
      <w:r>
        <w:rPr>
          <w:i/>
          <w:color w:val="231F20"/>
        </w:rPr>
        <w:t>Risk</w:t>
      </w:r>
    </w:p>
    <w:p>
      <w:pPr>
        <w:pStyle w:val="BodyText"/>
        <w:spacing w:before="1"/>
        <w:rPr>
          <w:b/>
          <w:i/>
          <w:sz w:val="23"/>
        </w:rPr>
      </w:pPr>
    </w:p>
    <w:p>
      <w:pPr>
        <w:pStyle w:val="BodyText"/>
        <w:spacing w:line="247" w:lineRule="auto"/>
        <w:ind w:left="100" w:right="117" w:firstLine="720"/>
        <w:jc w:val="both"/>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 December 31, 2014, Southwest operated a total of 112 aircraft under operating and capital lease.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The Company also has 78 aircraft under operating and capital lease that have been subleased to another carrier, and thus had been removed from service as of December 31, 2014. Further information about this sublease arrangement and commitments related to leases are disclosed in Note 7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 instruments.</w:t>
      </w:r>
    </w:p>
    <w:p>
      <w:pPr>
        <w:pStyle w:val="BodyText"/>
        <w:spacing w:before="5"/>
      </w:pPr>
    </w:p>
    <w:p>
      <w:pPr>
        <w:pStyle w:val="Heading2"/>
        <w:ind w:left="100"/>
        <w:rPr>
          <w:i/>
        </w:rPr>
      </w:pPr>
      <w:r>
        <w:rPr>
          <w:i/>
          <w:color w:val="231F20"/>
        </w:rPr>
        <w:t>Hedging</w:t>
      </w:r>
    </w:p>
    <w:p>
      <w:pPr>
        <w:pStyle w:val="BodyText"/>
        <w:spacing w:before="1"/>
        <w:rPr>
          <w:b/>
          <w:i/>
          <w:sz w:val="23"/>
        </w:rPr>
      </w:pPr>
    </w:p>
    <w:p>
      <w:pPr>
        <w:pStyle w:val="BodyText"/>
        <w:spacing w:line="247" w:lineRule="auto"/>
        <w:ind w:left="100" w:right="117" w:firstLine="720"/>
        <w:jc w:val="both"/>
      </w:pPr>
      <w:r>
        <w:rPr>
          <w:color w:val="231F20"/>
        </w:rPr>
        <w:t>The Company purchases jet fuel at prevailing market prices, but seeks to manage market risk through execution of a documented hedging strategy. The Company utilizes financial derivative instruments, on both a short-term and a long-term basis, as a form of insurance against the potential for significant increases in fuel prices. The Company believes there can be significant risk in not hedging against the possibility of such fuel price increases, especially in energy markets in which prices are  high and/or rising. The Company expects to consume approximately 1.9 billion gallons of jet fuel in 2015. Based on this anticipated usage, a change in jet fuel prices of just one cent per gallon would impact the Company’s Fuel and oil expense by approximately $19 million for 2015, excluding any impact associated with fuel derivative instruments</w:t>
      </w:r>
      <w:r>
        <w:rPr>
          <w:color w:val="231F20"/>
          <w:spacing w:val="-1"/>
        </w:rPr>
        <w:t> </w:t>
      </w:r>
      <w:r>
        <w:rPr>
          <w:color w:val="231F20"/>
        </w:rPr>
        <w:t>held.</w:t>
      </w:r>
    </w:p>
    <w:p>
      <w:pPr>
        <w:pStyle w:val="BodyText"/>
        <w:spacing w:before="5"/>
      </w:pPr>
    </w:p>
    <w:p>
      <w:pPr>
        <w:pStyle w:val="BodyText"/>
        <w:spacing w:line="247" w:lineRule="auto"/>
        <w:ind w:left="100" w:right="117" w:firstLine="720"/>
        <w:jc w:val="both"/>
      </w:pPr>
      <w:r>
        <w:rPr>
          <w:color w:val="231F20"/>
        </w:rPr>
        <w:t>As of December 31, 2014, the Company held a net position of fuel derivative instruments that represented a hedge for a portion of its anticipated jet fuel purchases for each year from 2015 through 2018.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while considering the significant cost that can be associated with </w:t>
      </w:r>
      <w:r>
        <w:rPr>
          <w:color w:val="231F20"/>
          <w:spacing w:val="41"/>
        </w:rPr>
        <w:t> </w:t>
      </w:r>
      <w:r>
        <w:rPr>
          <w:color w:val="231F20"/>
        </w:rPr>
        <w:t>different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types of hedging strategies. The gross fair value of outstanding financial derivative instruments related to the Company’s jet fuel market price risk at December 31, 2014, was a net liability of $1.0 billion. In addition, $266 million in cash collateral deposits, $134 million in aircraft collateral, and $250 million  in letters of credit were provided by the Company in connection with these instruments based on their fair value as of December 31, 2014.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2014 (for all years from 2015 through 2018) prices would correspondingly change the fair value of the commodity derivative instruments in place by approximately $200 million. Fluctuations in the related commodity derivative instrument cash flows may change by more or less than this amount based upon further fluctuations in futures prices as well as related income tax effects. In addition, this does not consider changes in cash, aircraft, or letters of credit utilized as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2014 levels, except underlying futures</w:t>
      </w:r>
      <w:r>
        <w:rPr>
          <w:color w:val="231F20"/>
          <w:spacing w:val="-1"/>
        </w:rPr>
        <w:t> </w:t>
      </w:r>
      <w:r>
        <w:rPr>
          <w:color w:val="231F20"/>
        </w:rPr>
        <w:t>prices.</w:t>
      </w:r>
    </w:p>
    <w:p>
      <w:pPr>
        <w:pStyle w:val="BodyText"/>
        <w:spacing w:before="5"/>
      </w:pPr>
    </w:p>
    <w:p>
      <w:pPr>
        <w:pStyle w:val="BodyText"/>
        <w:spacing w:line="247" w:lineRule="auto"/>
        <w:ind w:left="100" w:right="117" w:firstLine="720"/>
        <w:jc w:val="both"/>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 December 31, 2014, the Company had no counterparties in which the derivatives held were a net asset.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2014, the Company had agreements with all of its 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 letters of credit, and/or pledged aircraft are required to be posted whenever the net fair value of derivatives associated with those counterparties exceeds specific thresholds - cash is either posted by the counterparty if the value of derivatives is an asset to the Company, or cash, letters of credit, and/or aircraft could be posted as collateral by the Company if the value of derivatives is a liability to the Company. Refer to the counterparty credit risk and collateral table provided in Note 10  to the Consolidated Financial Statements for the fair values of fuel derivatives, amounts posted as collateral, and applicable collateral posting threshold amounts as of December 31, 2014, at which such postings are triggered.</w:t>
      </w:r>
    </w:p>
    <w:p>
      <w:pPr>
        <w:pStyle w:val="BodyText"/>
        <w:spacing w:before="5"/>
      </w:pPr>
    </w:p>
    <w:p>
      <w:pPr>
        <w:pStyle w:val="BodyText"/>
        <w:spacing w:line="247" w:lineRule="auto"/>
        <w:ind w:left="100" w:right="117" w:firstLine="720"/>
        <w:jc w:val="both"/>
      </w:pPr>
      <w:r>
        <w:rPr>
          <w:color w:val="231F20"/>
        </w:rPr>
        <w:t>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 25 percent from market prices as of December 31, 2014, given the Company’s fuel derivative portfolio, its aircraft collateral facilities, and its investment grade credit rating, it would likely provide an additional $141 million in cash collateral, post</w:t>
      </w:r>
      <w:r>
        <w:rPr>
          <w:color w:val="231F20"/>
          <w:spacing w:val="31"/>
        </w:rPr>
        <w:t> </w:t>
      </w:r>
      <w:r>
        <w:rPr>
          <w:color w:val="231F20"/>
        </w:rPr>
        <w:t>an</w:t>
      </w:r>
      <w:r>
        <w:rPr>
          <w:color w:val="231F20"/>
          <w:spacing w:val="31"/>
        </w:rPr>
        <w:t> </w:t>
      </w:r>
      <w:r>
        <w:rPr>
          <w:color w:val="231F20"/>
        </w:rPr>
        <w:t>additional</w:t>
      </w:r>
      <w:r>
        <w:rPr>
          <w:color w:val="231F20"/>
          <w:spacing w:val="31"/>
        </w:rPr>
        <w:t> </w:t>
      </w:r>
      <w:r>
        <w:rPr>
          <w:color w:val="231F20"/>
        </w:rPr>
        <w:t>$319</w:t>
      </w:r>
      <w:r>
        <w:rPr>
          <w:color w:val="231F20"/>
          <w:spacing w:val="31"/>
        </w:rPr>
        <w:t> </w:t>
      </w:r>
      <w:r>
        <w:rPr>
          <w:color w:val="231F20"/>
        </w:rPr>
        <w:t>million</w:t>
      </w:r>
      <w:r>
        <w:rPr>
          <w:color w:val="231F20"/>
          <w:spacing w:val="29"/>
        </w:rPr>
        <w:t> </w:t>
      </w:r>
      <w:r>
        <w:rPr>
          <w:color w:val="231F20"/>
        </w:rPr>
        <w:t>in</w:t>
      </w:r>
      <w:r>
        <w:rPr>
          <w:color w:val="231F20"/>
          <w:spacing w:val="29"/>
        </w:rPr>
        <w:t> </w:t>
      </w:r>
      <w:r>
        <w:rPr>
          <w:color w:val="231F20"/>
        </w:rPr>
        <w:t>aircraft</w:t>
      </w:r>
      <w:r>
        <w:rPr>
          <w:color w:val="231F20"/>
          <w:spacing w:val="29"/>
        </w:rPr>
        <w:t> </w:t>
      </w:r>
      <w:r>
        <w:rPr>
          <w:color w:val="231F20"/>
        </w:rPr>
        <w:t>collateral,</w:t>
      </w:r>
      <w:r>
        <w:rPr>
          <w:color w:val="231F20"/>
          <w:spacing w:val="30"/>
        </w:rPr>
        <w:t> </w:t>
      </w:r>
      <w:r>
        <w:rPr>
          <w:color w:val="231F20"/>
        </w:rPr>
        <w:t>and</w:t>
      </w:r>
      <w:r>
        <w:rPr>
          <w:color w:val="231F20"/>
          <w:spacing w:val="30"/>
        </w:rPr>
        <w:t> </w:t>
      </w:r>
      <w:r>
        <w:rPr>
          <w:color w:val="231F20"/>
        </w:rPr>
        <w:t>post</w:t>
      </w:r>
      <w:r>
        <w:rPr>
          <w:color w:val="231F20"/>
          <w:spacing w:val="30"/>
        </w:rPr>
        <w:t> </w:t>
      </w:r>
      <w:r>
        <w:rPr>
          <w:color w:val="231F20"/>
        </w:rPr>
        <w:t>no</w:t>
      </w:r>
      <w:r>
        <w:rPr>
          <w:color w:val="231F20"/>
          <w:spacing w:val="30"/>
        </w:rPr>
        <w:t> </w:t>
      </w:r>
      <w:r>
        <w:rPr>
          <w:color w:val="231F20"/>
        </w:rPr>
        <w:t>additional</w:t>
      </w:r>
      <w:r>
        <w:rPr>
          <w:color w:val="231F20"/>
          <w:spacing w:val="30"/>
        </w:rPr>
        <w:t> </w:t>
      </w:r>
      <w:r>
        <w:rPr>
          <w:color w:val="231F20"/>
        </w:rPr>
        <w:t>letters</w:t>
      </w:r>
      <w:r>
        <w:rPr>
          <w:color w:val="231F20"/>
          <w:spacing w:val="30"/>
        </w:rPr>
        <w:t> </w:t>
      </w:r>
      <w:r>
        <w:rPr>
          <w:color w:val="231F20"/>
        </w:rPr>
        <w:t>of</w:t>
      </w:r>
      <w:r>
        <w:rPr>
          <w:color w:val="231F20"/>
          <w:spacing w:val="29"/>
        </w:rPr>
        <w:t> </w:t>
      </w:r>
      <w:r>
        <w:rPr>
          <w:color w:val="231F20"/>
        </w:rPr>
        <w:t>credit</w:t>
      </w:r>
      <w:r>
        <w:rPr>
          <w:color w:val="231F20"/>
          <w:spacing w:val="30"/>
        </w:rPr>
        <w:t> </w:t>
      </w:r>
      <w:r>
        <w:rPr>
          <w:color w:val="231F20"/>
        </w:rPr>
        <w:t>against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these positions with its current counterparties. However, as it has done in fourth quarter 2014, and expects to continue doing in first quarter 2015, the Company would expect to also benefit from lower market prices paid for fuel used in its operations. Also, the Company has the ability to manage or reduce its derivative positions by entering into offsetting positions, as it did during fourth quarter 2014, for a portion of its future hedge portfolio.</w:t>
      </w:r>
    </w:p>
    <w:p>
      <w:pPr>
        <w:pStyle w:val="BodyText"/>
        <w:spacing w:before="5"/>
      </w:pPr>
    </w:p>
    <w:p>
      <w:pPr>
        <w:pStyle w:val="BodyText"/>
        <w:spacing w:line="247" w:lineRule="auto"/>
        <w:ind w:left="100" w:right="117" w:firstLine="720"/>
        <w:jc w:val="both"/>
      </w:pPr>
      <w:r>
        <w:rPr>
          <w:color w:val="231F20"/>
        </w:rPr>
        <w:t>The Company is also subject to the risk that the fuel derivatives it uses to hedge against fuel price volatility do not provide adequate protection. A portion of the fuel derivatives in the Company’s hedge portfolio are based on the market price of West Texas intermediate crude oil (“WTI”). The Company can no longer demonstrate that derivatives based on WTI crude oil prices will result in effective hedges on a prospective basis. As such, the change in fair value of all of the Company’s derivatives based in WTI are recorded directly to earnings. In recent years, jet fuel prices have been more closely correlated with changes in the price of Brent crude oil (“Brent”). The Company has attempted to mitigate some of this risk by entering into more fuel hedges based on Brent crude. Although the Company has some fuel derivatives based on the price of Brent, to the extent the Company holds WTI-based derivatives, changes in the fair value of these positions will continue to create income statement volatility and may not provide complete protection against jet fuel price volatility. In addition, to add further protection, the Company may periodically enter into jet fuel derivatives for short-term timeframes. Jet fuel is not widely traded on an organized futures exchange and, therefore, there are limited opportunities to hedge directly in jet fuel for time horizons longer than approximately 24 months into the future.</w:t>
      </w:r>
    </w:p>
    <w:p>
      <w:pPr>
        <w:pStyle w:val="BodyText"/>
        <w:spacing w:before="5"/>
      </w:pPr>
    </w:p>
    <w:p>
      <w:pPr>
        <w:pStyle w:val="BodyText"/>
        <w:spacing w:line="247" w:lineRule="auto"/>
        <w:ind w:left="100" w:right="117" w:firstLine="720"/>
        <w:jc w:val="both"/>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2014, no cash collateral deposits were provided by or held by the Company based on its outstanding interest rate swap</w:t>
      </w:r>
      <w:r>
        <w:rPr>
          <w:color w:val="231F20"/>
          <w:spacing w:val="1"/>
        </w:rPr>
        <w:t> </w:t>
      </w:r>
      <w:r>
        <w:rPr>
          <w:color w:val="231F20"/>
        </w:rPr>
        <w:t>agreements.</w:t>
      </w:r>
    </w:p>
    <w:p>
      <w:pPr>
        <w:pStyle w:val="BodyText"/>
        <w:spacing w:before="5"/>
      </w:pPr>
    </w:p>
    <w:p>
      <w:pPr>
        <w:pStyle w:val="BodyText"/>
        <w:spacing w:line="247" w:lineRule="auto"/>
        <w:ind w:left="100" w:right="117" w:firstLine="720"/>
        <w:jc w:val="both"/>
      </w:pPr>
      <w:r>
        <w:rPr>
          <w:color w:val="231F20"/>
        </w:rPr>
        <w:t>Due to the significance of the Company’s fuel hedging program and the emphasis that the Company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 (iii) provide for proper segregation of duties; (iv)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 program.</w:t>
      </w:r>
    </w:p>
    <w:p>
      <w:pPr>
        <w:pStyle w:val="BodyText"/>
        <w:spacing w:before="5"/>
      </w:pPr>
    </w:p>
    <w:p>
      <w:pPr>
        <w:pStyle w:val="Heading2"/>
        <w:rPr>
          <w:i/>
        </w:rPr>
      </w:pPr>
      <w:r>
        <w:rPr>
          <w:i/>
          <w:color w:val="231F20"/>
        </w:rPr>
        <w:t>Financial market risk</w:t>
      </w:r>
    </w:p>
    <w:p>
      <w:pPr>
        <w:pStyle w:val="BodyText"/>
        <w:rPr>
          <w:b/>
          <w:i/>
          <w:sz w:val="23"/>
        </w:rPr>
      </w:pPr>
    </w:p>
    <w:p>
      <w:pPr>
        <w:pStyle w:val="BodyText"/>
        <w:spacing w:line="247" w:lineRule="auto" w:before="1"/>
        <w:ind w:left="100" w:right="117" w:firstLine="720"/>
        <w:jc w:val="both"/>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 rating with Fitch, a “BBB   ” rating with Standard &amp;   Poor’s, and a “Baa2” credit rating with Moody’s as of December 31, 2014, all of which are considered “investment grade.” The Company’s French Credit Agreements due 2018 do not give rise to</w:t>
      </w:r>
      <w:r>
        <w:rPr>
          <w:color w:val="231F20"/>
          <w:spacing w:val="3"/>
        </w:rPr>
        <w:t> </w:t>
      </w:r>
      <w:r>
        <w:rPr>
          <w:color w:val="231F20"/>
        </w:rPr>
        <w:t>significant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an interest rate swap agreement. Although there is interest rate risk associated with these floating rate borrowings, the risk of the French Credit Agreements due 2018 is somewhat mitigated by the fact that the Company may prepay this debt under certain conditions. See Note 6 to the Consolidated Financial Statements for more information on the material terms of the Company’s short-term and long-term debt.</w:t>
      </w:r>
    </w:p>
    <w:p>
      <w:pPr>
        <w:pStyle w:val="BodyText"/>
        <w:spacing w:line="247" w:lineRule="auto" w:before="203"/>
        <w:ind w:left="100" w:right="117" w:firstLine="720"/>
        <w:jc w:val="both"/>
      </w:pPr>
      <w:r>
        <w:rPr>
          <w:color w:val="231F20"/>
        </w:rPr>
        <w:t>As of December 31, 2014, excluding the notes or debentures that have been converted to a floating rate, the Company’s fixed-rate senior unsecured notes outstanding included its $300 million 5.125% senior unsecured notes due 2017 and its $100 million 7.375% senior unsecured notes due  2027. Each of these notes had previously been converted to floating rates, but in 2011 and 2012 the Company terminated the fixed-to-floating interest rate swap agreements related to them. The effect of these terminations was that the interest associated with these debts prospectively reverted back to their original fixed rates. As a result of the gains realized on these transactions, which are being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Company believes the fixed interest rates associated with each of these notes are comparable to average rates prevailing for similar debt instruments over the last ten years. The following table displays the characteristics of the Company’s secured fixed rate debt as of December 31, 2014:</w:t>
      </w:r>
    </w:p>
    <w:p>
      <w:pPr>
        <w:spacing w:line="201" w:lineRule="exact" w:before="162"/>
        <w:ind w:left="2578" w:right="0" w:firstLine="0"/>
        <w:jc w:val="left"/>
        <w:rPr>
          <w:b/>
          <w:sz w:val="20"/>
        </w:rPr>
      </w:pPr>
      <w:r>
        <w:rPr>
          <w:b/>
          <w:color w:val="231F20"/>
          <w:sz w:val="20"/>
        </w:rPr>
        <w:t>Principal</w:t>
      </w:r>
    </w:p>
    <w:p>
      <w:pPr>
        <w:spacing w:after="0" w:line="201" w:lineRule="exact"/>
        <w:jc w:val="left"/>
        <w:rPr>
          <w:sz w:val="20"/>
        </w:rPr>
        <w:sectPr>
          <w:pgSz w:w="11880" w:h="15480"/>
          <w:pgMar w:header="0" w:footer="1240" w:top="1240" w:bottom="1420" w:left="1280" w:right="1260"/>
        </w:sectPr>
      </w:pPr>
    </w:p>
    <w:p>
      <w:pPr>
        <w:spacing w:line="229" w:lineRule="exact" w:before="0"/>
        <w:ind w:left="0" w:right="0" w:firstLine="0"/>
        <w:jc w:val="right"/>
        <w:rPr>
          <w:b/>
          <w:sz w:val="20"/>
        </w:rPr>
      </w:pPr>
      <w:r>
        <w:rPr/>
        <w:pict>
          <v:shape style="position:absolute;margin-left:69pt;margin-top:9.982367pt;width:456pt;height:58.3pt;mso-position-horizontal-relative:page;mso-position-vertical-relative:paragraph;z-index:30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73"/>
                    <w:gridCol w:w="1200"/>
                    <w:gridCol w:w="120"/>
                    <w:gridCol w:w="1058"/>
                    <w:gridCol w:w="320"/>
                    <w:gridCol w:w="1000"/>
                    <w:gridCol w:w="120"/>
                    <w:gridCol w:w="3029"/>
                  </w:tblGrid>
                  <w:tr>
                    <w:trPr>
                      <w:trHeight w:val="256" w:hRule="exact"/>
                    </w:trPr>
                    <w:tc>
                      <w:tcPr>
                        <w:tcW w:w="2273" w:type="dxa"/>
                      </w:tcPr>
                      <w:p>
                        <w:pPr/>
                      </w:p>
                    </w:tc>
                    <w:tc>
                      <w:tcPr>
                        <w:tcW w:w="1200" w:type="dxa"/>
                        <w:tcBorders>
                          <w:bottom w:val="single" w:sz="8" w:space="0" w:color="231F20"/>
                        </w:tcBorders>
                      </w:tcPr>
                      <w:p>
                        <w:pPr>
                          <w:pStyle w:val="TableParagraph"/>
                          <w:spacing w:line="229" w:lineRule="exact" w:before="0"/>
                          <w:ind w:left="83"/>
                          <w:rPr>
                            <w:b/>
                            <w:sz w:val="20"/>
                          </w:rPr>
                        </w:pPr>
                        <w:r>
                          <w:rPr>
                            <w:b/>
                            <w:color w:val="231F20"/>
                            <w:sz w:val="20"/>
                          </w:rPr>
                          <w:t>(in millions)</w:t>
                        </w:r>
                      </w:p>
                    </w:tc>
                    <w:tc>
                      <w:tcPr>
                        <w:tcW w:w="120" w:type="dxa"/>
                      </w:tcPr>
                      <w:p>
                        <w:pPr/>
                      </w:p>
                    </w:tc>
                    <w:tc>
                      <w:tcPr>
                        <w:tcW w:w="1058" w:type="dxa"/>
                        <w:tcBorders>
                          <w:bottom w:val="single" w:sz="8" w:space="0" w:color="231F20"/>
                        </w:tcBorders>
                      </w:tcPr>
                      <w:p>
                        <w:pPr>
                          <w:pStyle w:val="TableParagraph"/>
                          <w:spacing w:line="229" w:lineRule="exact" w:before="0"/>
                          <w:ind w:left="119"/>
                          <w:rPr>
                            <w:b/>
                            <w:sz w:val="20"/>
                          </w:rPr>
                        </w:pPr>
                        <w:r>
                          <w:rPr>
                            <w:b/>
                            <w:color w:val="231F20"/>
                            <w:sz w:val="20"/>
                          </w:rPr>
                          <w:t>fixed rate</w:t>
                        </w:r>
                      </w:p>
                    </w:tc>
                    <w:tc>
                      <w:tcPr>
                        <w:tcW w:w="320" w:type="dxa"/>
                      </w:tcPr>
                      <w:p>
                        <w:pPr/>
                      </w:p>
                    </w:tc>
                    <w:tc>
                      <w:tcPr>
                        <w:tcW w:w="1000" w:type="dxa"/>
                        <w:tcBorders>
                          <w:bottom w:val="single" w:sz="8" w:space="0" w:color="231F20"/>
                        </w:tcBorders>
                      </w:tcPr>
                      <w:p>
                        <w:pPr>
                          <w:pStyle w:val="TableParagraph"/>
                          <w:spacing w:line="229" w:lineRule="exact" w:before="0"/>
                          <w:ind w:left="120"/>
                          <w:rPr>
                            <w:b/>
                            <w:sz w:val="20"/>
                          </w:rPr>
                        </w:pPr>
                        <w:r>
                          <w:rPr>
                            <w:b/>
                            <w:color w:val="231F20"/>
                            <w:sz w:val="20"/>
                          </w:rPr>
                          <w:t>maturity</w:t>
                        </w:r>
                      </w:p>
                    </w:tc>
                    <w:tc>
                      <w:tcPr>
                        <w:tcW w:w="120" w:type="dxa"/>
                      </w:tcPr>
                      <w:p>
                        <w:pPr/>
                      </w:p>
                    </w:tc>
                    <w:tc>
                      <w:tcPr>
                        <w:tcW w:w="3029" w:type="dxa"/>
                        <w:tcBorders>
                          <w:bottom w:val="single" w:sz="8" w:space="0" w:color="231F20"/>
                        </w:tcBorders>
                      </w:tcPr>
                      <w:p>
                        <w:pPr>
                          <w:pStyle w:val="TableParagraph"/>
                          <w:spacing w:line="229" w:lineRule="exact" w:before="0"/>
                          <w:ind w:left="565"/>
                          <w:rPr>
                            <w:b/>
                            <w:sz w:val="20"/>
                          </w:rPr>
                        </w:pPr>
                        <w:r>
                          <w:rPr>
                            <w:b/>
                            <w:color w:val="231F20"/>
                            <w:sz w:val="20"/>
                          </w:rPr>
                          <w:t>Underlying collateral</w:t>
                        </w:r>
                      </w:p>
                    </w:tc>
                  </w:tr>
                  <w:tr>
                    <w:trPr>
                      <w:trHeight w:val="310" w:hRule="exact"/>
                    </w:trPr>
                    <w:tc>
                      <w:tcPr>
                        <w:tcW w:w="2273" w:type="dxa"/>
                        <w:shd w:val="clear" w:color="auto" w:fill="CCECFC"/>
                      </w:tcPr>
                      <w:p>
                        <w:pPr>
                          <w:pStyle w:val="TableParagraph"/>
                          <w:ind w:left="60"/>
                          <w:rPr>
                            <w:sz w:val="20"/>
                          </w:rPr>
                        </w:pPr>
                        <w:r>
                          <w:rPr>
                            <w:color w:val="231F20"/>
                            <w:sz w:val="20"/>
                          </w:rPr>
                          <w:t>Term Loan Agreement</w:t>
                        </w:r>
                      </w:p>
                    </w:tc>
                    <w:tc>
                      <w:tcPr>
                        <w:tcW w:w="1200" w:type="dxa"/>
                        <w:tcBorders>
                          <w:top w:val="single" w:sz="8" w:space="0" w:color="231F20"/>
                        </w:tcBorders>
                        <w:shd w:val="clear" w:color="auto" w:fill="CCECFC"/>
                      </w:tcPr>
                      <w:p>
                        <w:pPr>
                          <w:pStyle w:val="TableParagraph"/>
                          <w:tabs>
                            <w:tab w:pos="899" w:val="left" w:leader="none"/>
                          </w:tabs>
                          <w:jc w:val="right"/>
                          <w:rPr>
                            <w:sz w:val="20"/>
                          </w:rPr>
                        </w:pPr>
                        <w:r>
                          <w:rPr>
                            <w:color w:val="231F20"/>
                            <w:sz w:val="20"/>
                          </w:rPr>
                          <w:t>$</w:t>
                          <w:tab/>
                          <w:t>178</w:t>
                        </w:r>
                      </w:p>
                    </w:tc>
                    <w:tc>
                      <w:tcPr>
                        <w:tcW w:w="120" w:type="dxa"/>
                        <w:shd w:val="clear" w:color="auto" w:fill="CCECFC"/>
                      </w:tcPr>
                      <w:p>
                        <w:pPr/>
                      </w:p>
                    </w:tc>
                    <w:tc>
                      <w:tcPr>
                        <w:tcW w:w="1058" w:type="dxa"/>
                        <w:tcBorders>
                          <w:top w:val="single" w:sz="8" w:space="0" w:color="231F20"/>
                        </w:tcBorders>
                        <w:shd w:val="clear" w:color="auto" w:fill="CCECFC"/>
                      </w:tcPr>
                      <w:p>
                        <w:pPr>
                          <w:pStyle w:val="TableParagraph"/>
                          <w:jc w:val="right"/>
                          <w:rPr>
                            <w:sz w:val="20"/>
                          </w:rPr>
                        </w:pPr>
                        <w:r>
                          <w:rPr>
                            <w:color w:val="231F20"/>
                            <w:sz w:val="20"/>
                          </w:rPr>
                          <w:t>6.315%</w:t>
                        </w:r>
                      </w:p>
                    </w:tc>
                    <w:tc>
                      <w:tcPr>
                        <w:tcW w:w="320" w:type="dxa"/>
                        <w:shd w:val="clear" w:color="auto" w:fill="CCECFC"/>
                      </w:tcPr>
                      <w:p>
                        <w:pPr/>
                      </w:p>
                    </w:tc>
                    <w:tc>
                      <w:tcPr>
                        <w:tcW w:w="1000" w:type="dxa"/>
                        <w:tcBorders>
                          <w:top w:val="single" w:sz="8" w:space="0" w:color="231F20"/>
                        </w:tcBorders>
                        <w:shd w:val="clear" w:color="auto" w:fill="CCECFC"/>
                      </w:tcPr>
                      <w:p>
                        <w:pPr>
                          <w:pStyle w:val="TableParagraph"/>
                          <w:jc w:val="right"/>
                          <w:rPr>
                            <w:sz w:val="20"/>
                          </w:rPr>
                        </w:pPr>
                        <w:r>
                          <w:rPr>
                            <w:color w:val="231F20"/>
                            <w:sz w:val="20"/>
                          </w:rPr>
                          <w:t>5/6/2019</w:t>
                        </w:r>
                      </w:p>
                    </w:tc>
                    <w:tc>
                      <w:tcPr>
                        <w:tcW w:w="120" w:type="dxa"/>
                        <w:shd w:val="clear" w:color="auto" w:fill="CCECFC"/>
                      </w:tcPr>
                      <w:p>
                        <w:pPr/>
                      </w:p>
                    </w:tc>
                    <w:tc>
                      <w:tcPr>
                        <w:tcW w:w="3029" w:type="dxa"/>
                        <w:tcBorders>
                          <w:top w:val="single" w:sz="8" w:space="0" w:color="231F20"/>
                        </w:tcBorders>
                        <w:shd w:val="clear" w:color="auto" w:fill="CCECFC"/>
                      </w:tcPr>
                      <w:p>
                        <w:pPr>
                          <w:pStyle w:val="TableParagraph"/>
                          <w:ind w:right="80"/>
                          <w:jc w:val="right"/>
                          <w:rPr>
                            <w:sz w:val="20"/>
                          </w:rPr>
                        </w:pPr>
                        <w:r>
                          <w:rPr>
                            <w:color w:val="231F20"/>
                            <w:sz w:val="20"/>
                          </w:rPr>
                          <w:t>14 specified Boeing 737-700 aircraft</w:t>
                        </w:r>
                      </w:p>
                    </w:tc>
                  </w:tr>
                  <w:tr>
                    <w:trPr>
                      <w:trHeight w:val="300" w:hRule="exact"/>
                    </w:trPr>
                    <w:tc>
                      <w:tcPr>
                        <w:tcW w:w="2273" w:type="dxa"/>
                      </w:tcPr>
                      <w:p>
                        <w:pPr>
                          <w:pStyle w:val="TableParagraph"/>
                          <w:ind w:left="60"/>
                          <w:rPr>
                            <w:sz w:val="20"/>
                          </w:rPr>
                        </w:pPr>
                        <w:r>
                          <w:rPr>
                            <w:color w:val="231F20"/>
                            <w:sz w:val="20"/>
                          </w:rPr>
                          <w:t>Term Loan Agreement</w:t>
                        </w:r>
                      </w:p>
                    </w:tc>
                    <w:tc>
                      <w:tcPr>
                        <w:tcW w:w="1200" w:type="dxa"/>
                      </w:tcPr>
                      <w:p>
                        <w:pPr>
                          <w:pStyle w:val="TableParagraph"/>
                          <w:jc w:val="right"/>
                          <w:rPr>
                            <w:sz w:val="20"/>
                          </w:rPr>
                        </w:pPr>
                        <w:r>
                          <w:rPr>
                            <w:color w:val="231F20"/>
                            <w:sz w:val="20"/>
                          </w:rPr>
                          <w:t>73</w:t>
                        </w:r>
                      </w:p>
                    </w:tc>
                    <w:tc>
                      <w:tcPr>
                        <w:tcW w:w="120" w:type="dxa"/>
                      </w:tcPr>
                      <w:p>
                        <w:pPr/>
                      </w:p>
                    </w:tc>
                    <w:tc>
                      <w:tcPr>
                        <w:tcW w:w="1058" w:type="dxa"/>
                      </w:tcPr>
                      <w:p>
                        <w:pPr>
                          <w:pStyle w:val="TableParagraph"/>
                          <w:jc w:val="right"/>
                          <w:rPr>
                            <w:sz w:val="20"/>
                          </w:rPr>
                        </w:pPr>
                        <w:r>
                          <w:rPr>
                            <w:color w:val="231F20"/>
                            <w:sz w:val="20"/>
                          </w:rPr>
                          <w:t>6.84%</w:t>
                        </w:r>
                      </w:p>
                    </w:tc>
                    <w:tc>
                      <w:tcPr>
                        <w:tcW w:w="320" w:type="dxa"/>
                      </w:tcPr>
                      <w:p>
                        <w:pPr/>
                      </w:p>
                    </w:tc>
                    <w:tc>
                      <w:tcPr>
                        <w:tcW w:w="1000" w:type="dxa"/>
                      </w:tcPr>
                      <w:p>
                        <w:pPr>
                          <w:pStyle w:val="TableParagraph"/>
                          <w:jc w:val="right"/>
                          <w:rPr>
                            <w:sz w:val="20"/>
                          </w:rPr>
                        </w:pPr>
                        <w:r>
                          <w:rPr>
                            <w:color w:val="231F20"/>
                            <w:sz w:val="20"/>
                          </w:rPr>
                          <w:t>7/1/2019</w:t>
                        </w:r>
                      </w:p>
                    </w:tc>
                    <w:tc>
                      <w:tcPr>
                        <w:tcW w:w="120" w:type="dxa"/>
                      </w:tcPr>
                      <w:p>
                        <w:pPr/>
                      </w:p>
                    </w:tc>
                    <w:tc>
                      <w:tcPr>
                        <w:tcW w:w="3029" w:type="dxa"/>
                      </w:tcPr>
                      <w:p>
                        <w:pPr>
                          <w:pStyle w:val="TableParagraph"/>
                          <w:ind w:right="80"/>
                          <w:jc w:val="right"/>
                          <w:rPr>
                            <w:sz w:val="20"/>
                          </w:rPr>
                        </w:pPr>
                        <w:r>
                          <w:rPr>
                            <w:color w:val="231F20"/>
                            <w:sz w:val="20"/>
                          </w:rPr>
                          <w:t>5 specified Boeing 737-700 aircraft</w:t>
                        </w:r>
                      </w:p>
                    </w:tc>
                  </w:tr>
                  <w:tr>
                    <w:trPr>
                      <w:trHeight w:val="300" w:hRule="exact"/>
                    </w:trPr>
                    <w:tc>
                      <w:tcPr>
                        <w:tcW w:w="2273" w:type="dxa"/>
                        <w:shd w:val="clear" w:color="auto" w:fill="CCECFC"/>
                      </w:tcPr>
                      <w:p>
                        <w:pPr>
                          <w:pStyle w:val="TableParagraph"/>
                          <w:ind w:left="60"/>
                          <w:rPr>
                            <w:sz w:val="20"/>
                          </w:rPr>
                        </w:pPr>
                        <w:r>
                          <w:rPr>
                            <w:color w:val="231F20"/>
                            <w:sz w:val="20"/>
                          </w:rPr>
                          <w:t>Term Loan Agreement</w:t>
                        </w:r>
                      </w:p>
                    </w:tc>
                    <w:tc>
                      <w:tcPr>
                        <w:tcW w:w="1200" w:type="dxa"/>
                        <w:shd w:val="clear" w:color="auto" w:fill="CCECFC"/>
                      </w:tcPr>
                      <w:p>
                        <w:pPr>
                          <w:pStyle w:val="TableParagraph"/>
                          <w:jc w:val="right"/>
                          <w:rPr>
                            <w:sz w:val="20"/>
                          </w:rPr>
                        </w:pPr>
                        <w:r>
                          <w:rPr>
                            <w:color w:val="231F20"/>
                            <w:sz w:val="20"/>
                          </w:rPr>
                          <w:t>372</w:t>
                        </w:r>
                      </w:p>
                    </w:tc>
                    <w:tc>
                      <w:tcPr>
                        <w:tcW w:w="120" w:type="dxa"/>
                        <w:shd w:val="clear" w:color="auto" w:fill="CCECFC"/>
                      </w:tcPr>
                      <w:p>
                        <w:pPr/>
                      </w:p>
                    </w:tc>
                    <w:tc>
                      <w:tcPr>
                        <w:tcW w:w="1058" w:type="dxa"/>
                        <w:shd w:val="clear" w:color="auto" w:fill="CCECFC"/>
                      </w:tcPr>
                      <w:p>
                        <w:pPr>
                          <w:pStyle w:val="TableParagraph"/>
                          <w:jc w:val="right"/>
                          <w:rPr>
                            <w:sz w:val="20"/>
                          </w:rPr>
                        </w:pPr>
                        <w:r>
                          <w:rPr>
                            <w:color w:val="231F20"/>
                            <w:sz w:val="20"/>
                          </w:rPr>
                          <w:t>5.223%</w:t>
                        </w:r>
                      </w:p>
                    </w:tc>
                    <w:tc>
                      <w:tcPr>
                        <w:tcW w:w="320" w:type="dxa"/>
                        <w:shd w:val="clear" w:color="auto" w:fill="CCECFC"/>
                      </w:tcPr>
                      <w:p>
                        <w:pPr/>
                      </w:p>
                    </w:tc>
                    <w:tc>
                      <w:tcPr>
                        <w:tcW w:w="1000" w:type="dxa"/>
                        <w:shd w:val="clear" w:color="auto" w:fill="CCECFC"/>
                      </w:tcPr>
                      <w:p>
                        <w:pPr>
                          <w:pStyle w:val="TableParagraph"/>
                          <w:jc w:val="right"/>
                          <w:rPr>
                            <w:sz w:val="20"/>
                          </w:rPr>
                        </w:pPr>
                        <w:r>
                          <w:rPr>
                            <w:color w:val="231F20"/>
                            <w:sz w:val="20"/>
                          </w:rPr>
                          <w:t>5/9/2020</w:t>
                        </w:r>
                      </w:p>
                    </w:tc>
                    <w:tc>
                      <w:tcPr>
                        <w:tcW w:w="120" w:type="dxa"/>
                        <w:shd w:val="clear" w:color="auto" w:fill="CCECFC"/>
                      </w:tcPr>
                      <w:p>
                        <w:pPr/>
                      </w:p>
                    </w:tc>
                    <w:tc>
                      <w:tcPr>
                        <w:tcW w:w="3029" w:type="dxa"/>
                        <w:shd w:val="clear" w:color="auto" w:fill="CCECFC"/>
                      </w:tcPr>
                      <w:p>
                        <w:pPr>
                          <w:pStyle w:val="TableParagraph"/>
                          <w:ind w:right="80"/>
                          <w:jc w:val="right"/>
                          <w:rPr>
                            <w:sz w:val="20"/>
                          </w:rPr>
                        </w:pPr>
                        <w:r>
                          <w:rPr>
                            <w:color w:val="231F20"/>
                            <w:sz w:val="20"/>
                          </w:rPr>
                          <w:t>21 specified Boeing 737-700 aircraft</w:t>
                        </w:r>
                      </w:p>
                    </w:tc>
                  </w:tr>
                </w:tbl>
                <w:p>
                  <w:pPr>
                    <w:pStyle w:val="BodyText"/>
                  </w:pPr>
                </w:p>
              </w:txbxContent>
            </v:textbox>
            <w10:wrap type="none"/>
          </v:shape>
        </w:pict>
      </w:r>
      <w:r>
        <w:rPr>
          <w:b/>
          <w:color w:val="231F20"/>
          <w:sz w:val="20"/>
        </w:rPr>
        <w:t>amount</w:t>
      </w:r>
    </w:p>
    <w:p>
      <w:pPr>
        <w:spacing w:line="229" w:lineRule="exact" w:before="0"/>
        <w:ind w:left="502" w:right="0" w:firstLine="0"/>
        <w:jc w:val="left"/>
        <w:rPr>
          <w:b/>
          <w:sz w:val="20"/>
        </w:rPr>
      </w:pPr>
      <w:r>
        <w:rPr/>
        <w:br w:type="column"/>
      </w:r>
      <w:r>
        <w:rPr>
          <w:b/>
          <w:color w:val="231F20"/>
          <w:sz w:val="20"/>
        </w:rPr>
        <w:t>Effective</w:t>
      </w:r>
    </w:p>
    <w:p>
      <w:pPr>
        <w:spacing w:line="229" w:lineRule="exact" w:before="0"/>
        <w:ind w:left="709" w:right="0" w:firstLine="0"/>
        <w:jc w:val="left"/>
        <w:rPr>
          <w:b/>
          <w:sz w:val="20"/>
        </w:rPr>
      </w:pPr>
      <w:r>
        <w:rPr/>
        <w:br w:type="column"/>
      </w:r>
      <w:r>
        <w:rPr>
          <w:b/>
          <w:color w:val="231F20"/>
          <w:sz w:val="20"/>
        </w:rPr>
        <w:t>Final</w:t>
      </w:r>
    </w:p>
    <w:p>
      <w:pPr>
        <w:spacing w:after="0" w:line="229" w:lineRule="exact"/>
        <w:jc w:val="left"/>
        <w:rPr>
          <w:sz w:val="20"/>
        </w:rPr>
        <w:sectPr>
          <w:type w:val="continuous"/>
          <w:pgSz w:w="11880" w:h="15480"/>
          <w:pgMar w:top="1260" w:bottom="280" w:left="1280" w:right="1260"/>
          <w:cols w:num="3" w:equalWidth="0">
            <w:col w:w="3301" w:space="40"/>
            <w:col w:w="1258" w:space="40"/>
            <w:col w:w="4701"/>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1"/>
        </w:rPr>
      </w:pPr>
    </w:p>
    <w:p>
      <w:pPr>
        <w:pStyle w:val="BodyText"/>
        <w:spacing w:line="247" w:lineRule="auto" w:before="1"/>
        <w:ind w:left="100" w:right="118" w:firstLine="720"/>
        <w:jc w:val="both"/>
      </w:pPr>
      <w:r>
        <w:rPr>
          <w:color w:val="231F20"/>
        </w:rPr>
        <w:t>The carrying value of the Company’s floating rate debt totaled $703 million, and this debt had a weighted-average maturity of 3.48 years at floating rates averaging 2.22 percent for the year ended December  31,  2014.  In  total,  the  Company’s  fixed-rate  debt  and  floating  rate  debt   </w:t>
      </w:r>
      <w:r>
        <w:rPr>
          <w:color w:val="231F20"/>
          <w:spacing w:val="30"/>
        </w:rPr>
        <w:t> </w:t>
      </w:r>
      <w:r>
        <w:rPr>
          <w:color w:val="231F20"/>
        </w:rPr>
        <w:t>represented</w:t>
      </w:r>
    </w:p>
    <w:p>
      <w:pPr>
        <w:pStyle w:val="BodyText"/>
        <w:spacing w:line="253" w:lineRule="exact"/>
        <w:ind w:left="100"/>
        <w:jc w:val="both"/>
      </w:pPr>
      <w:r>
        <w:rPr>
          <w:color w:val="231F20"/>
        </w:rPr>
        <w:t>12.59 percent and 4.45 percent, respectively, of consolidated noncurrent assets at December 31, 2014.</w:t>
      </w:r>
    </w:p>
    <w:p>
      <w:pPr>
        <w:pStyle w:val="BodyText"/>
        <w:spacing w:line="247" w:lineRule="auto" w:before="211"/>
        <w:ind w:left="100" w:right="117" w:firstLine="720"/>
        <w:jc w:val="both"/>
      </w:pPr>
      <w:r>
        <w:rPr>
          <w:color w:val="231F20"/>
        </w:rPr>
        <w:t>The Company also has some risk associated with changing interest rates due to the short-term nature  of  its  invested  cash,  which  totaled  $1.3  billion,  and  short-term  investments,  which totaled</w:t>
      </w:r>
    </w:p>
    <w:p>
      <w:pPr>
        <w:pStyle w:val="BodyText"/>
        <w:spacing w:line="247" w:lineRule="auto"/>
        <w:ind w:left="100" w:right="117"/>
        <w:jc w:val="both"/>
      </w:pPr>
      <w:r>
        <w:rPr>
          <w:color w:val="231F20"/>
        </w:rPr>
        <w:t>$1.7 billion, at December 31, 2014. See Notes 1 and 11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As a result of previous turmoil in credit markets, the Company has discontinued further investments in auction rate securities.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line="247" w:lineRule="auto" w:before="204"/>
        <w:ind w:left="100" w:right="117" w:firstLine="720"/>
        <w:jc w:val="both"/>
      </w:pPr>
      <w:r>
        <w:rPr>
          <w:color w:val="231F20"/>
        </w:rPr>
        <w:t>A hypothetical 10 percent change in market interest rates as of December 31, 2014, would not have a material effect on the fair value of the Company’s fixed-rate debt instruments. See Note 11 to</w:t>
      </w:r>
    </w:p>
    <w:p>
      <w:pPr>
        <w:spacing w:after="0" w:line="247" w:lineRule="auto"/>
        <w:jc w:val="both"/>
        <w:sectPr>
          <w:type w:val="continuous"/>
          <w:pgSz w:w="11880" w:h="15480"/>
          <w:pgMar w:top="1260" w:bottom="280" w:left="1280" w:right="1260"/>
        </w:sectPr>
      </w:pPr>
    </w:p>
    <w:p>
      <w:pPr>
        <w:pStyle w:val="BodyText"/>
        <w:spacing w:line="247" w:lineRule="auto" w:before="74"/>
        <w:ind w:left="100" w:right="117"/>
        <w:jc w:val="both"/>
      </w:pPr>
      <w:r>
        <w:rPr>
          <w:color w:val="231F20"/>
        </w:rPr>
        <w:t>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2014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2014,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w:t>
      </w:r>
      <w:r>
        <w:rPr>
          <w:color w:val="231F20"/>
          <w:spacing w:val="-3"/>
        </w:rPr>
        <w:t> </w:t>
      </w:r>
      <w:r>
        <w:rPr>
          <w:color w:val="231F20"/>
        </w:rPr>
        <w:t>debt.</w:t>
      </w:r>
    </w:p>
    <w:p>
      <w:pPr>
        <w:pStyle w:val="BodyText"/>
        <w:spacing w:before="9"/>
        <w:rPr>
          <w:sz w:val="20"/>
        </w:rPr>
      </w:pPr>
    </w:p>
    <w:p>
      <w:pPr>
        <w:pStyle w:val="BodyText"/>
        <w:spacing w:line="247" w:lineRule="auto"/>
        <w:ind w:left="100" w:right="117" w:firstLine="720"/>
        <w:jc w:val="both"/>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counterparty agreements. Certain covenants include the maintenance of minimum credit ratings and/or triggers that are based on changes in these ratings. The Company’s revolving credit facility contains a financial covenant requiring a minimum coverage ratio of adjusted pre-tax income to fixed obligations, as defined. As of December 31, 2014, the Company was in compliance with this covenant and there were no amounts outstanding under the revolving credit facility. However, if conditions change and the Company fails to meet the minimum standards set forth in the revolving credit facility, there could be a reduction in the availability of cash under the facility, or an increase in the costs to keep the facility intact as written. The Company’s hedging counterparty agreements contain ratings triggers in which additional cash collateral would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2014, $266 million in cash collateral deposits were provided by the Company under these provisions. If the Company’s credit rating had been below investment grade as of that date, the Company would have been required to post approximately $500 million in additional cash collateral deposits with fuel hedge</w:t>
      </w:r>
      <w:r>
        <w:rPr>
          <w:color w:val="231F20"/>
          <w:spacing w:val="-2"/>
        </w:rPr>
        <w:t> </w:t>
      </w:r>
      <w:r>
        <w:rPr>
          <w:color w:val="231F20"/>
        </w:rPr>
        <w:t>counterparties.</w:t>
      </w:r>
    </w:p>
    <w:p>
      <w:pPr>
        <w:pStyle w:val="BodyText"/>
        <w:spacing w:before="9"/>
        <w:rPr>
          <w:sz w:val="20"/>
        </w:rPr>
      </w:pPr>
    </w:p>
    <w:p>
      <w:pPr>
        <w:pStyle w:val="BodyText"/>
        <w:spacing w:line="247" w:lineRule="auto"/>
        <w:ind w:left="100" w:right="117" w:firstLine="720"/>
        <w:jc w:val="both"/>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will have liability if the Company does not ultimately provide the air travel. Under these processing agreements, and based on specified conditions, increasing amounts of cash reserves could  be required to be posted with the</w:t>
      </w:r>
      <w:r>
        <w:rPr>
          <w:color w:val="231F20"/>
          <w:spacing w:val="-3"/>
        </w:rPr>
        <w:t> </w:t>
      </w:r>
      <w:r>
        <w:rPr>
          <w:color w:val="231F20"/>
        </w:rPr>
        <w:t>counterparty.</w:t>
      </w:r>
    </w:p>
    <w:p>
      <w:pPr>
        <w:pStyle w:val="BodyText"/>
        <w:spacing w:before="9"/>
        <w:rPr>
          <w:sz w:val="20"/>
        </w:rPr>
      </w:pPr>
    </w:p>
    <w:p>
      <w:pPr>
        <w:pStyle w:val="BodyText"/>
        <w:spacing w:line="247" w:lineRule="auto"/>
        <w:ind w:left="100" w:right="117" w:firstLine="720"/>
        <w:jc w:val="both"/>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w:t>
      </w:r>
    </w:p>
    <w:p>
      <w:pPr>
        <w:spacing w:after="0" w:line="247" w:lineRule="auto"/>
        <w:jc w:val="both"/>
        <w:sectPr>
          <w:pgSz w:w="11880" w:h="15480"/>
          <w:pgMar w:header="0" w:footer="1240" w:top="1240" w:bottom="1420" w:left="1280" w:right="1260"/>
        </w:sectPr>
      </w:pPr>
    </w:p>
    <w:p>
      <w:pPr>
        <w:pStyle w:val="BodyText"/>
        <w:spacing w:line="247" w:lineRule="auto" w:before="74"/>
        <w:ind w:left="100" w:right="97"/>
      </w:pPr>
      <w:r>
        <w:rPr>
          <w:color w:val="231F20"/>
        </w:rPr>
        <w:t>are based on the Company’s public debt rating and a corresponding percentage of the Company’s Air traffic liability.</w:t>
      </w:r>
    </w:p>
    <w:p>
      <w:pPr>
        <w:pStyle w:val="BodyText"/>
        <w:spacing w:before="9"/>
        <w:rPr>
          <w:sz w:val="20"/>
        </w:rPr>
      </w:pPr>
    </w:p>
    <w:p>
      <w:pPr>
        <w:pStyle w:val="BodyText"/>
        <w:spacing w:line="247" w:lineRule="auto"/>
        <w:ind w:left="100" w:right="117" w:firstLine="720"/>
        <w:jc w:val="both"/>
      </w:pPr>
      <w:r>
        <w:rPr>
          <w:color w:val="231F20"/>
        </w:rPr>
        <w:t>As of December 31, 2014,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7" w:lineRule="auto"/>
        <w:jc w:val="both"/>
        <w:sectPr>
          <w:pgSz w:w="11880" w:h="15480"/>
          <w:pgMar w:header="0" w:footer="1240" w:top="1240" w:bottom="1420" w:left="1280" w:right="1260"/>
        </w:sectPr>
      </w:pPr>
    </w:p>
    <w:p>
      <w:pPr>
        <w:pStyle w:val="Heading2"/>
        <w:tabs>
          <w:tab w:pos="1529" w:val="left" w:leader="none"/>
        </w:tabs>
        <w:spacing w:before="74"/>
        <w:ind w:left="100"/>
        <w:rPr>
          <w:i/>
        </w:rPr>
      </w:pPr>
      <w:bookmarkStart w:name="Item 8. Financial Statements and Supplem" w:id="17"/>
      <w:bookmarkEnd w:id="17"/>
      <w:r>
        <w:rPr>
          <w:b w:val="0"/>
          <w:i w:val="0"/>
        </w:rPr>
      </w:r>
      <w:r>
        <w:rPr>
          <w:i w:val="0"/>
          <w:color w:val="231F20"/>
        </w:rPr>
        <w:t>Item 8.</w:t>
        <w:tab/>
      </w:r>
      <w:r>
        <w:rPr>
          <w:i/>
          <w:color w:val="231F20"/>
        </w:rPr>
        <w:t>Financial Statements and Supplementary</w:t>
      </w:r>
      <w:r>
        <w:rPr>
          <w:i/>
          <w:color w:val="231F20"/>
          <w:spacing w:val="-4"/>
        </w:rPr>
        <w:t> </w:t>
      </w:r>
      <w:r>
        <w:rPr>
          <w:i/>
          <w:color w:val="231F20"/>
        </w:rPr>
        <w:t>Data</w:t>
      </w:r>
    </w:p>
    <w:p>
      <w:pPr>
        <w:spacing w:before="198" w:after="13"/>
        <w:ind w:left="160" w:right="179" w:firstLine="0"/>
        <w:jc w:val="center"/>
        <w:rPr>
          <w:b/>
          <w:sz w:val="18"/>
        </w:rPr>
      </w:pPr>
      <w:bookmarkStart w:name="Southwest Airlines Co. Consolidated Bala" w:id="18"/>
      <w:bookmarkEnd w:id="18"/>
      <w:r>
        <w:rPr/>
      </w:r>
      <w:r>
        <w:rPr>
          <w:b/>
          <w:color w:val="231F20"/>
          <w:sz w:val="18"/>
        </w:rPr>
        <w:t>Southwest Airlines Co.</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700"/>
        <w:gridCol w:w="200"/>
        <w:gridCol w:w="1700"/>
      </w:tblGrid>
      <w:tr>
        <w:trPr>
          <w:trHeight w:val="497" w:hRule="exact"/>
        </w:trPr>
        <w:tc>
          <w:tcPr>
            <w:tcW w:w="9120" w:type="dxa"/>
            <w:gridSpan w:val="4"/>
          </w:tcPr>
          <w:p>
            <w:pPr>
              <w:pStyle w:val="TableParagraph"/>
              <w:spacing w:line="206" w:lineRule="exact" w:before="0"/>
              <w:ind w:left="3427" w:right="3427"/>
              <w:jc w:val="center"/>
              <w:rPr>
                <w:b/>
                <w:sz w:val="18"/>
              </w:rPr>
            </w:pPr>
            <w:r>
              <w:rPr>
                <w:b/>
                <w:color w:val="231F20"/>
                <w:sz w:val="18"/>
              </w:rPr>
              <w:t>Consolidated Balance Sheet</w:t>
            </w:r>
          </w:p>
          <w:p>
            <w:pPr>
              <w:pStyle w:val="TableParagraph"/>
              <w:spacing w:before="13"/>
              <w:ind w:left="3427" w:right="3428"/>
              <w:jc w:val="center"/>
              <w:rPr>
                <w:sz w:val="18"/>
              </w:rPr>
            </w:pPr>
            <w:r>
              <w:rPr>
                <w:color w:val="231F20"/>
                <w:sz w:val="18"/>
              </w:rPr>
              <w:t>(in millions, except share data)</w:t>
            </w:r>
          </w:p>
        </w:tc>
      </w:tr>
      <w:tr>
        <w:trPr>
          <w:trHeight w:val="237" w:hRule="exact"/>
        </w:trPr>
        <w:tc>
          <w:tcPr>
            <w:tcW w:w="5520" w:type="dxa"/>
          </w:tcPr>
          <w:p>
            <w:pPr/>
          </w:p>
        </w:tc>
        <w:tc>
          <w:tcPr>
            <w:tcW w:w="1700" w:type="dxa"/>
            <w:tcBorders>
              <w:bottom w:val="single" w:sz="8" w:space="0" w:color="231F20"/>
            </w:tcBorders>
          </w:tcPr>
          <w:p>
            <w:pPr>
              <w:pStyle w:val="TableParagraph"/>
              <w:spacing w:line="206" w:lineRule="exact" w:before="0"/>
              <w:ind w:left="122"/>
              <w:rPr>
                <w:b/>
                <w:sz w:val="18"/>
              </w:rPr>
            </w:pPr>
            <w:r>
              <w:rPr>
                <w:b/>
                <w:color w:val="231F20"/>
                <w:sz w:val="18"/>
              </w:rPr>
              <w:t>December 31, 2014</w:t>
            </w:r>
          </w:p>
        </w:tc>
        <w:tc>
          <w:tcPr>
            <w:tcW w:w="200" w:type="dxa"/>
          </w:tcPr>
          <w:p>
            <w:pPr/>
          </w:p>
        </w:tc>
        <w:tc>
          <w:tcPr>
            <w:tcW w:w="1700" w:type="dxa"/>
            <w:tcBorders>
              <w:bottom w:val="single" w:sz="8" w:space="0" w:color="231F20"/>
            </w:tcBorders>
          </w:tcPr>
          <w:p>
            <w:pPr>
              <w:pStyle w:val="TableParagraph"/>
              <w:spacing w:line="206" w:lineRule="exact" w:before="0"/>
              <w:ind w:right="121"/>
              <w:jc w:val="right"/>
              <w:rPr>
                <w:b/>
                <w:sz w:val="18"/>
              </w:rPr>
            </w:pPr>
            <w:r>
              <w:rPr>
                <w:b/>
                <w:color w:val="231F20"/>
                <w:sz w:val="18"/>
              </w:rPr>
              <w:t>December 31, 2013</w:t>
            </w:r>
          </w:p>
        </w:tc>
      </w:tr>
      <w:tr>
        <w:trPr>
          <w:trHeight w:val="246" w:hRule="exact"/>
        </w:trPr>
        <w:tc>
          <w:tcPr>
            <w:tcW w:w="5520" w:type="dxa"/>
          </w:tcPr>
          <w:p>
            <w:pPr>
              <w:pStyle w:val="TableParagraph"/>
              <w:spacing w:before="20"/>
              <w:ind w:left="60"/>
              <w:rPr>
                <w:b/>
                <w:sz w:val="18"/>
              </w:rPr>
            </w:pPr>
            <w:r>
              <w:rPr>
                <w:b/>
                <w:color w:val="231F20"/>
                <w:sz w:val="18"/>
              </w:rPr>
              <w:t>ASSETS</w:t>
            </w:r>
          </w:p>
        </w:tc>
        <w:tc>
          <w:tcPr>
            <w:tcW w:w="1700" w:type="dxa"/>
            <w:tcBorders>
              <w:top w:val="single" w:sz="8" w:space="0" w:color="231F20"/>
            </w:tcBorders>
          </w:tcPr>
          <w:p>
            <w:pPr/>
          </w:p>
        </w:tc>
        <w:tc>
          <w:tcPr>
            <w:tcW w:w="200" w:type="dxa"/>
          </w:tcPr>
          <w:p>
            <w:pPr/>
          </w:p>
        </w:tc>
        <w:tc>
          <w:tcPr>
            <w:tcW w:w="1700" w:type="dxa"/>
            <w:tcBorders>
              <w:top w:val="single" w:sz="8" w:space="0" w:color="231F20"/>
            </w:tcBorders>
          </w:tcPr>
          <w:p>
            <w:pPr/>
          </w:p>
        </w:tc>
      </w:tr>
      <w:tr>
        <w:trPr>
          <w:trHeight w:val="240" w:hRule="exact"/>
        </w:trPr>
        <w:tc>
          <w:tcPr>
            <w:tcW w:w="5520" w:type="dxa"/>
          </w:tcPr>
          <w:p>
            <w:pPr>
              <w:pStyle w:val="TableParagraph"/>
              <w:spacing w:before="12"/>
              <w:ind w:left="60"/>
              <w:rPr>
                <w:sz w:val="18"/>
              </w:rPr>
            </w:pPr>
            <w:r>
              <w:rPr>
                <w:color w:val="231F20"/>
                <w:sz w:val="18"/>
              </w:rPr>
              <w:t>Current assets:</w:t>
            </w:r>
          </w:p>
        </w:tc>
        <w:tc>
          <w:tcPr>
            <w:tcW w:w="1700" w:type="dxa"/>
          </w:tcPr>
          <w:p>
            <w:pPr/>
          </w:p>
        </w:tc>
        <w:tc>
          <w:tcPr>
            <w:tcW w:w="200" w:type="dxa"/>
          </w:tcPr>
          <w:p>
            <w:pPr/>
          </w:p>
        </w:tc>
        <w:tc>
          <w:tcPr>
            <w:tcW w:w="1700" w:type="dxa"/>
          </w:tcPr>
          <w:p>
            <w:pPr/>
          </w:p>
        </w:tc>
      </w:tr>
      <w:tr>
        <w:trPr>
          <w:trHeight w:val="258" w:hRule="exact"/>
        </w:trPr>
        <w:tc>
          <w:tcPr>
            <w:tcW w:w="5520" w:type="dxa"/>
            <w:shd w:val="clear" w:color="auto" w:fill="CCECFC"/>
          </w:tcPr>
          <w:p>
            <w:pPr>
              <w:pStyle w:val="TableParagraph"/>
              <w:spacing w:before="10"/>
              <w:ind w:left="240"/>
              <w:rPr>
                <w:sz w:val="18"/>
              </w:rPr>
            </w:pPr>
            <w:r>
              <w:rPr>
                <w:color w:val="231F20"/>
                <w:sz w:val="18"/>
              </w:rPr>
              <w:t>Cash and cash equivalents</w:t>
            </w:r>
          </w:p>
        </w:tc>
        <w:tc>
          <w:tcPr>
            <w:tcW w:w="1700" w:type="dxa"/>
            <w:shd w:val="clear" w:color="auto" w:fill="CCECFC"/>
          </w:tcPr>
          <w:p>
            <w:pPr>
              <w:pStyle w:val="TableParagraph"/>
              <w:tabs>
                <w:tab w:pos="1234" w:val="left" w:leader="none"/>
              </w:tabs>
              <w:spacing w:before="10"/>
              <w:ind w:right="58"/>
              <w:jc w:val="right"/>
              <w:rPr>
                <w:sz w:val="18"/>
              </w:rPr>
            </w:pPr>
            <w:r>
              <w:rPr>
                <w:color w:val="231F20"/>
                <w:sz w:val="18"/>
              </w:rPr>
              <w:t>$</w:t>
              <w:tab/>
              <w:t>1,282</w:t>
            </w:r>
          </w:p>
        </w:tc>
        <w:tc>
          <w:tcPr>
            <w:tcW w:w="200" w:type="dxa"/>
            <w:shd w:val="clear" w:color="auto" w:fill="CCECFC"/>
          </w:tcPr>
          <w:p>
            <w:pPr/>
          </w:p>
        </w:tc>
        <w:tc>
          <w:tcPr>
            <w:tcW w:w="1700" w:type="dxa"/>
            <w:shd w:val="clear" w:color="auto" w:fill="CCECFC"/>
          </w:tcPr>
          <w:p>
            <w:pPr>
              <w:pStyle w:val="TableParagraph"/>
              <w:tabs>
                <w:tab w:pos="1234" w:val="left" w:leader="none"/>
              </w:tabs>
              <w:spacing w:before="10"/>
              <w:ind w:right="58"/>
              <w:jc w:val="right"/>
              <w:rPr>
                <w:sz w:val="18"/>
              </w:rPr>
            </w:pPr>
            <w:r>
              <w:rPr>
                <w:color w:val="231F20"/>
                <w:sz w:val="18"/>
              </w:rPr>
              <w:t>$</w:t>
              <w:tab/>
              <w:t>1,355</w:t>
            </w:r>
          </w:p>
        </w:tc>
      </w:tr>
      <w:tr>
        <w:trPr>
          <w:trHeight w:val="238" w:hRule="exact"/>
        </w:trPr>
        <w:tc>
          <w:tcPr>
            <w:tcW w:w="5520" w:type="dxa"/>
          </w:tcPr>
          <w:p>
            <w:pPr>
              <w:pStyle w:val="TableParagraph"/>
              <w:spacing w:before="10"/>
              <w:ind w:left="240"/>
              <w:rPr>
                <w:sz w:val="18"/>
              </w:rPr>
            </w:pPr>
            <w:r>
              <w:rPr>
                <w:color w:val="231F20"/>
                <w:sz w:val="18"/>
              </w:rPr>
              <w:t>Short-term investments</w:t>
            </w:r>
          </w:p>
        </w:tc>
        <w:tc>
          <w:tcPr>
            <w:tcW w:w="1700" w:type="dxa"/>
          </w:tcPr>
          <w:p>
            <w:pPr>
              <w:pStyle w:val="TableParagraph"/>
              <w:spacing w:before="10"/>
              <w:ind w:right="58"/>
              <w:jc w:val="right"/>
              <w:rPr>
                <w:sz w:val="18"/>
              </w:rPr>
            </w:pPr>
            <w:r>
              <w:rPr>
                <w:color w:val="231F20"/>
                <w:sz w:val="18"/>
              </w:rPr>
              <w:t>1,706</w:t>
            </w:r>
          </w:p>
        </w:tc>
        <w:tc>
          <w:tcPr>
            <w:tcW w:w="200" w:type="dxa"/>
          </w:tcPr>
          <w:p>
            <w:pPr/>
          </w:p>
        </w:tc>
        <w:tc>
          <w:tcPr>
            <w:tcW w:w="1700" w:type="dxa"/>
          </w:tcPr>
          <w:p>
            <w:pPr>
              <w:pStyle w:val="TableParagraph"/>
              <w:spacing w:before="10"/>
              <w:ind w:right="58"/>
              <w:jc w:val="right"/>
              <w:rPr>
                <w:sz w:val="18"/>
              </w:rPr>
            </w:pPr>
            <w:r>
              <w:rPr>
                <w:color w:val="231F20"/>
                <w:sz w:val="18"/>
              </w:rPr>
              <w:t>1,797</w:t>
            </w:r>
          </w:p>
        </w:tc>
      </w:tr>
      <w:tr>
        <w:trPr>
          <w:trHeight w:val="238" w:hRule="exact"/>
        </w:trPr>
        <w:tc>
          <w:tcPr>
            <w:tcW w:w="5520" w:type="dxa"/>
            <w:shd w:val="clear" w:color="auto" w:fill="CCECFC"/>
          </w:tcPr>
          <w:p>
            <w:pPr>
              <w:pStyle w:val="TableParagraph"/>
              <w:spacing w:before="10"/>
              <w:ind w:left="240"/>
              <w:rPr>
                <w:sz w:val="18"/>
              </w:rPr>
            </w:pPr>
            <w:r>
              <w:rPr>
                <w:color w:val="231F20"/>
                <w:sz w:val="18"/>
              </w:rPr>
              <w:t>Accounts and other receivables</w:t>
            </w:r>
          </w:p>
        </w:tc>
        <w:tc>
          <w:tcPr>
            <w:tcW w:w="1700" w:type="dxa"/>
            <w:shd w:val="clear" w:color="auto" w:fill="CCECFC"/>
          </w:tcPr>
          <w:p>
            <w:pPr>
              <w:pStyle w:val="TableParagraph"/>
              <w:spacing w:before="10"/>
              <w:ind w:right="58"/>
              <w:jc w:val="right"/>
              <w:rPr>
                <w:sz w:val="18"/>
              </w:rPr>
            </w:pPr>
            <w:r>
              <w:rPr>
                <w:color w:val="231F20"/>
                <w:sz w:val="18"/>
              </w:rPr>
              <w:t>365</w:t>
            </w:r>
          </w:p>
        </w:tc>
        <w:tc>
          <w:tcPr>
            <w:tcW w:w="200" w:type="dxa"/>
            <w:shd w:val="clear" w:color="auto" w:fill="CCECFC"/>
          </w:tcPr>
          <w:p>
            <w:pPr/>
          </w:p>
        </w:tc>
        <w:tc>
          <w:tcPr>
            <w:tcW w:w="1700" w:type="dxa"/>
            <w:shd w:val="clear" w:color="auto" w:fill="CCECFC"/>
          </w:tcPr>
          <w:p>
            <w:pPr>
              <w:pStyle w:val="TableParagraph"/>
              <w:spacing w:before="10"/>
              <w:ind w:right="58"/>
              <w:jc w:val="right"/>
              <w:rPr>
                <w:sz w:val="18"/>
              </w:rPr>
            </w:pPr>
            <w:r>
              <w:rPr>
                <w:color w:val="231F20"/>
                <w:sz w:val="18"/>
              </w:rPr>
              <w:t>419</w:t>
            </w:r>
          </w:p>
        </w:tc>
      </w:tr>
      <w:tr>
        <w:trPr>
          <w:trHeight w:val="238" w:hRule="exact"/>
        </w:trPr>
        <w:tc>
          <w:tcPr>
            <w:tcW w:w="5520" w:type="dxa"/>
          </w:tcPr>
          <w:p>
            <w:pPr>
              <w:pStyle w:val="TableParagraph"/>
              <w:spacing w:before="10"/>
              <w:ind w:left="240"/>
              <w:rPr>
                <w:sz w:val="18"/>
              </w:rPr>
            </w:pPr>
            <w:r>
              <w:rPr>
                <w:color w:val="231F20"/>
                <w:sz w:val="18"/>
              </w:rPr>
              <w:t>Inventories of parts and supplies, at cost</w:t>
            </w:r>
          </w:p>
        </w:tc>
        <w:tc>
          <w:tcPr>
            <w:tcW w:w="1700" w:type="dxa"/>
          </w:tcPr>
          <w:p>
            <w:pPr>
              <w:pStyle w:val="TableParagraph"/>
              <w:spacing w:before="10"/>
              <w:ind w:right="58"/>
              <w:jc w:val="right"/>
              <w:rPr>
                <w:sz w:val="18"/>
              </w:rPr>
            </w:pPr>
            <w:r>
              <w:rPr>
                <w:color w:val="231F20"/>
                <w:sz w:val="18"/>
              </w:rPr>
              <w:t>342</w:t>
            </w:r>
          </w:p>
        </w:tc>
        <w:tc>
          <w:tcPr>
            <w:tcW w:w="200" w:type="dxa"/>
          </w:tcPr>
          <w:p>
            <w:pPr/>
          </w:p>
        </w:tc>
        <w:tc>
          <w:tcPr>
            <w:tcW w:w="1700" w:type="dxa"/>
          </w:tcPr>
          <w:p>
            <w:pPr>
              <w:pStyle w:val="TableParagraph"/>
              <w:spacing w:before="10"/>
              <w:ind w:right="58"/>
              <w:jc w:val="right"/>
              <w:rPr>
                <w:sz w:val="18"/>
              </w:rPr>
            </w:pPr>
            <w:r>
              <w:rPr>
                <w:color w:val="231F20"/>
                <w:sz w:val="18"/>
              </w:rPr>
              <w:t>467</w:t>
            </w:r>
          </w:p>
        </w:tc>
      </w:tr>
      <w:tr>
        <w:trPr>
          <w:trHeight w:val="238" w:hRule="exact"/>
        </w:trPr>
        <w:tc>
          <w:tcPr>
            <w:tcW w:w="5520" w:type="dxa"/>
            <w:shd w:val="clear" w:color="auto" w:fill="CCECFC"/>
          </w:tcPr>
          <w:p>
            <w:pPr>
              <w:pStyle w:val="TableParagraph"/>
              <w:spacing w:before="10"/>
              <w:ind w:left="240"/>
              <w:rPr>
                <w:sz w:val="18"/>
              </w:rPr>
            </w:pPr>
            <w:r>
              <w:rPr>
                <w:color w:val="231F20"/>
                <w:sz w:val="18"/>
              </w:rPr>
              <w:t>Deferred income taxes</w:t>
            </w:r>
          </w:p>
        </w:tc>
        <w:tc>
          <w:tcPr>
            <w:tcW w:w="1700" w:type="dxa"/>
            <w:shd w:val="clear" w:color="auto" w:fill="CCECFC"/>
          </w:tcPr>
          <w:p>
            <w:pPr>
              <w:pStyle w:val="TableParagraph"/>
              <w:spacing w:before="10"/>
              <w:ind w:right="58"/>
              <w:jc w:val="right"/>
              <w:rPr>
                <w:sz w:val="18"/>
              </w:rPr>
            </w:pPr>
            <w:r>
              <w:rPr>
                <w:color w:val="231F20"/>
                <w:sz w:val="18"/>
              </w:rPr>
              <w:t>477</w:t>
            </w:r>
          </w:p>
        </w:tc>
        <w:tc>
          <w:tcPr>
            <w:tcW w:w="200" w:type="dxa"/>
            <w:shd w:val="clear" w:color="auto" w:fill="CCECFC"/>
          </w:tcPr>
          <w:p>
            <w:pPr/>
          </w:p>
        </w:tc>
        <w:tc>
          <w:tcPr>
            <w:tcW w:w="1700" w:type="dxa"/>
            <w:shd w:val="clear" w:color="auto" w:fill="CCECFC"/>
          </w:tcPr>
          <w:p>
            <w:pPr>
              <w:pStyle w:val="TableParagraph"/>
              <w:spacing w:before="10"/>
              <w:ind w:right="58"/>
              <w:jc w:val="right"/>
              <w:rPr>
                <w:sz w:val="18"/>
              </w:rPr>
            </w:pPr>
            <w:r>
              <w:rPr>
                <w:color w:val="231F20"/>
                <w:sz w:val="18"/>
              </w:rPr>
              <w:t>168</w:t>
            </w:r>
          </w:p>
        </w:tc>
      </w:tr>
      <w:tr>
        <w:trPr>
          <w:trHeight w:val="253" w:hRule="exact"/>
        </w:trPr>
        <w:tc>
          <w:tcPr>
            <w:tcW w:w="5520" w:type="dxa"/>
          </w:tcPr>
          <w:p>
            <w:pPr>
              <w:pStyle w:val="TableParagraph"/>
              <w:spacing w:before="10"/>
              <w:ind w:left="240"/>
              <w:rPr>
                <w:sz w:val="18"/>
              </w:rPr>
            </w:pPr>
            <w:r>
              <w:rPr>
                <w:color w:val="231F20"/>
                <w:sz w:val="18"/>
              </w:rPr>
              <w:t>Prepaid expenses and other current assets</w:t>
            </w:r>
          </w:p>
        </w:tc>
        <w:tc>
          <w:tcPr>
            <w:tcW w:w="1700" w:type="dxa"/>
            <w:tcBorders>
              <w:bottom w:val="single" w:sz="4" w:space="0" w:color="231F20"/>
            </w:tcBorders>
          </w:tcPr>
          <w:p>
            <w:pPr>
              <w:pStyle w:val="TableParagraph"/>
              <w:spacing w:before="10"/>
              <w:ind w:right="58"/>
              <w:jc w:val="right"/>
              <w:rPr>
                <w:sz w:val="18"/>
              </w:rPr>
            </w:pPr>
            <w:r>
              <w:rPr>
                <w:color w:val="231F20"/>
                <w:sz w:val="18"/>
              </w:rPr>
              <w:t>232</w:t>
            </w:r>
          </w:p>
        </w:tc>
        <w:tc>
          <w:tcPr>
            <w:tcW w:w="200" w:type="dxa"/>
          </w:tcPr>
          <w:p>
            <w:pPr/>
          </w:p>
        </w:tc>
        <w:tc>
          <w:tcPr>
            <w:tcW w:w="1700" w:type="dxa"/>
            <w:tcBorders>
              <w:bottom w:val="single" w:sz="4" w:space="0" w:color="231F20"/>
            </w:tcBorders>
          </w:tcPr>
          <w:p>
            <w:pPr>
              <w:pStyle w:val="TableParagraph"/>
              <w:spacing w:before="10"/>
              <w:ind w:right="58"/>
              <w:jc w:val="right"/>
              <w:rPr>
                <w:sz w:val="18"/>
              </w:rPr>
            </w:pPr>
            <w:r>
              <w:rPr>
                <w:color w:val="231F20"/>
                <w:sz w:val="18"/>
              </w:rPr>
              <w:t>250</w:t>
            </w:r>
          </w:p>
        </w:tc>
      </w:tr>
      <w:tr>
        <w:trPr>
          <w:trHeight w:val="243" w:hRule="exact"/>
        </w:trPr>
        <w:tc>
          <w:tcPr>
            <w:tcW w:w="5520" w:type="dxa"/>
            <w:shd w:val="clear" w:color="auto" w:fill="CCECFC"/>
          </w:tcPr>
          <w:p>
            <w:pPr>
              <w:pStyle w:val="TableParagraph"/>
              <w:spacing w:before="10"/>
              <w:ind w:left="420"/>
              <w:rPr>
                <w:sz w:val="18"/>
              </w:rPr>
            </w:pPr>
            <w:r>
              <w:rPr>
                <w:color w:val="231F20"/>
                <w:sz w:val="18"/>
              </w:rPr>
              <w:t>Total current assets</w:t>
            </w:r>
          </w:p>
        </w:tc>
        <w:tc>
          <w:tcPr>
            <w:tcW w:w="1700" w:type="dxa"/>
            <w:tcBorders>
              <w:top w:val="single" w:sz="4" w:space="0" w:color="231F20"/>
            </w:tcBorders>
            <w:shd w:val="clear" w:color="auto" w:fill="CCECFC"/>
          </w:tcPr>
          <w:p>
            <w:pPr>
              <w:pStyle w:val="TableParagraph"/>
              <w:spacing w:before="10"/>
              <w:ind w:right="58"/>
              <w:jc w:val="right"/>
              <w:rPr>
                <w:sz w:val="18"/>
              </w:rPr>
            </w:pPr>
            <w:r>
              <w:rPr>
                <w:color w:val="231F20"/>
                <w:sz w:val="18"/>
              </w:rPr>
              <w:t>4,404</w:t>
            </w:r>
          </w:p>
        </w:tc>
        <w:tc>
          <w:tcPr>
            <w:tcW w:w="200" w:type="dxa"/>
            <w:shd w:val="clear" w:color="auto" w:fill="CCECFC"/>
          </w:tcPr>
          <w:p>
            <w:pPr/>
          </w:p>
        </w:tc>
        <w:tc>
          <w:tcPr>
            <w:tcW w:w="1700" w:type="dxa"/>
            <w:tcBorders>
              <w:top w:val="single" w:sz="4" w:space="0" w:color="231F20"/>
            </w:tcBorders>
            <w:shd w:val="clear" w:color="auto" w:fill="CCECFC"/>
          </w:tcPr>
          <w:p>
            <w:pPr>
              <w:pStyle w:val="TableParagraph"/>
              <w:spacing w:before="10"/>
              <w:ind w:right="58"/>
              <w:jc w:val="right"/>
              <w:rPr>
                <w:sz w:val="18"/>
              </w:rPr>
            </w:pPr>
            <w:r>
              <w:rPr>
                <w:color w:val="231F20"/>
                <w:sz w:val="18"/>
              </w:rPr>
              <w:t>4,456</w:t>
            </w:r>
          </w:p>
        </w:tc>
      </w:tr>
      <w:tr>
        <w:trPr>
          <w:trHeight w:val="437" w:hRule="exact"/>
        </w:trPr>
        <w:tc>
          <w:tcPr>
            <w:tcW w:w="9120" w:type="dxa"/>
            <w:gridSpan w:val="4"/>
          </w:tcPr>
          <w:p>
            <w:pPr>
              <w:pStyle w:val="TableParagraph"/>
              <w:spacing w:before="11"/>
              <w:rPr>
                <w:b/>
                <w:sz w:val="20"/>
              </w:rPr>
            </w:pPr>
          </w:p>
          <w:p>
            <w:pPr>
              <w:pStyle w:val="TableParagraph"/>
              <w:tabs>
                <w:tab w:pos="9119" w:val="left" w:leader="none"/>
              </w:tabs>
              <w:spacing w:before="0"/>
              <w:rPr>
                <w:sz w:val="18"/>
              </w:rPr>
            </w:pPr>
            <w:r>
              <w:rPr>
                <w:color w:val="231F20"/>
                <w:spacing w:val="15"/>
                <w:sz w:val="18"/>
                <w:shd w:fill="CCECFC" w:color="auto" w:val="clear"/>
              </w:rPr>
              <w:t> </w:t>
            </w:r>
            <w:r>
              <w:rPr>
                <w:color w:val="231F20"/>
                <w:sz w:val="18"/>
                <w:shd w:fill="CCECFC" w:color="auto" w:val="clear"/>
              </w:rPr>
              <w:t>Property and equipment, at cost:</w:t>
              <w:tab/>
            </w:r>
          </w:p>
        </w:tc>
      </w:tr>
      <w:tr>
        <w:trPr>
          <w:trHeight w:val="210" w:hRule="exact"/>
        </w:trPr>
        <w:tc>
          <w:tcPr>
            <w:tcW w:w="5520" w:type="dxa"/>
          </w:tcPr>
          <w:p>
            <w:pPr>
              <w:pStyle w:val="TableParagraph"/>
              <w:spacing w:line="201" w:lineRule="exact" w:before="0"/>
              <w:ind w:left="240"/>
              <w:rPr>
                <w:sz w:val="18"/>
              </w:rPr>
            </w:pPr>
            <w:r>
              <w:rPr>
                <w:color w:val="231F20"/>
                <w:sz w:val="18"/>
              </w:rPr>
              <w:t>Flight equipment</w:t>
            </w:r>
          </w:p>
        </w:tc>
        <w:tc>
          <w:tcPr>
            <w:tcW w:w="1700" w:type="dxa"/>
          </w:tcPr>
          <w:p>
            <w:pPr>
              <w:pStyle w:val="TableParagraph"/>
              <w:spacing w:line="201" w:lineRule="exact" w:before="0"/>
              <w:ind w:right="58"/>
              <w:jc w:val="right"/>
              <w:rPr>
                <w:sz w:val="18"/>
              </w:rPr>
            </w:pPr>
            <w:r>
              <w:rPr>
                <w:color w:val="231F20"/>
                <w:sz w:val="18"/>
              </w:rPr>
              <w:t>18,473</w:t>
            </w:r>
          </w:p>
        </w:tc>
        <w:tc>
          <w:tcPr>
            <w:tcW w:w="200" w:type="dxa"/>
          </w:tcPr>
          <w:p>
            <w:pPr/>
          </w:p>
        </w:tc>
        <w:tc>
          <w:tcPr>
            <w:tcW w:w="1700" w:type="dxa"/>
          </w:tcPr>
          <w:p>
            <w:pPr>
              <w:pStyle w:val="TableParagraph"/>
              <w:spacing w:line="201" w:lineRule="exact" w:before="0"/>
              <w:ind w:right="58"/>
              <w:jc w:val="right"/>
              <w:rPr>
                <w:sz w:val="18"/>
              </w:rPr>
            </w:pPr>
            <w:r>
              <w:rPr>
                <w:color w:val="231F20"/>
                <w:sz w:val="18"/>
              </w:rPr>
              <w:t>16,937</w:t>
            </w:r>
          </w:p>
        </w:tc>
      </w:tr>
      <w:tr>
        <w:trPr>
          <w:trHeight w:val="238" w:hRule="exact"/>
        </w:trPr>
        <w:tc>
          <w:tcPr>
            <w:tcW w:w="5520" w:type="dxa"/>
            <w:shd w:val="clear" w:color="auto" w:fill="CCECFC"/>
          </w:tcPr>
          <w:p>
            <w:pPr>
              <w:pStyle w:val="TableParagraph"/>
              <w:spacing w:before="10"/>
              <w:ind w:left="240"/>
              <w:rPr>
                <w:sz w:val="18"/>
              </w:rPr>
            </w:pPr>
            <w:r>
              <w:rPr>
                <w:color w:val="231F20"/>
                <w:sz w:val="18"/>
              </w:rPr>
              <w:t>Ground property and equipment</w:t>
            </w:r>
          </w:p>
        </w:tc>
        <w:tc>
          <w:tcPr>
            <w:tcW w:w="1700" w:type="dxa"/>
            <w:shd w:val="clear" w:color="auto" w:fill="CCECFC"/>
          </w:tcPr>
          <w:p>
            <w:pPr>
              <w:pStyle w:val="TableParagraph"/>
              <w:spacing w:before="10"/>
              <w:ind w:right="58"/>
              <w:jc w:val="right"/>
              <w:rPr>
                <w:sz w:val="18"/>
              </w:rPr>
            </w:pPr>
            <w:r>
              <w:rPr>
                <w:color w:val="231F20"/>
                <w:sz w:val="18"/>
              </w:rPr>
              <w:t>2,853</w:t>
            </w:r>
          </w:p>
        </w:tc>
        <w:tc>
          <w:tcPr>
            <w:tcW w:w="200" w:type="dxa"/>
            <w:shd w:val="clear" w:color="auto" w:fill="CCECFC"/>
          </w:tcPr>
          <w:p>
            <w:pPr/>
          </w:p>
        </w:tc>
        <w:tc>
          <w:tcPr>
            <w:tcW w:w="1700" w:type="dxa"/>
            <w:shd w:val="clear" w:color="auto" w:fill="CCECFC"/>
          </w:tcPr>
          <w:p>
            <w:pPr>
              <w:pStyle w:val="TableParagraph"/>
              <w:spacing w:before="10"/>
              <w:ind w:right="58"/>
              <w:jc w:val="right"/>
              <w:rPr>
                <w:sz w:val="18"/>
              </w:rPr>
            </w:pPr>
            <w:r>
              <w:rPr>
                <w:color w:val="231F20"/>
                <w:sz w:val="18"/>
              </w:rPr>
              <w:t>2,666</w:t>
            </w:r>
          </w:p>
        </w:tc>
      </w:tr>
      <w:tr>
        <w:trPr>
          <w:trHeight w:val="238" w:hRule="exact"/>
        </w:trPr>
        <w:tc>
          <w:tcPr>
            <w:tcW w:w="5520" w:type="dxa"/>
          </w:tcPr>
          <w:p>
            <w:pPr>
              <w:pStyle w:val="TableParagraph"/>
              <w:spacing w:before="10"/>
              <w:ind w:left="240"/>
              <w:rPr>
                <w:sz w:val="18"/>
              </w:rPr>
            </w:pPr>
            <w:r>
              <w:rPr>
                <w:color w:val="231F20"/>
                <w:sz w:val="18"/>
              </w:rPr>
              <w:t>Deposits on flight equipment purchase contracts</w:t>
            </w:r>
          </w:p>
        </w:tc>
        <w:tc>
          <w:tcPr>
            <w:tcW w:w="1700" w:type="dxa"/>
          </w:tcPr>
          <w:p>
            <w:pPr>
              <w:pStyle w:val="TableParagraph"/>
              <w:spacing w:before="10"/>
              <w:ind w:right="58"/>
              <w:jc w:val="right"/>
              <w:rPr>
                <w:sz w:val="18"/>
              </w:rPr>
            </w:pPr>
            <w:r>
              <w:rPr>
                <w:color w:val="231F20"/>
                <w:sz w:val="18"/>
              </w:rPr>
              <w:t>566</w:t>
            </w:r>
          </w:p>
        </w:tc>
        <w:tc>
          <w:tcPr>
            <w:tcW w:w="200" w:type="dxa"/>
          </w:tcPr>
          <w:p>
            <w:pPr/>
          </w:p>
        </w:tc>
        <w:tc>
          <w:tcPr>
            <w:tcW w:w="1700" w:type="dxa"/>
          </w:tcPr>
          <w:p>
            <w:pPr>
              <w:pStyle w:val="TableParagraph"/>
              <w:spacing w:before="10"/>
              <w:ind w:right="58"/>
              <w:jc w:val="right"/>
              <w:rPr>
                <w:sz w:val="18"/>
              </w:rPr>
            </w:pPr>
            <w:r>
              <w:rPr>
                <w:color w:val="231F20"/>
                <w:sz w:val="18"/>
              </w:rPr>
              <w:t>764</w:t>
            </w:r>
          </w:p>
        </w:tc>
      </w:tr>
      <w:tr>
        <w:trPr>
          <w:trHeight w:val="253" w:hRule="exact"/>
        </w:trPr>
        <w:tc>
          <w:tcPr>
            <w:tcW w:w="5520" w:type="dxa"/>
            <w:shd w:val="clear" w:color="auto" w:fill="CCECFC"/>
          </w:tcPr>
          <w:p>
            <w:pPr>
              <w:pStyle w:val="TableParagraph"/>
              <w:spacing w:before="10"/>
              <w:ind w:left="240"/>
              <w:rPr>
                <w:sz w:val="18"/>
              </w:rPr>
            </w:pPr>
            <w:r>
              <w:rPr>
                <w:color w:val="231F20"/>
                <w:sz w:val="18"/>
              </w:rPr>
              <w:t>Assets constructed for others</w:t>
            </w:r>
          </w:p>
        </w:tc>
        <w:tc>
          <w:tcPr>
            <w:tcW w:w="1700" w:type="dxa"/>
            <w:tcBorders>
              <w:bottom w:val="single" w:sz="4" w:space="0" w:color="231F20"/>
            </w:tcBorders>
            <w:shd w:val="clear" w:color="auto" w:fill="CCECFC"/>
          </w:tcPr>
          <w:p>
            <w:pPr>
              <w:pStyle w:val="TableParagraph"/>
              <w:spacing w:before="10"/>
              <w:ind w:right="58"/>
              <w:jc w:val="right"/>
              <w:rPr>
                <w:sz w:val="18"/>
              </w:rPr>
            </w:pPr>
            <w:r>
              <w:rPr>
                <w:color w:val="231F20"/>
                <w:sz w:val="18"/>
              </w:rPr>
              <w:t>621</w:t>
            </w:r>
          </w:p>
        </w:tc>
        <w:tc>
          <w:tcPr>
            <w:tcW w:w="200" w:type="dxa"/>
            <w:shd w:val="clear" w:color="auto" w:fill="CCECFC"/>
          </w:tcPr>
          <w:p>
            <w:pPr/>
          </w:p>
        </w:tc>
        <w:tc>
          <w:tcPr>
            <w:tcW w:w="1700" w:type="dxa"/>
            <w:tcBorders>
              <w:bottom w:val="single" w:sz="4" w:space="0" w:color="231F20"/>
            </w:tcBorders>
            <w:shd w:val="clear" w:color="auto" w:fill="CCECFC"/>
          </w:tcPr>
          <w:p>
            <w:pPr>
              <w:pStyle w:val="TableParagraph"/>
              <w:spacing w:before="10"/>
              <w:ind w:right="58"/>
              <w:jc w:val="right"/>
              <w:rPr>
                <w:sz w:val="18"/>
              </w:rPr>
            </w:pPr>
            <w:r>
              <w:rPr>
                <w:color w:val="231F20"/>
                <w:sz w:val="18"/>
              </w:rPr>
              <w:t>453</w:t>
            </w:r>
          </w:p>
        </w:tc>
      </w:tr>
      <w:tr>
        <w:trPr>
          <w:trHeight w:val="243" w:hRule="exact"/>
        </w:trPr>
        <w:tc>
          <w:tcPr>
            <w:tcW w:w="5520" w:type="dxa"/>
          </w:tcPr>
          <w:p>
            <w:pPr/>
          </w:p>
        </w:tc>
        <w:tc>
          <w:tcPr>
            <w:tcW w:w="1700" w:type="dxa"/>
            <w:tcBorders>
              <w:top w:val="single" w:sz="4" w:space="0" w:color="231F20"/>
            </w:tcBorders>
          </w:tcPr>
          <w:p>
            <w:pPr>
              <w:pStyle w:val="TableParagraph"/>
              <w:spacing w:before="10"/>
              <w:ind w:right="59"/>
              <w:jc w:val="right"/>
              <w:rPr>
                <w:sz w:val="18"/>
              </w:rPr>
            </w:pPr>
            <w:r>
              <w:rPr>
                <w:color w:val="231F20"/>
                <w:sz w:val="18"/>
              </w:rPr>
              <w:t>22,513</w:t>
            </w:r>
          </w:p>
        </w:tc>
        <w:tc>
          <w:tcPr>
            <w:tcW w:w="200" w:type="dxa"/>
          </w:tcPr>
          <w:p>
            <w:pPr/>
          </w:p>
        </w:tc>
        <w:tc>
          <w:tcPr>
            <w:tcW w:w="1700" w:type="dxa"/>
            <w:tcBorders>
              <w:top w:val="single" w:sz="4" w:space="0" w:color="231F20"/>
            </w:tcBorders>
          </w:tcPr>
          <w:p>
            <w:pPr>
              <w:pStyle w:val="TableParagraph"/>
              <w:spacing w:before="10"/>
              <w:ind w:right="58"/>
              <w:jc w:val="right"/>
              <w:rPr>
                <w:sz w:val="18"/>
              </w:rPr>
            </w:pPr>
            <w:r>
              <w:rPr>
                <w:color w:val="231F20"/>
                <w:sz w:val="18"/>
              </w:rPr>
              <w:t>20,820</w:t>
            </w:r>
          </w:p>
        </w:tc>
      </w:tr>
      <w:tr>
        <w:trPr>
          <w:trHeight w:val="253" w:hRule="exact"/>
        </w:trPr>
        <w:tc>
          <w:tcPr>
            <w:tcW w:w="5520" w:type="dxa"/>
            <w:shd w:val="clear" w:color="auto" w:fill="CCECFC"/>
          </w:tcPr>
          <w:p>
            <w:pPr>
              <w:pStyle w:val="TableParagraph"/>
              <w:spacing w:before="10"/>
              <w:ind w:left="239"/>
              <w:rPr>
                <w:sz w:val="18"/>
              </w:rPr>
            </w:pPr>
            <w:r>
              <w:rPr>
                <w:color w:val="231F20"/>
                <w:sz w:val="18"/>
              </w:rPr>
              <w:t>Less allowance for depreciation and amortization</w:t>
            </w:r>
          </w:p>
        </w:tc>
        <w:tc>
          <w:tcPr>
            <w:tcW w:w="1700" w:type="dxa"/>
            <w:tcBorders>
              <w:bottom w:val="single" w:sz="4" w:space="0" w:color="231F20"/>
            </w:tcBorders>
            <w:shd w:val="clear" w:color="auto" w:fill="CCECFC"/>
          </w:tcPr>
          <w:p>
            <w:pPr>
              <w:pStyle w:val="TableParagraph"/>
              <w:spacing w:before="10"/>
              <w:ind w:right="58"/>
              <w:jc w:val="right"/>
              <w:rPr>
                <w:sz w:val="18"/>
              </w:rPr>
            </w:pPr>
            <w:r>
              <w:rPr>
                <w:color w:val="231F20"/>
                <w:sz w:val="18"/>
              </w:rPr>
              <w:t>8,221</w:t>
            </w:r>
          </w:p>
        </w:tc>
        <w:tc>
          <w:tcPr>
            <w:tcW w:w="200" w:type="dxa"/>
            <w:shd w:val="clear" w:color="auto" w:fill="CCECFC"/>
          </w:tcPr>
          <w:p>
            <w:pPr/>
          </w:p>
        </w:tc>
        <w:tc>
          <w:tcPr>
            <w:tcW w:w="1700" w:type="dxa"/>
            <w:tcBorders>
              <w:bottom w:val="single" w:sz="4" w:space="0" w:color="231F20"/>
            </w:tcBorders>
            <w:shd w:val="clear" w:color="auto" w:fill="CCECFC"/>
          </w:tcPr>
          <w:p>
            <w:pPr>
              <w:pStyle w:val="TableParagraph"/>
              <w:spacing w:before="10"/>
              <w:ind w:right="58"/>
              <w:jc w:val="right"/>
              <w:rPr>
                <w:sz w:val="18"/>
              </w:rPr>
            </w:pPr>
            <w:r>
              <w:rPr>
                <w:color w:val="231F20"/>
                <w:sz w:val="18"/>
              </w:rPr>
              <w:t>7,431</w:t>
            </w:r>
          </w:p>
        </w:tc>
      </w:tr>
      <w:tr>
        <w:trPr>
          <w:trHeight w:val="243" w:hRule="exact"/>
        </w:trPr>
        <w:tc>
          <w:tcPr>
            <w:tcW w:w="5520" w:type="dxa"/>
          </w:tcPr>
          <w:p>
            <w:pPr/>
          </w:p>
        </w:tc>
        <w:tc>
          <w:tcPr>
            <w:tcW w:w="1700" w:type="dxa"/>
            <w:tcBorders>
              <w:top w:val="single" w:sz="4" w:space="0" w:color="231F20"/>
            </w:tcBorders>
          </w:tcPr>
          <w:p>
            <w:pPr>
              <w:pStyle w:val="TableParagraph"/>
              <w:spacing w:before="10"/>
              <w:ind w:right="59"/>
              <w:jc w:val="right"/>
              <w:rPr>
                <w:sz w:val="18"/>
              </w:rPr>
            </w:pPr>
            <w:r>
              <w:rPr>
                <w:color w:val="231F20"/>
                <w:sz w:val="18"/>
              </w:rPr>
              <w:t>14,292</w:t>
            </w:r>
          </w:p>
        </w:tc>
        <w:tc>
          <w:tcPr>
            <w:tcW w:w="200" w:type="dxa"/>
          </w:tcPr>
          <w:p>
            <w:pPr/>
          </w:p>
        </w:tc>
        <w:tc>
          <w:tcPr>
            <w:tcW w:w="1700" w:type="dxa"/>
            <w:tcBorders>
              <w:top w:val="single" w:sz="4" w:space="0" w:color="231F20"/>
            </w:tcBorders>
          </w:tcPr>
          <w:p>
            <w:pPr>
              <w:pStyle w:val="TableParagraph"/>
              <w:spacing w:before="10"/>
              <w:ind w:right="58"/>
              <w:jc w:val="right"/>
              <w:rPr>
                <w:sz w:val="18"/>
              </w:rPr>
            </w:pPr>
            <w:r>
              <w:rPr>
                <w:color w:val="231F20"/>
                <w:sz w:val="18"/>
              </w:rPr>
              <w:t>13,389</w:t>
            </w:r>
          </w:p>
        </w:tc>
      </w:tr>
      <w:tr>
        <w:trPr>
          <w:trHeight w:val="206" w:hRule="exact"/>
        </w:trPr>
        <w:tc>
          <w:tcPr>
            <w:tcW w:w="5520" w:type="dxa"/>
            <w:shd w:val="clear" w:color="auto" w:fill="CCECFC"/>
          </w:tcPr>
          <w:p>
            <w:pPr>
              <w:pStyle w:val="TableParagraph"/>
              <w:spacing w:before="10"/>
              <w:ind w:left="60"/>
              <w:rPr>
                <w:sz w:val="18"/>
              </w:rPr>
            </w:pPr>
            <w:r>
              <w:rPr>
                <w:color w:val="231F20"/>
                <w:sz w:val="18"/>
              </w:rPr>
              <w:t>Goodwill</w:t>
            </w:r>
          </w:p>
        </w:tc>
        <w:tc>
          <w:tcPr>
            <w:tcW w:w="1700" w:type="dxa"/>
            <w:shd w:val="clear" w:color="auto" w:fill="CCECFC"/>
          </w:tcPr>
          <w:p>
            <w:pPr>
              <w:pStyle w:val="TableParagraph"/>
              <w:spacing w:before="10"/>
              <w:ind w:right="59"/>
              <w:jc w:val="right"/>
              <w:rPr>
                <w:sz w:val="18"/>
              </w:rPr>
            </w:pPr>
            <w:r>
              <w:rPr>
                <w:color w:val="231F20"/>
                <w:sz w:val="18"/>
              </w:rPr>
              <w:t>970</w:t>
            </w:r>
          </w:p>
        </w:tc>
        <w:tc>
          <w:tcPr>
            <w:tcW w:w="200" w:type="dxa"/>
            <w:shd w:val="clear" w:color="auto" w:fill="CCECFC"/>
          </w:tcPr>
          <w:p>
            <w:pPr/>
          </w:p>
        </w:tc>
        <w:tc>
          <w:tcPr>
            <w:tcW w:w="1700" w:type="dxa"/>
            <w:shd w:val="clear" w:color="auto" w:fill="CCECFC"/>
          </w:tcPr>
          <w:p>
            <w:pPr>
              <w:pStyle w:val="TableParagraph"/>
              <w:spacing w:before="10"/>
              <w:ind w:right="58"/>
              <w:jc w:val="right"/>
              <w:rPr>
                <w:sz w:val="18"/>
              </w:rPr>
            </w:pPr>
            <w:r>
              <w:rPr>
                <w:color w:val="231F20"/>
                <w:sz w:val="18"/>
              </w:rPr>
              <w:t>970</w:t>
            </w:r>
          </w:p>
        </w:tc>
      </w:tr>
      <w:tr>
        <w:trPr>
          <w:trHeight w:val="225" w:hRule="exact"/>
        </w:trPr>
        <w:tc>
          <w:tcPr>
            <w:tcW w:w="5520" w:type="dxa"/>
          </w:tcPr>
          <w:p>
            <w:pPr>
              <w:pStyle w:val="TableParagraph"/>
              <w:spacing w:line="189" w:lineRule="exact" w:before="0"/>
              <w:ind w:left="60"/>
              <w:rPr>
                <w:sz w:val="18"/>
              </w:rPr>
            </w:pPr>
            <w:r>
              <w:rPr>
                <w:color w:val="231F20"/>
                <w:sz w:val="18"/>
              </w:rPr>
              <w:t>Other assets</w:t>
            </w:r>
          </w:p>
        </w:tc>
        <w:tc>
          <w:tcPr>
            <w:tcW w:w="1700" w:type="dxa"/>
            <w:tcBorders>
              <w:bottom w:val="single" w:sz="4" w:space="0" w:color="231F20"/>
            </w:tcBorders>
          </w:tcPr>
          <w:p>
            <w:pPr>
              <w:pStyle w:val="TableParagraph"/>
              <w:spacing w:line="189" w:lineRule="exact" w:before="0"/>
              <w:ind w:right="59"/>
              <w:jc w:val="right"/>
              <w:rPr>
                <w:sz w:val="18"/>
              </w:rPr>
            </w:pPr>
            <w:r>
              <w:rPr>
                <w:color w:val="231F20"/>
                <w:sz w:val="18"/>
              </w:rPr>
              <w:t>534</w:t>
            </w:r>
          </w:p>
        </w:tc>
        <w:tc>
          <w:tcPr>
            <w:tcW w:w="200" w:type="dxa"/>
          </w:tcPr>
          <w:p>
            <w:pPr/>
          </w:p>
        </w:tc>
        <w:tc>
          <w:tcPr>
            <w:tcW w:w="1700" w:type="dxa"/>
            <w:tcBorders>
              <w:bottom w:val="single" w:sz="4" w:space="0" w:color="231F20"/>
            </w:tcBorders>
          </w:tcPr>
          <w:p>
            <w:pPr>
              <w:pStyle w:val="TableParagraph"/>
              <w:spacing w:line="189" w:lineRule="exact" w:before="0"/>
              <w:ind w:right="58"/>
              <w:jc w:val="right"/>
              <w:rPr>
                <w:sz w:val="18"/>
              </w:rPr>
            </w:pPr>
            <w:r>
              <w:rPr>
                <w:color w:val="231F20"/>
                <w:sz w:val="18"/>
              </w:rPr>
              <w:t>530</w:t>
            </w:r>
          </w:p>
        </w:tc>
      </w:tr>
      <w:tr>
        <w:trPr>
          <w:trHeight w:val="298" w:hRule="exact"/>
        </w:trPr>
        <w:tc>
          <w:tcPr>
            <w:tcW w:w="5520" w:type="dxa"/>
            <w:shd w:val="clear" w:color="auto" w:fill="CCECFC"/>
          </w:tcPr>
          <w:p>
            <w:pPr/>
          </w:p>
        </w:tc>
        <w:tc>
          <w:tcPr>
            <w:tcW w:w="1700" w:type="dxa"/>
            <w:tcBorders>
              <w:top w:val="single" w:sz="4" w:space="0" w:color="231F20"/>
              <w:bottom w:val="single" w:sz="4" w:space="0" w:color="231F20"/>
            </w:tcBorders>
            <w:shd w:val="clear" w:color="auto" w:fill="CCECFC"/>
          </w:tcPr>
          <w:p>
            <w:pPr>
              <w:pStyle w:val="TableParagraph"/>
              <w:tabs>
                <w:tab w:pos="1144" w:val="left" w:leader="none"/>
              </w:tabs>
              <w:spacing w:before="10"/>
              <w:ind w:right="58"/>
              <w:jc w:val="right"/>
              <w:rPr>
                <w:sz w:val="18"/>
              </w:rPr>
            </w:pPr>
            <w:r>
              <w:rPr>
                <w:color w:val="231F20"/>
                <w:sz w:val="18"/>
              </w:rPr>
              <w:t>$</w:t>
              <w:tab/>
              <w:t>20,200</w:t>
            </w:r>
          </w:p>
        </w:tc>
        <w:tc>
          <w:tcPr>
            <w:tcW w:w="200" w:type="dxa"/>
            <w:shd w:val="clear" w:color="auto" w:fill="CCECFC"/>
          </w:tcPr>
          <w:p>
            <w:pPr/>
          </w:p>
        </w:tc>
        <w:tc>
          <w:tcPr>
            <w:tcW w:w="1700" w:type="dxa"/>
            <w:tcBorders>
              <w:top w:val="single" w:sz="4" w:space="0" w:color="231F20"/>
              <w:bottom w:val="single" w:sz="4" w:space="0" w:color="231F20"/>
            </w:tcBorders>
            <w:shd w:val="clear" w:color="auto" w:fill="CCECFC"/>
          </w:tcPr>
          <w:p>
            <w:pPr>
              <w:pStyle w:val="TableParagraph"/>
              <w:tabs>
                <w:tab w:pos="1144" w:val="left" w:leader="none"/>
              </w:tabs>
              <w:spacing w:before="10"/>
              <w:ind w:right="58"/>
              <w:jc w:val="right"/>
              <w:rPr>
                <w:sz w:val="18"/>
              </w:rPr>
            </w:pPr>
            <w:r>
              <w:rPr>
                <w:color w:val="231F20"/>
                <w:sz w:val="18"/>
              </w:rPr>
              <w:t>$</w:t>
              <w:tab/>
              <w:t>19,345</w:t>
            </w:r>
          </w:p>
        </w:tc>
      </w:tr>
    </w:tbl>
    <w:p>
      <w:pPr>
        <w:pStyle w:val="BodyText"/>
        <w:spacing w:before="2"/>
        <w:rPr>
          <w:b/>
        </w:rPr>
      </w:pPr>
    </w:p>
    <w:p>
      <w:pPr>
        <w:tabs>
          <w:tab w:pos="9219" w:val="left" w:leader="none"/>
        </w:tabs>
        <w:spacing w:before="1"/>
        <w:ind w:left="100" w:right="0" w:firstLine="0"/>
        <w:jc w:val="left"/>
        <w:rPr>
          <w:b/>
          <w:sz w:val="18"/>
        </w:rPr>
      </w:pPr>
      <w:r>
        <w:rPr/>
        <w:pict>
          <v:line style="position:absolute;mso-position-horizontal-relative:page;mso-position-vertical-relative:paragraph;z-index:-406720" from="345pt,-15.247663pt" to="430pt,-15.247663pt" stroked="true" strokeweight=".5pt" strokecolor="#231f20">
            <v:stroke dashstyle="solid"/>
            <w10:wrap type="none"/>
          </v:line>
        </w:pict>
      </w:r>
      <w:r>
        <w:rPr/>
        <w:pict>
          <v:line style="position:absolute;mso-position-horizontal-relative:page;mso-position-vertical-relative:paragraph;z-index:-406696" from="440pt,-15.247663pt" to="525pt,-15.247663pt" stroked="true" strokeweight=".5pt" strokecolor="#231f20">
            <v:stroke dashstyle="solid"/>
            <w10:wrap type="none"/>
          </v:line>
        </w:pict>
      </w:r>
      <w:r>
        <w:rPr>
          <w:b/>
          <w:color w:val="231F20"/>
          <w:spacing w:val="15"/>
          <w:sz w:val="18"/>
          <w:shd w:fill="CCECFC" w:color="auto" w:val="clear"/>
        </w:rPr>
        <w:t> </w:t>
      </w:r>
      <w:r>
        <w:rPr>
          <w:b/>
          <w:color w:val="231F20"/>
          <w:sz w:val="18"/>
          <w:shd w:fill="CCECFC" w:color="auto" w:val="clear"/>
        </w:rPr>
        <w:t>LIABILITIES AND STOCKHOLDERS’</w:t>
      </w:r>
      <w:r>
        <w:rPr>
          <w:b/>
          <w:color w:val="231F20"/>
          <w:spacing w:val="-3"/>
          <w:sz w:val="18"/>
          <w:shd w:fill="CCECFC" w:color="auto" w:val="clear"/>
        </w:rPr>
        <w:t> </w:t>
      </w:r>
      <w:r>
        <w:rPr>
          <w:b/>
          <w:color w:val="231F20"/>
          <w:sz w:val="18"/>
          <w:shd w:fill="CCECFC" w:color="auto" w:val="clear"/>
        </w:rPr>
        <w:t>EQUITY</w:t>
        <w:tab/>
      </w:r>
    </w:p>
    <w:p>
      <w:pPr>
        <w:spacing w:before="31" w:after="21"/>
        <w:ind w:left="160" w:right="0" w:firstLine="0"/>
        <w:jc w:val="left"/>
        <w:rPr>
          <w:sz w:val="18"/>
        </w:rPr>
      </w:pPr>
      <w:r>
        <w:rPr>
          <w:color w:val="231F20"/>
          <w:sz w:val="18"/>
        </w:rPr>
        <w:t>Current liabilities: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90"/>
        <w:gridCol w:w="3230"/>
        <w:gridCol w:w="1700"/>
      </w:tblGrid>
      <w:tr>
        <w:trPr>
          <w:trHeight w:val="238" w:hRule="exact"/>
        </w:trPr>
        <w:tc>
          <w:tcPr>
            <w:tcW w:w="4190" w:type="dxa"/>
            <w:shd w:val="clear" w:color="auto" w:fill="CCECFC"/>
          </w:tcPr>
          <w:p>
            <w:pPr>
              <w:pStyle w:val="TableParagraph"/>
              <w:spacing w:before="10"/>
              <w:ind w:left="240"/>
              <w:rPr>
                <w:sz w:val="18"/>
              </w:rPr>
            </w:pPr>
            <w:r>
              <w:rPr>
                <w:color w:val="231F20"/>
                <w:sz w:val="18"/>
              </w:rPr>
              <w:t>Accounts payable</w:t>
            </w:r>
          </w:p>
        </w:tc>
        <w:tc>
          <w:tcPr>
            <w:tcW w:w="3230" w:type="dxa"/>
            <w:shd w:val="clear" w:color="auto" w:fill="CCECFC"/>
          </w:tcPr>
          <w:p>
            <w:pPr>
              <w:pStyle w:val="TableParagraph"/>
              <w:tabs>
                <w:tab w:pos="1234" w:val="left" w:leader="none"/>
              </w:tabs>
              <w:spacing w:before="10"/>
              <w:ind w:right="259"/>
              <w:jc w:val="right"/>
              <w:rPr>
                <w:sz w:val="18"/>
              </w:rPr>
            </w:pPr>
            <w:r>
              <w:rPr>
                <w:color w:val="231F20"/>
                <w:sz w:val="18"/>
              </w:rPr>
              <w:t>$</w:t>
              <w:tab/>
              <w:t>1,203</w:t>
            </w:r>
          </w:p>
        </w:tc>
        <w:tc>
          <w:tcPr>
            <w:tcW w:w="1700" w:type="dxa"/>
            <w:shd w:val="clear" w:color="auto" w:fill="CCECFC"/>
          </w:tcPr>
          <w:p>
            <w:pPr>
              <w:pStyle w:val="TableParagraph"/>
              <w:tabs>
                <w:tab w:pos="1234" w:val="left" w:leader="none"/>
              </w:tabs>
              <w:spacing w:before="10"/>
              <w:ind w:right="58"/>
              <w:jc w:val="right"/>
              <w:rPr>
                <w:sz w:val="18"/>
              </w:rPr>
            </w:pPr>
            <w:r>
              <w:rPr>
                <w:color w:val="231F20"/>
                <w:sz w:val="18"/>
              </w:rPr>
              <w:t>$</w:t>
              <w:tab/>
              <w:t>1,247</w:t>
            </w:r>
          </w:p>
        </w:tc>
      </w:tr>
      <w:tr>
        <w:trPr>
          <w:trHeight w:val="238" w:hRule="exact"/>
        </w:trPr>
        <w:tc>
          <w:tcPr>
            <w:tcW w:w="4190" w:type="dxa"/>
          </w:tcPr>
          <w:p>
            <w:pPr>
              <w:pStyle w:val="TableParagraph"/>
              <w:spacing w:before="10"/>
              <w:ind w:left="240"/>
              <w:rPr>
                <w:sz w:val="18"/>
              </w:rPr>
            </w:pPr>
            <w:r>
              <w:rPr>
                <w:color w:val="231F20"/>
                <w:sz w:val="18"/>
              </w:rPr>
              <w:t>Accrued liabilities</w:t>
            </w:r>
          </w:p>
        </w:tc>
        <w:tc>
          <w:tcPr>
            <w:tcW w:w="3230" w:type="dxa"/>
          </w:tcPr>
          <w:p>
            <w:pPr>
              <w:pStyle w:val="TableParagraph"/>
              <w:spacing w:before="10"/>
              <w:ind w:right="257"/>
              <w:jc w:val="right"/>
              <w:rPr>
                <w:sz w:val="18"/>
              </w:rPr>
            </w:pPr>
            <w:r>
              <w:rPr>
                <w:color w:val="231F20"/>
                <w:sz w:val="18"/>
              </w:rPr>
              <w:t>1,565</w:t>
            </w:r>
          </w:p>
        </w:tc>
        <w:tc>
          <w:tcPr>
            <w:tcW w:w="1700" w:type="dxa"/>
          </w:tcPr>
          <w:p>
            <w:pPr>
              <w:pStyle w:val="TableParagraph"/>
              <w:spacing w:before="10"/>
              <w:ind w:right="58"/>
              <w:jc w:val="right"/>
              <w:rPr>
                <w:sz w:val="18"/>
              </w:rPr>
            </w:pPr>
            <w:r>
              <w:rPr>
                <w:color w:val="231F20"/>
                <w:sz w:val="18"/>
              </w:rPr>
              <w:t>1,229</w:t>
            </w:r>
          </w:p>
        </w:tc>
      </w:tr>
      <w:tr>
        <w:trPr>
          <w:trHeight w:val="238" w:hRule="exact"/>
        </w:trPr>
        <w:tc>
          <w:tcPr>
            <w:tcW w:w="4190" w:type="dxa"/>
            <w:shd w:val="clear" w:color="auto" w:fill="CCECFC"/>
          </w:tcPr>
          <w:p>
            <w:pPr>
              <w:pStyle w:val="TableParagraph"/>
              <w:spacing w:before="10"/>
              <w:ind w:left="240"/>
              <w:rPr>
                <w:sz w:val="18"/>
              </w:rPr>
            </w:pPr>
            <w:r>
              <w:rPr>
                <w:color w:val="231F20"/>
                <w:sz w:val="18"/>
              </w:rPr>
              <w:t>Air traffic liability</w:t>
            </w:r>
          </w:p>
        </w:tc>
        <w:tc>
          <w:tcPr>
            <w:tcW w:w="3230" w:type="dxa"/>
            <w:shd w:val="clear" w:color="auto" w:fill="CCECFC"/>
          </w:tcPr>
          <w:p>
            <w:pPr>
              <w:pStyle w:val="TableParagraph"/>
              <w:spacing w:before="10"/>
              <w:ind w:right="259"/>
              <w:jc w:val="right"/>
              <w:rPr>
                <w:sz w:val="18"/>
              </w:rPr>
            </w:pPr>
            <w:r>
              <w:rPr>
                <w:color w:val="231F20"/>
                <w:sz w:val="18"/>
              </w:rPr>
              <w:t>2,897</w:t>
            </w:r>
          </w:p>
        </w:tc>
        <w:tc>
          <w:tcPr>
            <w:tcW w:w="1700" w:type="dxa"/>
            <w:shd w:val="clear" w:color="auto" w:fill="CCECFC"/>
          </w:tcPr>
          <w:p>
            <w:pPr>
              <w:pStyle w:val="TableParagraph"/>
              <w:spacing w:before="10"/>
              <w:ind w:right="58"/>
              <w:jc w:val="right"/>
              <w:rPr>
                <w:sz w:val="18"/>
              </w:rPr>
            </w:pPr>
            <w:r>
              <w:rPr>
                <w:color w:val="231F20"/>
                <w:sz w:val="18"/>
              </w:rPr>
              <w:t>2,571</w:t>
            </w:r>
          </w:p>
        </w:tc>
      </w:tr>
      <w:tr>
        <w:trPr>
          <w:trHeight w:val="233" w:hRule="exact"/>
        </w:trPr>
        <w:tc>
          <w:tcPr>
            <w:tcW w:w="4190" w:type="dxa"/>
          </w:tcPr>
          <w:p>
            <w:pPr>
              <w:pStyle w:val="TableParagraph"/>
              <w:spacing w:before="10"/>
              <w:ind w:left="240"/>
              <w:rPr>
                <w:sz w:val="18"/>
              </w:rPr>
            </w:pPr>
            <w:r>
              <w:rPr>
                <w:color w:val="231F20"/>
                <w:sz w:val="18"/>
              </w:rPr>
              <w:t>Current maturities of long-term debt</w:t>
            </w:r>
          </w:p>
        </w:tc>
        <w:tc>
          <w:tcPr>
            <w:tcW w:w="3230" w:type="dxa"/>
          </w:tcPr>
          <w:p>
            <w:pPr>
              <w:pStyle w:val="TableParagraph"/>
              <w:tabs>
                <w:tab w:pos="1369" w:val="left" w:leader="none"/>
              </w:tabs>
              <w:spacing w:before="10"/>
              <w:ind w:right="197"/>
              <w:jc w:val="right"/>
              <w:rPr>
                <w:sz w:val="18"/>
              </w:rPr>
            </w:pPr>
            <w:r>
              <w:rPr>
                <w:color w:val="231F20"/>
                <w:sz w:val="18"/>
                <w:u w:val="single" w:color="231F20"/>
              </w:rPr>
              <w:t> </w:t>
              <w:tab/>
              <w:t>258</w:t>
            </w:r>
            <w:r>
              <w:rPr>
                <w:color w:val="231F20"/>
                <w:spacing w:val="15"/>
                <w:sz w:val="18"/>
                <w:u w:val="single" w:color="231F20"/>
              </w:rPr>
              <w:t> </w:t>
            </w:r>
          </w:p>
        </w:tc>
        <w:tc>
          <w:tcPr>
            <w:tcW w:w="1700" w:type="dxa"/>
            <w:tcBorders>
              <w:bottom w:val="single" w:sz="4" w:space="0" w:color="231F20"/>
            </w:tcBorders>
          </w:tcPr>
          <w:p>
            <w:pPr>
              <w:pStyle w:val="TableParagraph"/>
              <w:spacing w:before="10"/>
              <w:ind w:right="58"/>
              <w:jc w:val="right"/>
              <w:rPr>
                <w:sz w:val="18"/>
              </w:rPr>
            </w:pPr>
            <w:r>
              <w:rPr>
                <w:color w:val="231F20"/>
                <w:sz w:val="18"/>
              </w:rPr>
              <w:t>629</w:t>
            </w:r>
          </w:p>
        </w:tc>
      </w:tr>
      <w:tr>
        <w:trPr>
          <w:trHeight w:val="243" w:hRule="exact"/>
        </w:trPr>
        <w:tc>
          <w:tcPr>
            <w:tcW w:w="4190" w:type="dxa"/>
            <w:shd w:val="clear" w:color="auto" w:fill="CCECFC"/>
          </w:tcPr>
          <w:p>
            <w:pPr>
              <w:pStyle w:val="TableParagraph"/>
              <w:spacing w:before="10"/>
              <w:ind w:left="420"/>
              <w:rPr>
                <w:sz w:val="18"/>
              </w:rPr>
            </w:pPr>
            <w:r>
              <w:rPr>
                <w:color w:val="231F20"/>
                <w:sz w:val="18"/>
              </w:rPr>
              <w:t>Total current liabilities</w:t>
            </w:r>
          </w:p>
        </w:tc>
        <w:tc>
          <w:tcPr>
            <w:tcW w:w="3230" w:type="dxa"/>
            <w:shd w:val="clear" w:color="auto" w:fill="CCECFC"/>
          </w:tcPr>
          <w:p>
            <w:pPr>
              <w:pStyle w:val="TableParagraph"/>
              <w:spacing w:before="10"/>
              <w:ind w:right="257"/>
              <w:jc w:val="right"/>
              <w:rPr>
                <w:sz w:val="18"/>
              </w:rPr>
            </w:pPr>
            <w:r>
              <w:rPr>
                <w:color w:val="231F20"/>
                <w:sz w:val="18"/>
              </w:rPr>
              <w:t>5,923</w:t>
            </w:r>
          </w:p>
        </w:tc>
        <w:tc>
          <w:tcPr>
            <w:tcW w:w="1700" w:type="dxa"/>
            <w:tcBorders>
              <w:top w:val="single" w:sz="4" w:space="0" w:color="231F20"/>
            </w:tcBorders>
            <w:shd w:val="clear" w:color="auto" w:fill="CCECFC"/>
          </w:tcPr>
          <w:p>
            <w:pPr>
              <w:pStyle w:val="TableParagraph"/>
              <w:spacing w:before="10"/>
              <w:ind w:right="58"/>
              <w:jc w:val="right"/>
              <w:rPr>
                <w:sz w:val="18"/>
              </w:rPr>
            </w:pPr>
            <w:r>
              <w:rPr>
                <w:color w:val="231F20"/>
                <w:sz w:val="18"/>
              </w:rPr>
              <w:t>5,676</w:t>
            </w:r>
          </w:p>
        </w:tc>
      </w:tr>
    </w:tbl>
    <w:p>
      <w:pPr>
        <w:pStyle w:val="BodyText"/>
        <w:spacing w:before="1"/>
        <w:rPr>
          <w:sz w:val="2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800"/>
        <w:gridCol w:w="100"/>
        <w:gridCol w:w="1700"/>
      </w:tblGrid>
      <w:tr>
        <w:trPr>
          <w:trHeight w:val="358" w:hRule="exact"/>
        </w:trPr>
        <w:tc>
          <w:tcPr>
            <w:tcW w:w="5520" w:type="dxa"/>
            <w:shd w:val="clear" w:color="auto" w:fill="CCECFC"/>
          </w:tcPr>
          <w:p>
            <w:pPr>
              <w:pStyle w:val="TableParagraph"/>
              <w:spacing w:before="130"/>
              <w:ind w:left="60"/>
              <w:rPr>
                <w:sz w:val="18"/>
              </w:rPr>
            </w:pPr>
            <w:r>
              <w:rPr>
                <w:color w:val="231F20"/>
                <w:sz w:val="18"/>
              </w:rPr>
              <w:t>Long-term debt less current maturities</w:t>
            </w:r>
          </w:p>
        </w:tc>
        <w:tc>
          <w:tcPr>
            <w:tcW w:w="1900" w:type="dxa"/>
            <w:gridSpan w:val="2"/>
            <w:shd w:val="clear" w:color="auto" w:fill="CCECFC"/>
          </w:tcPr>
          <w:p>
            <w:pPr>
              <w:pStyle w:val="TableParagraph"/>
              <w:spacing w:before="130"/>
              <w:ind w:left="1234"/>
              <w:rPr>
                <w:sz w:val="18"/>
              </w:rPr>
            </w:pPr>
            <w:r>
              <w:rPr>
                <w:color w:val="231F20"/>
                <w:sz w:val="18"/>
              </w:rPr>
              <w:t>2,434</w:t>
            </w:r>
          </w:p>
        </w:tc>
        <w:tc>
          <w:tcPr>
            <w:tcW w:w="1700" w:type="dxa"/>
            <w:shd w:val="clear" w:color="auto" w:fill="CCECFC"/>
          </w:tcPr>
          <w:p>
            <w:pPr>
              <w:pStyle w:val="TableParagraph"/>
              <w:spacing w:before="130"/>
              <w:ind w:right="58"/>
              <w:jc w:val="right"/>
              <w:rPr>
                <w:sz w:val="18"/>
              </w:rPr>
            </w:pPr>
            <w:r>
              <w:rPr>
                <w:color w:val="231F20"/>
                <w:sz w:val="18"/>
              </w:rPr>
              <w:t>2,191</w:t>
            </w:r>
          </w:p>
        </w:tc>
      </w:tr>
      <w:tr>
        <w:trPr>
          <w:trHeight w:val="238" w:hRule="exact"/>
        </w:trPr>
        <w:tc>
          <w:tcPr>
            <w:tcW w:w="5520" w:type="dxa"/>
          </w:tcPr>
          <w:p>
            <w:pPr>
              <w:pStyle w:val="TableParagraph"/>
              <w:spacing w:before="10"/>
              <w:ind w:left="60"/>
              <w:rPr>
                <w:sz w:val="18"/>
              </w:rPr>
            </w:pPr>
            <w:r>
              <w:rPr>
                <w:color w:val="231F20"/>
                <w:sz w:val="18"/>
              </w:rPr>
              <w:t>Deferred income taxes</w:t>
            </w:r>
          </w:p>
        </w:tc>
        <w:tc>
          <w:tcPr>
            <w:tcW w:w="1900" w:type="dxa"/>
            <w:gridSpan w:val="2"/>
          </w:tcPr>
          <w:p>
            <w:pPr>
              <w:pStyle w:val="TableParagraph"/>
              <w:spacing w:before="10"/>
              <w:ind w:left="1234"/>
              <w:rPr>
                <w:sz w:val="18"/>
              </w:rPr>
            </w:pPr>
            <w:r>
              <w:rPr>
                <w:color w:val="231F20"/>
                <w:sz w:val="18"/>
              </w:rPr>
              <w:t>3,259</w:t>
            </w:r>
          </w:p>
        </w:tc>
        <w:tc>
          <w:tcPr>
            <w:tcW w:w="1700" w:type="dxa"/>
          </w:tcPr>
          <w:p>
            <w:pPr>
              <w:pStyle w:val="TableParagraph"/>
              <w:spacing w:before="10"/>
              <w:ind w:right="58"/>
              <w:jc w:val="right"/>
              <w:rPr>
                <w:sz w:val="18"/>
              </w:rPr>
            </w:pPr>
            <w:r>
              <w:rPr>
                <w:color w:val="231F20"/>
                <w:sz w:val="18"/>
              </w:rPr>
              <w:t>2,934</w:t>
            </w:r>
          </w:p>
        </w:tc>
      </w:tr>
      <w:tr>
        <w:trPr>
          <w:trHeight w:val="238" w:hRule="exact"/>
        </w:trPr>
        <w:tc>
          <w:tcPr>
            <w:tcW w:w="5520" w:type="dxa"/>
            <w:shd w:val="clear" w:color="auto" w:fill="CCECFC"/>
          </w:tcPr>
          <w:p>
            <w:pPr>
              <w:pStyle w:val="TableParagraph"/>
              <w:spacing w:before="10"/>
              <w:ind w:left="60"/>
              <w:rPr>
                <w:sz w:val="18"/>
              </w:rPr>
            </w:pPr>
            <w:r>
              <w:rPr>
                <w:color w:val="231F20"/>
                <w:sz w:val="18"/>
              </w:rPr>
              <w:t>Construction obligation</w:t>
            </w:r>
          </w:p>
        </w:tc>
        <w:tc>
          <w:tcPr>
            <w:tcW w:w="1900" w:type="dxa"/>
            <w:gridSpan w:val="2"/>
            <w:shd w:val="clear" w:color="auto" w:fill="CCECFC"/>
          </w:tcPr>
          <w:p>
            <w:pPr>
              <w:pStyle w:val="TableParagraph"/>
              <w:spacing w:before="10"/>
              <w:ind w:right="259"/>
              <w:jc w:val="right"/>
              <w:rPr>
                <w:sz w:val="18"/>
              </w:rPr>
            </w:pPr>
            <w:r>
              <w:rPr>
                <w:color w:val="231F20"/>
                <w:sz w:val="18"/>
              </w:rPr>
              <w:t>554</w:t>
            </w:r>
          </w:p>
        </w:tc>
        <w:tc>
          <w:tcPr>
            <w:tcW w:w="1700" w:type="dxa"/>
            <w:shd w:val="clear" w:color="auto" w:fill="CCECFC"/>
          </w:tcPr>
          <w:p>
            <w:pPr>
              <w:pStyle w:val="TableParagraph"/>
              <w:spacing w:before="10"/>
              <w:ind w:right="58"/>
              <w:jc w:val="right"/>
              <w:rPr>
                <w:sz w:val="18"/>
              </w:rPr>
            </w:pPr>
            <w:r>
              <w:rPr>
                <w:color w:val="231F20"/>
                <w:sz w:val="18"/>
              </w:rPr>
              <w:t>437</w:t>
            </w:r>
          </w:p>
        </w:tc>
      </w:tr>
      <w:tr>
        <w:trPr>
          <w:trHeight w:val="217" w:hRule="exact"/>
        </w:trPr>
        <w:tc>
          <w:tcPr>
            <w:tcW w:w="5520" w:type="dxa"/>
          </w:tcPr>
          <w:p>
            <w:pPr>
              <w:pStyle w:val="TableParagraph"/>
              <w:spacing w:before="10"/>
              <w:ind w:left="60"/>
              <w:rPr>
                <w:sz w:val="18"/>
              </w:rPr>
            </w:pPr>
            <w:r>
              <w:rPr>
                <w:color w:val="231F20"/>
                <w:sz w:val="18"/>
              </w:rPr>
              <w:t>Other noncurrent liabilities</w:t>
            </w:r>
          </w:p>
        </w:tc>
        <w:tc>
          <w:tcPr>
            <w:tcW w:w="1900" w:type="dxa"/>
            <w:gridSpan w:val="2"/>
          </w:tcPr>
          <w:p>
            <w:pPr>
              <w:pStyle w:val="TableParagraph"/>
              <w:spacing w:before="10"/>
              <w:ind w:left="1234"/>
              <w:rPr>
                <w:sz w:val="18"/>
              </w:rPr>
            </w:pPr>
            <w:r>
              <w:rPr>
                <w:color w:val="231F20"/>
                <w:sz w:val="18"/>
              </w:rPr>
              <w:t>1,255</w:t>
            </w:r>
          </w:p>
        </w:tc>
        <w:tc>
          <w:tcPr>
            <w:tcW w:w="1700" w:type="dxa"/>
          </w:tcPr>
          <w:p>
            <w:pPr>
              <w:pStyle w:val="TableParagraph"/>
              <w:spacing w:before="10"/>
              <w:ind w:right="58"/>
              <w:jc w:val="right"/>
              <w:rPr>
                <w:sz w:val="18"/>
              </w:rPr>
            </w:pPr>
            <w:r>
              <w:rPr>
                <w:color w:val="231F20"/>
                <w:sz w:val="18"/>
              </w:rPr>
              <w:t>771</w:t>
            </w:r>
          </w:p>
        </w:tc>
      </w:tr>
      <w:tr>
        <w:trPr>
          <w:trHeight w:val="464" w:hRule="exact"/>
        </w:trPr>
        <w:tc>
          <w:tcPr>
            <w:tcW w:w="9120" w:type="dxa"/>
            <w:gridSpan w:val="4"/>
          </w:tcPr>
          <w:p>
            <w:pPr>
              <w:pStyle w:val="TableParagraph"/>
              <w:tabs>
                <w:tab w:pos="9119" w:val="left" w:leader="none"/>
              </w:tabs>
              <w:spacing w:line="276" w:lineRule="auto" w:before="30"/>
              <w:ind w:left="240" w:hanging="240"/>
              <w:rPr>
                <w:sz w:val="18"/>
              </w:rPr>
            </w:pPr>
            <w:r>
              <w:rPr>
                <w:color w:val="231F20"/>
                <w:spacing w:val="15"/>
                <w:sz w:val="18"/>
                <w:shd w:fill="CCECFC" w:color="auto" w:val="clear"/>
              </w:rPr>
              <w:t> </w:t>
            </w:r>
            <w:r>
              <w:rPr>
                <w:color w:val="231F20"/>
                <w:sz w:val="18"/>
                <w:shd w:fill="CCECFC" w:color="auto" w:val="clear"/>
              </w:rPr>
              <w:t>Stockholders’ equity:</w:t>
              <w:tab/>
            </w:r>
            <w:r>
              <w:rPr>
                <w:color w:val="231F20"/>
                <w:sz w:val="18"/>
              </w:rPr>
              <w:t> Common stock, $1.00 par value: 2,000,000,000 shares</w:t>
            </w:r>
            <w:r>
              <w:rPr>
                <w:color w:val="231F20"/>
                <w:spacing w:val="-1"/>
                <w:sz w:val="18"/>
              </w:rPr>
              <w:t> </w:t>
            </w:r>
            <w:r>
              <w:rPr>
                <w:color w:val="231F20"/>
                <w:sz w:val="18"/>
              </w:rPr>
              <w:t>authorized;</w:t>
            </w:r>
          </w:p>
        </w:tc>
      </w:tr>
      <w:tr>
        <w:trPr>
          <w:trHeight w:val="210" w:hRule="exact"/>
        </w:trPr>
        <w:tc>
          <w:tcPr>
            <w:tcW w:w="5520" w:type="dxa"/>
          </w:tcPr>
          <w:p>
            <w:pPr>
              <w:pStyle w:val="TableParagraph"/>
              <w:spacing w:line="201" w:lineRule="exact" w:before="0"/>
              <w:ind w:left="420"/>
              <w:rPr>
                <w:sz w:val="18"/>
              </w:rPr>
            </w:pPr>
            <w:r>
              <w:rPr>
                <w:color w:val="231F20"/>
                <w:sz w:val="18"/>
              </w:rPr>
              <w:t>807,611,634 shares issued in 2014 and 2013</w:t>
            </w:r>
          </w:p>
        </w:tc>
        <w:tc>
          <w:tcPr>
            <w:tcW w:w="1900" w:type="dxa"/>
            <w:gridSpan w:val="2"/>
          </w:tcPr>
          <w:p>
            <w:pPr>
              <w:pStyle w:val="TableParagraph"/>
              <w:spacing w:line="201" w:lineRule="exact" w:before="0"/>
              <w:ind w:right="257"/>
              <w:jc w:val="right"/>
              <w:rPr>
                <w:sz w:val="18"/>
              </w:rPr>
            </w:pPr>
            <w:r>
              <w:rPr>
                <w:color w:val="231F20"/>
                <w:sz w:val="18"/>
              </w:rPr>
              <w:t>808</w:t>
            </w:r>
          </w:p>
        </w:tc>
        <w:tc>
          <w:tcPr>
            <w:tcW w:w="1700" w:type="dxa"/>
          </w:tcPr>
          <w:p>
            <w:pPr>
              <w:pStyle w:val="TableParagraph"/>
              <w:spacing w:line="201" w:lineRule="exact" w:before="0"/>
              <w:ind w:right="58"/>
              <w:jc w:val="right"/>
              <w:rPr>
                <w:sz w:val="18"/>
              </w:rPr>
            </w:pPr>
            <w:r>
              <w:rPr>
                <w:color w:val="231F20"/>
                <w:sz w:val="18"/>
              </w:rPr>
              <w:t>808</w:t>
            </w:r>
          </w:p>
        </w:tc>
      </w:tr>
      <w:tr>
        <w:trPr>
          <w:trHeight w:val="238" w:hRule="exact"/>
        </w:trPr>
        <w:tc>
          <w:tcPr>
            <w:tcW w:w="5520" w:type="dxa"/>
            <w:shd w:val="clear" w:color="auto" w:fill="CCECFC"/>
          </w:tcPr>
          <w:p>
            <w:pPr>
              <w:pStyle w:val="TableParagraph"/>
              <w:spacing w:before="10"/>
              <w:ind w:left="240"/>
              <w:rPr>
                <w:sz w:val="18"/>
              </w:rPr>
            </w:pPr>
            <w:r>
              <w:rPr>
                <w:color w:val="231F20"/>
                <w:sz w:val="18"/>
              </w:rPr>
              <w:t>Capital in excess of par value</w:t>
            </w:r>
          </w:p>
        </w:tc>
        <w:tc>
          <w:tcPr>
            <w:tcW w:w="1900" w:type="dxa"/>
            <w:gridSpan w:val="2"/>
            <w:shd w:val="clear" w:color="auto" w:fill="CCECFC"/>
          </w:tcPr>
          <w:p>
            <w:pPr>
              <w:pStyle w:val="TableParagraph"/>
              <w:spacing w:before="10"/>
              <w:ind w:left="1234"/>
              <w:rPr>
                <w:sz w:val="18"/>
              </w:rPr>
            </w:pPr>
            <w:r>
              <w:rPr>
                <w:color w:val="231F20"/>
                <w:sz w:val="18"/>
              </w:rPr>
              <w:t>1,315</w:t>
            </w:r>
          </w:p>
        </w:tc>
        <w:tc>
          <w:tcPr>
            <w:tcW w:w="1700" w:type="dxa"/>
            <w:shd w:val="clear" w:color="auto" w:fill="CCECFC"/>
          </w:tcPr>
          <w:p>
            <w:pPr>
              <w:pStyle w:val="TableParagraph"/>
              <w:spacing w:before="10"/>
              <w:ind w:right="58"/>
              <w:jc w:val="right"/>
              <w:rPr>
                <w:sz w:val="18"/>
              </w:rPr>
            </w:pPr>
            <w:r>
              <w:rPr>
                <w:color w:val="231F20"/>
                <w:sz w:val="18"/>
              </w:rPr>
              <w:t>1,231</w:t>
            </w:r>
          </w:p>
        </w:tc>
      </w:tr>
      <w:tr>
        <w:trPr>
          <w:trHeight w:val="238" w:hRule="exact"/>
        </w:trPr>
        <w:tc>
          <w:tcPr>
            <w:tcW w:w="5520" w:type="dxa"/>
          </w:tcPr>
          <w:p>
            <w:pPr>
              <w:pStyle w:val="TableParagraph"/>
              <w:spacing w:before="10"/>
              <w:ind w:left="240"/>
              <w:rPr>
                <w:sz w:val="18"/>
              </w:rPr>
            </w:pPr>
            <w:r>
              <w:rPr>
                <w:color w:val="231F20"/>
                <w:sz w:val="18"/>
              </w:rPr>
              <w:t>Retained earnings</w:t>
            </w:r>
          </w:p>
        </w:tc>
        <w:tc>
          <w:tcPr>
            <w:tcW w:w="1900" w:type="dxa"/>
            <w:gridSpan w:val="2"/>
          </w:tcPr>
          <w:p>
            <w:pPr>
              <w:pStyle w:val="TableParagraph"/>
              <w:spacing w:before="10"/>
              <w:ind w:left="1234"/>
              <w:rPr>
                <w:sz w:val="18"/>
              </w:rPr>
            </w:pPr>
            <w:r>
              <w:rPr>
                <w:color w:val="231F20"/>
                <w:sz w:val="18"/>
              </w:rPr>
              <w:t>7,416</w:t>
            </w:r>
          </w:p>
        </w:tc>
        <w:tc>
          <w:tcPr>
            <w:tcW w:w="1700" w:type="dxa"/>
          </w:tcPr>
          <w:p>
            <w:pPr>
              <w:pStyle w:val="TableParagraph"/>
              <w:spacing w:before="10"/>
              <w:ind w:right="58"/>
              <w:jc w:val="right"/>
              <w:rPr>
                <w:sz w:val="18"/>
              </w:rPr>
            </w:pPr>
            <w:r>
              <w:rPr>
                <w:color w:val="231F20"/>
                <w:sz w:val="18"/>
              </w:rPr>
              <w:t>6,431</w:t>
            </w:r>
          </w:p>
        </w:tc>
      </w:tr>
      <w:tr>
        <w:trPr>
          <w:trHeight w:val="238" w:hRule="exact"/>
        </w:trPr>
        <w:tc>
          <w:tcPr>
            <w:tcW w:w="5520" w:type="dxa"/>
            <w:shd w:val="clear" w:color="auto" w:fill="CCECFC"/>
          </w:tcPr>
          <w:p>
            <w:pPr>
              <w:pStyle w:val="TableParagraph"/>
              <w:spacing w:before="10"/>
              <w:ind w:left="240"/>
              <w:rPr>
                <w:sz w:val="18"/>
              </w:rPr>
            </w:pPr>
            <w:r>
              <w:rPr>
                <w:color w:val="231F20"/>
                <w:sz w:val="18"/>
              </w:rPr>
              <w:t>Accumulated other comprehensive loss</w:t>
            </w:r>
          </w:p>
        </w:tc>
        <w:tc>
          <w:tcPr>
            <w:tcW w:w="1900" w:type="dxa"/>
            <w:gridSpan w:val="2"/>
            <w:shd w:val="clear" w:color="auto" w:fill="CCECFC"/>
          </w:tcPr>
          <w:p>
            <w:pPr>
              <w:pStyle w:val="TableParagraph"/>
              <w:spacing w:before="10"/>
              <w:ind w:right="198"/>
              <w:jc w:val="right"/>
              <w:rPr>
                <w:sz w:val="18"/>
              </w:rPr>
            </w:pPr>
            <w:r>
              <w:rPr>
                <w:color w:val="231F20"/>
                <w:sz w:val="18"/>
              </w:rPr>
              <w:t>(738)</w:t>
            </w:r>
          </w:p>
        </w:tc>
        <w:tc>
          <w:tcPr>
            <w:tcW w:w="1700" w:type="dxa"/>
            <w:shd w:val="clear" w:color="auto" w:fill="CCECFC"/>
          </w:tcPr>
          <w:p>
            <w:pPr>
              <w:pStyle w:val="TableParagraph"/>
              <w:spacing w:before="10"/>
              <w:jc w:val="right"/>
              <w:rPr>
                <w:sz w:val="18"/>
              </w:rPr>
            </w:pPr>
            <w:r>
              <w:rPr>
                <w:color w:val="231F20"/>
                <w:sz w:val="18"/>
              </w:rPr>
              <w:t>(3)</w:t>
            </w:r>
          </w:p>
        </w:tc>
      </w:tr>
      <w:tr>
        <w:trPr>
          <w:trHeight w:val="206" w:hRule="exact"/>
        </w:trPr>
        <w:tc>
          <w:tcPr>
            <w:tcW w:w="9120" w:type="dxa"/>
            <w:gridSpan w:val="4"/>
          </w:tcPr>
          <w:p>
            <w:pPr>
              <w:pStyle w:val="TableParagraph"/>
              <w:spacing w:before="10"/>
              <w:ind w:left="240"/>
              <w:rPr>
                <w:sz w:val="18"/>
              </w:rPr>
            </w:pPr>
            <w:r>
              <w:rPr>
                <w:color w:val="231F20"/>
                <w:sz w:val="18"/>
              </w:rPr>
              <w:t>Treasury stock, at cost: 132,017,550 and 107,136,946 shares in 2014</w:t>
            </w:r>
          </w:p>
        </w:tc>
      </w:tr>
      <w:tr>
        <w:trPr>
          <w:trHeight w:val="225" w:hRule="exact"/>
        </w:trPr>
        <w:tc>
          <w:tcPr>
            <w:tcW w:w="5520" w:type="dxa"/>
          </w:tcPr>
          <w:p>
            <w:pPr>
              <w:pStyle w:val="TableParagraph"/>
              <w:spacing w:line="201" w:lineRule="exact" w:before="0"/>
              <w:ind w:left="420"/>
              <w:rPr>
                <w:sz w:val="18"/>
              </w:rPr>
            </w:pPr>
            <w:r>
              <w:rPr>
                <w:color w:val="231F20"/>
                <w:sz w:val="18"/>
              </w:rPr>
              <w:t>and 2013 respectively</w:t>
            </w:r>
          </w:p>
        </w:tc>
        <w:tc>
          <w:tcPr>
            <w:tcW w:w="1800" w:type="dxa"/>
            <w:tcBorders>
              <w:bottom w:val="single" w:sz="4" w:space="0" w:color="231F20"/>
            </w:tcBorders>
          </w:tcPr>
          <w:p>
            <w:pPr>
              <w:pStyle w:val="TableParagraph"/>
              <w:spacing w:line="201" w:lineRule="exact" w:before="0"/>
              <w:ind w:right="98"/>
              <w:jc w:val="right"/>
              <w:rPr>
                <w:sz w:val="18"/>
              </w:rPr>
            </w:pPr>
            <w:r>
              <w:rPr>
                <w:color w:val="231F20"/>
                <w:sz w:val="18"/>
              </w:rPr>
              <w:t>(2,026)</w:t>
            </w:r>
          </w:p>
        </w:tc>
        <w:tc>
          <w:tcPr>
            <w:tcW w:w="100" w:type="dxa"/>
          </w:tcPr>
          <w:p>
            <w:pPr/>
          </w:p>
        </w:tc>
        <w:tc>
          <w:tcPr>
            <w:tcW w:w="1700" w:type="dxa"/>
          </w:tcPr>
          <w:p>
            <w:pPr>
              <w:pStyle w:val="TableParagraph"/>
              <w:spacing w:line="201" w:lineRule="exact" w:before="0"/>
              <w:jc w:val="right"/>
              <w:rPr>
                <w:sz w:val="18"/>
              </w:rPr>
            </w:pPr>
            <w:r>
              <w:rPr>
                <w:color w:val="231F20"/>
                <w:sz w:val="18"/>
              </w:rPr>
              <w:t>(1,131)</w:t>
            </w:r>
          </w:p>
        </w:tc>
      </w:tr>
      <w:tr>
        <w:trPr>
          <w:trHeight w:val="258" w:hRule="exact"/>
        </w:trPr>
        <w:tc>
          <w:tcPr>
            <w:tcW w:w="5520" w:type="dxa"/>
            <w:shd w:val="clear" w:color="auto" w:fill="CCECFC"/>
          </w:tcPr>
          <w:p>
            <w:pPr>
              <w:pStyle w:val="TableParagraph"/>
              <w:spacing w:before="15"/>
              <w:ind w:left="420"/>
              <w:rPr>
                <w:sz w:val="18"/>
              </w:rPr>
            </w:pPr>
            <w:r>
              <w:rPr>
                <w:color w:val="231F20"/>
                <w:sz w:val="18"/>
              </w:rPr>
              <w:t>Total stockholders’ equity</w:t>
            </w:r>
          </w:p>
        </w:tc>
        <w:tc>
          <w:tcPr>
            <w:tcW w:w="1800" w:type="dxa"/>
            <w:tcBorders>
              <w:top w:val="single" w:sz="4" w:space="0" w:color="231F20"/>
              <w:bottom w:val="single" w:sz="4" w:space="0" w:color="231F20"/>
            </w:tcBorders>
            <w:shd w:val="clear" w:color="auto" w:fill="CCECFC"/>
          </w:tcPr>
          <w:p>
            <w:pPr>
              <w:pStyle w:val="TableParagraph"/>
              <w:spacing w:before="10"/>
              <w:ind w:right="158"/>
              <w:jc w:val="right"/>
              <w:rPr>
                <w:sz w:val="18"/>
              </w:rPr>
            </w:pPr>
            <w:r>
              <w:rPr>
                <w:color w:val="231F20"/>
                <w:sz w:val="18"/>
              </w:rPr>
              <w:t>6,775</w:t>
            </w:r>
          </w:p>
        </w:tc>
        <w:tc>
          <w:tcPr>
            <w:tcW w:w="100" w:type="dxa"/>
            <w:shd w:val="clear" w:color="auto" w:fill="CCECFC"/>
          </w:tcPr>
          <w:p>
            <w:pPr/>
          </w:p>
        </w:tc>
        <w:tc>
          <w:tcPr>
            <w:tcW w:w="1700" w:type="dxa"/>
            <w:tcBorders>
              <w:bottom w:val="single" w:sz="4" w:space="0" w:color="231F20"/>
            </w:tcBorders>
            <w:shd w:val="clear" w:color="auto" w:fill="CCECFC"/>
          </w:tcPr>
          <w:p>
            <w:pPr>
              <w:pStyle w:val="TableParagraph"/>
              <w:spacing w:before="15"/>
              <w:ind w:right="58"/>
              <w:jc w:val="right"/>
              <w:rPr>
                <w:sz w:val="18"/>
              </w:rPr>
            </w:pPr>
            <w:r>
              <w:rPr>
                <w:color w:val="231F20"/>
                <w:sz w:val="18"/>
              </w:rPr>
              <w:t>7,336</w:t>
            </w:r>
          </w:p>
        </w:tc>
      </w:tr>
      <w:tr>
        <w:trPr>
          <w:trHeight w:val="278" w:hRule="exact"/>
        </w:trPr>
        <w:tc>
          <w:tcPr>
            <w:tcW w:w="5520" w:type="dxa"/>
          </w:tcPr>
          <w:p>
            <w:pPr/>
          </w:p>
        </w:tc>
        <w:tc>
          <w:tcPr>
            <w:tcW w:w="1800" w:type="dxa"/>
            <w:tcBorders>
              <w:top w:val="single" w:sz="4" w:space="0" w:color="231F20"/>
              <w:bottom w:val="single" w:sz="4" w:space="0" w:color="231F20"/>
            </w:tcBorders>
          </w:tcPr>
          <w:p>
            <w:pPr>
              <w:pStyle w:val="TableParagraph"/>
              <w:tabs>
                <w:tab w:pos="1144" w:val="left" w:leader="none"/>
              </w:tabs>
              <w:spacing w:before="10"/>
              <w:ind w:right="99"/>
              <w:jc w:val="right"/>
              <w:rPr>
                <w:sz w:val="18"/>
              </w:rPr>
            </w:pPr>
            <w:r>
              <w:rPr>
                <w:color w:val="231F20"/>
                <w:sz w:val="18"/>
                <w:u w:val="single" w:color="231F20"/>
              </w:rPr>
              <w:t>$</w:t>
              <w:tab/>
              <w:t>20,200</w:t>
            </w:r>
            <w:r>
              <w:rPr>
                <w:color w:val="231F20"/>
                <w:spacing w:val="15"/>
                <w:sz w:val="18"/>
                <w:u w:val="single" w:color="231F20"/>
              </w:rPr>
              <w:t> </w:t>
            </w:r>
          </w:p>
        </w:tc>
        <w:tc>
          <w:tcPr>
            <w:tcW w:w="100" w:type="dxa"/>
          </w:tcPr>
          <w:p>
            <w:pPr/>
          </w:p>
        </w:tc>
        <w:tc>
          <w:tcPr>
            <w:tcW w:w="1700" w:type="dxa"/>
            <w:tcBorders>
              <w:top w:val="single" w:sz="4" w:space="0" w:color="231F20"/>
              <w:bottom w:val="single" w:sz="4" w:space="0" w:color="231F20"/>
            </w:tcBorders>
          </w:tcPr>
          <w:p>
            <w:pPr>
              <w:pStyle w:val="TableParagraph"/>
              <w:tabs>
                <w:tab w:pos="1144" w:val="left" w:leader="none"/>
              </w:tabs>
              <w:spacing w:before="10"/>
              <w:jc w:val="right"/>
              <w:rPr>
                <w:sz w:val="18"/>
              </w:rPr>
            </w:pPr>
            <w:r>
              <w:rPr>
                <w:color w:val="231F20"/>
                <w:sz w:val="18"/>
                <w:u w:val="single" w:color="231F20"/>
              </w:rPr>
              <w:t>$</w:t>
              <w:tab/>
              <w:t>19,345</w:t>
            </w:r>
            <w:r>
              <w:rPr>
                <w:color w:val="231F20"/>
                <w:spacing w:val="15"/>
                <w:sz w:val="18"/>
                <w:u w:val="single" w:color="231F20"/>
              </w:rPr>
              <w:t> </w:t>
            </w:r>
          </w:p>
        </w:tc>
      </w:tr>
    </w:tbl>
    <w:p>
      <w:pPr>
        <w:pStyle w:val="BodyText"/>
        <w:rPr>
          <w:sz w:val="21"/>
        </w:rPr>
      </w:pPr>
    </w:p>
    <w:p>
      <w:pPr>
        <w:spacing w:before="0"/>
        <w:ind w:left="820" w:right="0" w:firstLine="0"/>
        <w:jc w:val="left"/>
        <w:rPr>
          <w:sz w:val="18"/>
        </w:rPr>
      </w:pPr>
      <w:r>
        <w:rPr/>
        <w:pict>
          <v:group style="position:absolute;margin-left:69pt;margin-top:-39.647659pt;width:456.25pt;height:12.4pt;mso-position-horizontal-relative:page;mso-position-vertical-relative:paragraph;z-index:-406744" coordorigin="1380,-793" coordsize="9125,248">
            <v:rect style="position:absolute;left:1380;top:-783;width:9120;height:238" filled="true" fillcolor="#ccecfc" stroked="false">
              <v:fill type="solid"/>
            </v:rect>
            <v:line style="position:absolute" from="8800,-788" to="10500,-788" stroked="true" strokeweight=".5pt" strokecolor="#231f20">
              <v:stroke dashstyle="solid"/>
            </v:line>
            <w10:wrap type="none"/>
          </v:group>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60" w:right="179" w:firstLine="0"/>
        <w:jc w:val="center"/>
        <w:rPr>
          <w:b/>
          <w:sz w:val="18"/>
        </w:rPr>
      </w:pPr>
      <w:bookmarkStart w:name="Southwest Airlines Co. Consolidated Stat" w:id="19"/>
      <w:bookmarkEnd w:id="19"/>
      <w:r>
        <w:rPr/>
      </w:r>
      <w:r>
        <w:rPr>
          <w:b/>
          <w:color w:val="231F20"/>
          <w:sz w:val="18"/>
        </w:rPr>
        <w:t>Southwest Airlines Co.</w:t>
      </w:r>
    </w:p>
    <w:p>
      <w:pPr>
        <w:spacing w:before="13"/>
        <w:ind w:left="160" w:right="179" w:firstLine="0"/>
        <w:jc w:val="center"/>
        <w:rPr>
          <w:b/>
          <w:sz w:val="18"/>
        </w:rPr>
      </w:pPr>
      <w:r>
        <w:rPr>
          <w:b/>
          <w:color w:val="231F20"/>
          <w:sz w:val="18"/>
        </w:rPr>
        <w:t>Consolidated Statement of Income</w:t>
      </w:r>
    </w:p>
    <w:p>
      <w:pPr>
        <w:spacing w:before="13"/>
        <w:ind w:left="160" w:right="178" w:firstLine="0"/>
        <w:jc w:val="center"/>
        <w:rPr>
          <w:sz w:val="18"/>
        </w:rPr>
      </w:pPr>
      <w:r>
        <w:rPr>
          <w:color w:val="231F20"/>
          <w:sz w:val="18"/>
        </w:rPr>
        <w:t>(in millions, except per share amounts)</w:t>
      </w:r>
    </w:p>
    <w:p>
      <w:pPr>
        <w:pStyle w:val="BodyText"/>
        <w:rPr>
          <w:sz w:val="20"/>
        </w:rPr>
      </w:pPr>
    </w:p>
    <w:p>
      <w:pPr>
        <w:pStyle w:val="BodyText"/>
        <w:spacing w:before="10"/>
      </w:pPr>
    </w:p>
    <w:p>
      <w:pPr>
        <w:spacing w:before="0" w:after="19"/>
        <w:ind w:left="4800" w:right="1" w:firstLine="0"/>
        <w:jc w:val="center"/>
        <w:rPr>
          <w:b/>
          <w:sz w:val="18"/>
        </w:rPr>
      </w:pPr>
      <w:r>
        <w:rPr>
          <w:b/>
          <w:color w:val="231F20"/>
          <w:sz w:val="18"/>
        </w:rPr>
        <w:t>Year ended December 31,</w:t>
      </w:r>
    </w:p>
    <w:p>
      <w:pPr>
        <w:pStyle w:val="BodyText"/>
        <w:spacing w:line="20" w:lineRule="exact"/>
        <w:ind w:left="4910"/>
        <w:rPr>
          <w:sz w:val="2"/>
        </w:rPr>
      </w:pPr>
      <w:r>
        <w:rPr>
          <w:sz w:val="2"/>
        </w:rPr>
        <w:pict>
          <v:group style="width:216pt;height:1pt;mso-position-horizontal-relative:char;mso-position-vertical-relative:line" coordorigin="0,0" coordsize="4320,20">
            <v:line style="position:absolute" from="10,10" to="4310,10" stroked="true" strokeweight="1pt" strokecolor="#231f20">
              <v:stroke dashstyle="solid"/>
            </v:line>
          </v:group>
        </w:pict>
      </w:r>
      <w:r>
        <w:rPr>
          <w:sz w:val="2"/>
        </w:rPr>
      </w:r>
    </w:p>
    <w:p>
      <w:pPr>
        <w:tabs>
          <w:tab w:pos="6299" w:val="left" w:leader="none"/>
          <w:tab w:pos="7799" w:val="left" w:leader="none"/>
        </w:tabs>
        <w:spacing w:before="52" w:after="21"/>
        <w:ind w:left="4800" w:right="0" w:firstLine="0"/>
        <w:jc w:val="center"/>
        <w:rPr>
          <w:b/>
          <w:sz w:val="18"/>
        </w:rPr>
      </w:pPr>
      <w:r>
        <w:rPr>
          <w:b/>
          <w:color w:val="231F20"/>
          <w:sz w:val="18"/>
        </w:rPr>
        <w:t>2014</w:t>
        <w:tab/>
        <w:t>2013</w:t>
        <w:tab/>
        <w:t>2012</w:t>
      </w:r>
    </w:p>
    <w:p>
      <w:pPr>
        <w:spacing w:line="20" w:lineRule="exact"/>
        <w:ind w:left="4910" w:right="0" w:firstLine="0"/>
        <w:rPr>
          <w:sz w:val="2"/>
        </w:rPr>
      </w:pPr>
      <w:r>
        <w:rPr>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p>
    <w:p>
      <w:pPr>
        <w:pStyle w:val="BodyText"/>
        <w:spacing w:before="6"/>
        <w:rPr>
          <w:b/>
          <w:sz w:val="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1300"/>
        <w:gridCol w:w="200"/>
        <w:gridCol w:w="1300"/>
        <w:gridCol w:w="200"/>
        <w:gridCol w:w="1300"/>
      </w:tblGrid>
      <w:tr>
        <w:trPr>
          <w:trHeight w:val="227" w:hRule="exact"/>
        </w:trPr>
        <w:tc>
          <w:tcPr>
            <w:tcW w:w="4820" w:type="dxa"/>
          </w:tcPr>
          <w:p>
            <w:pPr>
              <w:pStyle w:val="TableParagraph"/>
              <w:spacing w:line="206" w:lineRule="exact" w:before="0"/>
              <w:ind w:left="60"/>
              <w:rPr>
                <w:b/>
                <w:sz w:val="18"/>
              </w:rPr>
            </w:pPr>
            <w:r>
              <w:rPr>
                <w:b/>
                <w:color w:val="231F20"/>
                <w:sz w:val="18"/>
              </w:rPr>
              <w:t>OPERATING REVENUES:</w:t>
            </w:r>
          </w:p>
        </w:tc>
        <w:tc>
          <w:tcPr>
            <w:tcW w:w="4300" w:type="dxa"/>
            <w:gridSpan w:val="5"/>
          </w:tcPr>
          <w:p>
            <w:pPr/>
          </w:p>
        </w:tc>
      </w:tr>
      <w:tr>
        <w:trPr>
          <w:trHeight w:val="280" w:hRule="exact"/>
        </w:trPr>
        <w:tc>
          <w:tcPr>
            <w:tcW w:w="4820" w:type="dxa"/>
            <w:shd w:val="clear" w:color="auto" w:fill="CCECFC"/>
          </w:tcPr>
          <w:p>
            <w:pPr>
              <w:pStyle w:val="TableParagraph"/>
              <w:spacing w:before="22"/>
              <w:ind w:left="240"/>
              <w:rPr>
                <w:sz w:val="18"/>
              </w:rPr>
            </w:pPr>
            <w:r>
              <w:rPr>
                <w:color w:val="231F20"/>
                <w:sz w:val="18"/>
              </w:rPr>
              <w:t>Passenger</w:t>
            </w:r>
          </w:p>
        </w:tc>
        <w:tc>
          <w:tcPr>
            <w:tcW w:w="1300" w:type="dxa"/>
            <w:shd w:val="clear" w:color="auto" w:fill="CCECFC"/>
          </w:tcPr>
          <w:p>
            <w:pPr>
              <w:pStyle w:val="TableParagraph"/>
              <w:tabs>
                <w:tab w:pos="744" w:val="left" w:leader="none"/>
              </w:tabs>
              <w:spacing w:before="22"/>
              <w:ind w:right="58"/>
              <w:jc w:val="right"/>
              <w:rPr>
                <w:sz w:val="18"/>
              </w:rPr>
            </w:pPr>
            <w:r>
              <w:rPr>
                <w:color w:val="231F20"/>
                <w:sz w:val="18"/>
              </w:rPr>
              <w:t>$</w:t>
              <w:tab/>
              <w:t>17,658</w:t>
            </w:r>
          </w:p>
        </w:tc>
        <w:tc>
          <w:tcPr>
            <w:tcW w:w="200" w:type="dxa"/>
            <w:shd w:val="clear" w:color="auto" w:fill="CCECFC"/>
          </w:tcPr>
          <w:p>
            <w:pPr/>
          </w:p>
        </w:tc>
        <w:tc>
          <w:tcPr>
            <w:tcW w:w="1300" w:type="dxa"/>
            <w:shd w:val="clear" w:color="auto" w:fill="CCECFC"/>
          </w:tcPr>
          <w:p>
            <w:pPr>
              <w:pStyle w:val="TableParagraph"/>
              <w:tabs>
                <w:tab w:pos="744" w:val="left" w:leader="none"/>
              </w:tabs>
              <w:spacing w:before="22"/>
              <w:ind w:right="58"/>
              <w:jc w:val="right"/>
              <w:rPr>
                <w:sz w:val="18"/>
              </w:rPr>
            </w:pPr>
            <w:r>
              <w:rPr>
                <w:color w:val="231F20"/>
                <w:sz w:val="18"/>
              </w:rPr>
              <w:t>$</w:t>
              <w:tab/>
              <w:t>16,721</w:t>
            </w:r>
          </w:p>
        </w:tc>
        <w:tc>
          <w:tcPr>
            <w:tcW w:w="200" w:type="dxa"/>
            <w:shd w:val="clear" w:color="auto" w:fill="CCECFC"/>
          </w:tcPr>
          <w:p>
            <w:pPr/>
          </w:p>
        </w:tc>
        <w:tc>
          <w:tcPr>
            <w:tcW w:w="1300" w:type="dxa"/>
            <w:shd w:val="clear" w:color="auto" w:fill="CCECFC"/>
          </w:tcPr>
          <w:p>
            <w:pPr>
              <w:pStyle w:val="TableParagraph"/>
              <w:tabs>
                <w:tab w:pos="744" w:val="left" w:leader="none"/>
              </w:tabs>
              <w:spacing w:before="22"/>
              <w:ind w:right="58"/>
              <w:jc w:val="right"/>
              <w:rPr>
                <w:sz w:val="18"/>
              </w:rPr>
            </w:pPr>
            <w:r>
              <w:rPr>
                <w:color w:val="231F20"/>
                <w:sz w:val="18"/>
              </w:rPr>
              <w:t>$</w:t>
              <w:tab/>
              <w:t>16,093</w:t>
            </w:r>
          </w:p>
        </w:tc>
      </w:tr>
      <w:tr>
        <w:trPr>
          <w:trHeight w:val="280" w:hRule="exact"/>
        </w:trPr>
        <w:tc>
          <w:tcPr>
            <w:tcW w:w="4820" w:type="dxa"/>
          </w:tcPr>
          <w:p>
            <w:pPr>
              <w:pStyle w:val="TableParagraph"/>
              <w:spacing w:before="22"/>
              <w:ind w:left="240"/>
              <w:rPr>
                <w:sz w:val="18"/>
              </w:rPr>
            </w:pPr>
            <w:r>
              <w:rPr>
                <w:color w:val="231F20"/>
                <w:sz w:val="18"/>
              </w:rPr>
              <w:t>Freight</w:t>
            </w:r>
          </w:p>
        </w:tc>
        <w:tc>
          <w:tcPr>
            <w:tcW w:w="1300" w:type="dxa"/>
          </w:tcPr>
          <w:p>
            <w:pPr>
              <w:pStyle w:val="TableParagraph"/>
              <w:spacing w:before="22"/>
              <w:ind w:right="58"/>
              <w:jc w:val="right"/>
              <w:rPr>
                <w:sz w:val="18"/>
              </w:rPr>
            </w:pPr>
            <w:r>
              <w:rPr>
                <w:color w:val="231F20"/>
                <w:sz w:val="18"/>
              </w:rPr>
              <w:t>175</w:t>
            </w:r>
          </w:p>
        </w:tc>
        <w:tc>
          <w:tcPr>
            <w:tcW w:w="200" w:type="dxa"/>
          </w:tcPr>
          <w:p>
            <w:pPr/>
          </w:p>
        </w:tc>
        <w:tc>
          <w:tcPr>
            <w:tcW w:w="1300" w:type="dxa"/>
          </w:tcPr>
          <w:p>
            <w:pPr>
              <w:pStyle w:val="TableParagraph"/>
              <w:spacing w:before="22"/>
              <w:ind w:right="58"/>
              <w:jc w:val="right"/>
              <w:rPr>
                <w:sz w:val="18"/>
              </w:rPr>
            </w:pPr>
            <w:r>
              <w:rPr>
                <w:color w:val="231F20"/>
                <w:sz w:val="18"/>
              </w:rPr>
              <w:t>164</w:t>
            </w:r>
          </w:p>
        </w:tc>
        <w:tc>
          <w:tcPr>
            <w:tcW w:w="200" w:type="dxa"/>
          </w:tcPr>
          <w:p>
            <w:pPr/>
          </w:p>
        </w:tc>
        <w:tc>
          <w:tcPr>
            <w:tcW w:w="1300" w:type="dxa"/>
          </w:tcPr>
          <w:p>
            <w:pPr>
              <w:pStyle w:val="TableParagraph"/>
              <w:spacing w:before="22"/>
              <w:ind w:right="58"/>
              <w:jc w:val="right"/>
              <w:rPr>
                <w:sz w:val="18"/>
              </w:rPr>
            </w:pPr>
            <w:r>
              <w:rPr>
                <w:color w:val="231F20"/>
                <w:sz w:val="18"/>
              </w:rPr>
              <w:t>160</w:t>
            </w:r>
          </w:p>
        </w:tc>
      </w:tr>
      <w:tr>
        <w:trPr>
          <w:trHeight w:val="275" w:hRule="exact"/>
        </w:trPr>
        <w:tc>
          <w:tcPr>
            <w:tcW w:w="4820" w:type="dxa"/>
            <w:shd w:val="clear" w:color="auto" w:fill="CCECFC"/>
          </w:tcPr>
          <w:p>
            <w:pPr>
              <w:pStyle w:val="TableParagraph"/>
              <w:spacing w:before="32"/>
              <w:ind w:left="240"/>
              <w:rPr>
                <w:sz w:val="18"/>
              </w:rPr>
            </w:pPr>
            <w:r>
              <w:rPr>
                <w:color w:val="231F20"/>
                <w:sz w:val="18"/>
              </w:rPr>
              <w:t>Other</w:t>
            </w:r>
          </w:p>
        </w:tc>
        <w:tc>
          <w:tcPr>
            <w:tcW w:w="1300" w:type="dxa"/>
            <w:tcBorders>
              <w:bottom w:val="single" w:sz="4" w:space="0" w:color="231F20"/>
            </w:tcBorders>
            <w:shd w:val="clear" w:color="auto" w:fill="CCECFC"/>
          </w:tcPr>
          <w:p>
            <w:pPr>
              <w:pStyle w:val="TableParagraph"/>
              <w:spacing w:before="32"/>
              <w:ind w:right="58"/>
              <w:jc w:val="right"/>
              <w:rPr>
                <w:sz w:val="18"/>
              </w:rPr>
            </w:pPr>
            <w:r>
              <w:rPr>
                <w:color w:val="231F20"/>
                <w:sz w:val="18"/>
              </w:rPr>
              <w:t>772</w:t>
            </w:r>
          </w:p>
        </w:tc>
        <w:tc>
          <w:tcPr>
            <w:tcW w:w="200" w:type="dxa"/>
            <w:shd w:val="clear" w:color="auto" w:fill="CCECFC"/>
          </w:tcPr>
          <w:p>
            <w:pPr/>
          </w:p>
        </w:tc>
        <w:tc>
          <w:tcPr>
            <w:tcW w:w="1300" w:type="dxa"/>
            <w:tcBorders>
              <w:bottom w:val="single" w:sz="4" w:space="0" w:color="231F20"/>
            </w:tcBorders>
            <w:shd w:val="clear" w:color="auto" w:fill="CCECFC"/>
          </w:tcPr>
          <w:p>
            <w:pPr>
              <w:pStyle w:val="TableParagraph"/>
              <w:spacing w:before="32"/>
              <w:ind w:right="58"/>
              <w:jc w:val="right"/>
              <w:rPr>
                <w:sz w:val="18"/>
              </w:rPr>
            </w:pPr>
            <w:r>
              <w:rPr>
                <w:color w:val="231F20"/>
                <w:sz w:val="18"/>
              </w:rPr>
              <w:t>814</w:t>
            </w:r>
          </w:p>
        </w:tc>
        <w:tc>
          <w:tcPr>
            <w:tcW w:w="200" w:type="dxa"/>
            <w:shd w:val="clear" w:color="auto" w:fill="CCECFC"/>
          </w:tcPr>
          <w:p>
            <w:pPr/>
          </w:p>
        </w:tc>
        <w:tc>
          <w:tcPr>
            <w:tcW w:w="1300" w:type="dxa"/>
            <w:tcBorders>
              <w:bottom w:val="single" w:sz="4" w:space="0" w:color="231F20"/>
            </w:tcBorders>
            <w:shd w:val="clear" w:color="auto" w:fill="CCECFC"/>
          </w:tcPr>
          <w:p>
            <w:pPr>
              <w:pStyle w:val="TableParagraph"/>
              <w:spacing w:before="32"/>
              <w:ind w:right="58"/>
              <w:jc w:val="right"/>
              <w:rPr>
                <w:sz w:val="18"/>
              </w:rPr>
            </w:pPr>
            <w:r>
              <w:rPr>
                <w:color w:val="231F20"/>
                <w:sz w:val="18"/>
              </w:rPr>
              <w:t>835</w:t>
            </w:r>
          </w:p>
        </w:tc>
      </w:tr>
      <w:tr>
        <w:trPr>
          <w:trHeight w:val="285" w:hRule="exact"/>
        </w:trPr>
        <w:tc>
          <w:tcPr>
            <w:tcW w:w="4820" w:type="dxa"/>
          </w:tcPr>
          <w:p>
            <w:pPr>
              <w:pStyle w:val="TableParagraph"/>
              <w:spacing w:before="42"/>
              <w:ind w:left="420"/>
              <w:rPr>
                <w:sz w:val="18"/>
              </w:rPr>
            </w:pPr>
            <w:r>
              <w:rPr>
                <w:color w:val="231F20"/>
                <w:sz w:val="18"/>
              </w:rPr>
              <w:t>Total operating revenues</w:t>
            </w:r>
          </w:p>
        </w:tc>
        <w:tc>
          <w:tcPr>
            <w:tcW w:w="1300" w:type="dxa"/>
            <w:tcBorders>
              <w:top w:val="single" w:sz="4" w:space="0" w:color="231F20"/>
            </w:tcBorders>
          </w:tcPr>
          <w:p>
            <w:pPr>
              <w:pStyle w:val="TableParagraph"/>
              <w:spacing w:before="52"/>
              <w:ind w:right="58"/>
              <w:jc w:val="right"/>
              <w:rPr>
                <w:sz w:val="18"/>
              </w:rPr>
            </w:pPr>
            <w:r>
              <w:rPr>
                <w:color w:val="231F20"/>
                <w:sz w:val="18"/>
              </w:rPr>
              <w:t>18,605</w:t>
            </w:r>
          </w:p>
        </w:tc>
        <w:tc>
          <w:tcPr>
            <w:tcW w:w="200" w:type="dxa"/>
          </w:tcPr>
          <w:p>
            <w:pPr/>
          </w:p>
        </w:tc>
        <w:tc>
          <w:tcPr>
            <w:tcW w:w="1300" w:type="dxa"/>
            <w:tcBorders>
              <w:top w:val="single" w:sz="4" w:space="0" w:color="231F20"/>
            </w:tcBorders>
          </w:tcPr>
          <w:p>
            <w:pPr>
              <w:pStyle w:val="TableParagraph"/>
              <w:spacing w:before="52"/>
              <w:ind w:right="58"/>
              <w:jc w:val="right"/>
              <w:rPr>
                <w:sz w:val="18"/>
              </w:rPr>
            </w:pPr>
            <w:r>
              <w:rPr>
                <w:color w:val="231F20"/>
                <w:sz w:val="18"/>
              </w:rPr>
              <w:t>17,699</w:t>
            </w:r>
          </w:p>
        </w:tc>
        <w:tc>
          <w:tcPr>
            <w:tcW w:w="200" w:type="dxa"/>
          </w:tcPr>
          <w:p>
            <w:pPr/>
          </w:p>
        </w:tc>
        <w:tc>
          <w:tcPr>
            <w:tcW w:w="1300" w:type="dxa"/>
            <w:tcBorders>
              <w:top w:val="single" w:sz="4" w:space="0" w:color="231F20"/>
            </w:tcBorders>
          </w:tcPr>
          <w:p>
            <w:pPr>
              <w:pStyle w:val="TableParagraph"/>
              <w:spacing w:before="52"/>
              <w:ind w:right="58"/>
              <w:jc w:val="right"/>
              <w:rPr>
                <w:sz w:val="18"/>
              </w:rPr>
            </w:pPr>
            <w:r>
              <w:rPr>
                <w:color w:val="231F20"/>
                <w:sz w:val="18"/>
              </w:rPr>
              <w:t>17,088</w:t>
            </w:r>
          </w:p>
        </w:tc>
      </w:tr>
      <w:tr>
        <w:trPr>
          <w:trHeight w:val="260" w:hRule="exact"/>
        </w:trPr>
        <w:tc>
          <w:tcPr>
            <w:tcW w:w="4820" w:type="dxa"/>
            <w:shd w:val="clear" w:color="auto" w:fill="CCECFC"/>
          </w:tcPr>
          <w:p>
            <w:pPr/>
          </w:p>
        </w:tc>
        <w:tc>
          <w:tcPr>
            <w:tcW w:w="1300" w:type="dxa"/>
            <w:shd w:val="clear" w:color="auto" w:fill="CCECFC"/>
          </w:tcPr>
          <w:p>
            <w:pPr/>
          </w:p>
        </w:tc>
        <w:tc>
          <w:tcPr>
            <w:tcW w:w="200" w:type="dxa"/>
            <w:shd w:val="clear" w:color="auto" w:fill="CCECFC"/>
          </w:tcPr>
          <w:p>
            <w:pPr/>
          </w:p>
        </w:tc>
        <w:tc>
          <w:tcPr>
            <w:tcW w:w="1300" w:type="dxa"/>
            <w:shd w:val="clear" w:color="auto" w:fill="CCECFC"/>
          </w:tcPr>
          <w:p>
            <w:pPr/>
          </w:p>
        </w:tc>
        <w:tc>
          <w:tcPr>
            <w:tcW w:w="200" w:type="dxa"/>
            <w:shd w:val="clear" w:color="auto" w:fill="CCECFC"/>
          </w:tcPr>
          <w:p>
            <w:pPr/>
          </w:p>
        </w:tc>
        <w:tc>
          <w:tcPr>
            <w:tcW w:w="1300" w:type="dxa"/>
            <w:shd w:val="clear" w:color="auto" w:fill="CCECFC"/>
          </w:tcPr>
          <w:p>
            <w:pPr/>
          </w:p>
        </w:tc>
      </w:tr>
      <w:tr>
        <w:trPr>
          <w:trHeight w:val="280" w:hRule="exact"/>
        </w:trPr>
        <w:tc>
          <w:tcPr>
            <w:tcW w:w="4820" w:type="dxa"/>
          </w:tcPr>
          <w:p>
            <w:pPr>
              <w:pStyle w:val="TableParagraph"/>
              <w:spacing w:before="52"/>
              <w:ind w:left="60"/>
              <w:rPr>
                <w:b/>
                <w:sz w:val="18"/>
              </w:rPr>
            </w:pPr>
            <w:r>
              <w:rPr>
                <w:b/>
                <w:color w:val="231F20"/>
                <w:sz w:val="18"/>
              </w:rPr>
              <w:t>OPERATING EXPENSES:</w:t>
            </w:r>
          </w:p>
        </w:tc>
        <w:tc>
          <w:tcPr>
            <w:tcW w:w="1300" w:type="dxa"/>
          </w:tcPr>
          <w:p>
            <w:pPr/>
          </w:p>
        </w:tc>
        <w:tc>
          <w:tcPr>
            <w:tcW w:w="200" w:type="dxa"/>
          </w:tcPr>
          <w:p>
            <w:pPr/>
          </w:p>
        </w:tc>
        <w:tc>
          <w:tcPr>
            <w:tcW w:w="1300" w:type="dxa"/>
          </w:tcPr>
          <w:p>
            <w:pPr/>
          </w:p>
        </w:tc>
        <w:tc>
          <w:tcPr>
            <w:tcW w:w="200" w:type="dxa"/>
          </w:tcPr>
          <w:p>
            <w:pPr/>
          </w:p>
        </w:tc>
        <w:tc>
          <w:tcPr>
            <w:tcW w:w="1300" w:type="dxa"/>
          </w:tcPr>
          <w:p>
            <w:pPr/>
          </w:p>
        </w:tc>
      </w:tr>
      <w:tr>
        <w:trPr>
          <w:trHeight w:val="280" w:hRule="exact"/>
        </w:trPr>
        <w:tc>
          <w:tcPr>
            <w:tcW w:w="4820" w:type="dxa"/>
            <w:shd w:val="clear" w:color="auto" w:fill="CCECFC"/>
          </w:tcPr>
          <w:p>
            <w:pPr>
              <w:pStyle w:val="TableParagraph"/>
              <w:spacing w:before="22"/>
              <w:ind w:left="240"/>
              <w:rPr>
                <w:sz w:val="18"/>
              </w:rPr>
            </w:pPr>
            <w:r>
              <w:rPr>
                <w:color w:val="231F20"/>
                <w:sz w:val="18"/>
              </w:rPr>
              <w:t>Salaries, wages, and benefits</w:t>
            </w:r>
          </w:p>
        </w:tc>
        <w:tc>
          <w:tcPr>
            <w:tcW w:w="1300" w:type="dxa"/>
            <w:shd w:val="clear" w:color="auto" w:fill="CCECFC"/>
          </w:tcPr>
          <w:p>
            <w:pPr>
              <w:pStyle w:val="TableParagraph"/>
              <w:spacing w:before="22"/>
              <w:ind w:right="58"/>
              <w:jc w:val="right"/>
              <w:rPr>
                <w:sz w:val="18"/>
              </w:rPr>
            </w:pPr>
            <w:r>
              <w:rPr>
                <w:color w:val="231F20"/>
                <w:sz w:val="18"/>
              </w:rPr>
              <w:t>5,434</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5,035</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4,749</w:t>
            </w:r>
          </w:p>
        </w:tc>
      </w:tr>
      <w:tr>
        <w:trPr>
          <w:trHeight w:val="280" w:hRule="exact"/>
        </w:trPr>
        <w:tc>
          <w:tcPr>
            <w:tcW w:w="4820" w:type="dxa"/>
          </w:tcPr>
          <w:p>
            <w:pPr>
              <w:pStyle w:val="TableParagraph"/>
              <w:spacing w:before="22"/>
              <w:ind w:left="240"/>
              <w:rPr>
                <w:sz w:val="18"/>
              </w:rPr>
            </w:pPr>
            <w:r>
              <w:rPr>
                <w:color w:val="231F20"/>
                <w:sz w:val="18"/>
              </w:rPr>
              <w:t>Fuel and oil</w:t>
            </w:r>
          </w:p>
        </w:tc>
        <w:tc>
          <w:tcPr>
            <w:tcW w:w="1300" w:type="dxa"/>
          </w:tcPr>
          <w:p>
            <w:pPr>
              <w:pStyle w:val="TableParagraph"/>
              <w:spacing w:before="22"/>
              <w:ind w:right="58"/>
              <w:jc w:val="right"/>
              <w:rPr>
                <w:sz w:val="18"/>
              </w:rPr>
            </w:pPr>
            <w:r>
              <w:rPr>
                <w:color w:val="231F20"/>
                <w:sz w:val="18"/>
              </w:rPr>
              <w:t>5,293</w:t>
            </w:r>
          </w:p>
        </w:tc>
        <w:tc>
          <w:tcPr>
            <w:tcW w:w="200" w:type="dxa"/>
          </w:tcPr>
          <w:p>
            <w:pPr/>
          </w:p>
        </w:tc>
        <w:tc>
          <w:tcPr>
            <w:tcW w:w="1300" w:type="dxa"/>
          </w:tcPr>
          <w:p>
            <w:pPr>
              <w:pStyle w:val="TableParagraph"/>
              <w:spacing w:before="22"/>
              <w:ind w:right="58"/>
              <w:jc w:val="right"/>
              <w:rPr>
                <w:sz w:val="18"/>
              </w:rPr>
            </w:pPr>
            <w:r>
              <w:rPr>
                <w:color w:val="231F20"/>
                <w:sz w:val="18"/>
              </w:rPr>
              <w:t>5,763</w:t>
            </w:r>
          </w:p>
        </w:tc>
        <w:tc>
          <w:tcPr>
            <w:tcW w:w="200" w:type="dxa"/>
          </w:tcPr>
          <w:p>
            <w:pPr/>
          </w:p>
        </w:tc>
        <w:tc>
          <w:tcPr>
            <w:tcW w:w="1300" w:type="dxa"/>
          </w:tcPr>
          <w:p>
            <w:pPr>
              <w:pStyle w:val="TableParagraph"/>
              <w:spacing w:before="22"/>
              <w:ind w:right="58"/>
              <w:jc w:val="right"/>
              <w:rPr>
                <w:sz w:val="18"/>
              </w:rPr>
            </w:pPr>
            <w:r>
              <w:rPr>
                <w:color w:val="231F20"/>
                <w:sz w:val="18"/>
              </w:rPr>
              <w:t>6,120</w:t>
            </w:r>
          </w:p>
        </w:tc>
      </w:tr>
      <w:tr>
        <w:trPr>
          <w:trHeight w:val="280" w:hRule="exact"/>
        </w:trPr>
        <w:tc>
          <w:tcPr>
            <w:tcW w:w="4820" w:type="dxa"/>
            <w:shd w:val="clear" w:color="auto" w:fill="CCECFC"/>
          </w:tcPr>
          <w:p>
            <w:pPr>
              <w:pStyle w:val="TableParagraph"/>
              <w:spacing w:before="22"/>
              <w:ind w:left="240"/>
              <w:rPr>
                <w:sz w:val="18"/>
              </w:rPr>
            </w:pPr>
            <w:r>
              <w:rPr>
                <w:color w:val="231F20"/>
                <w:sz w:val="18"/>
              </w:rPr>
              <w:t>Maintenance materials and repairs</w:t>
            </w:r>
          </w:p>
        </w:tc>
        <w:tc>
          <w:tcPr>
            <w:tcW w:w="1300" w:type="dxa"/>
            <w:shd w:val="clear" w:color="auto" w:fill="CCECFC"/>
          </w:tcPr>
          <w:p>
            <w:pPr>
              <w:pStyle w:val="TableParagraph"/>
              <w:spacing w:before="22"/>
              <w:ind w:right="58"/>
              <w:jc w:val="right"/>
              <w:rPr>
                <w:sz w:val="18"/>
              </w:rPr>
            </w:pPr>
            <w:r>
              <w:rPr>
                <w:color w:val="231F20"/>
                <w:sz w:val="18"/>
              </w:rPr>
              <w:t>978</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1,080</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1,132</w:t>
            </w:r>
          </w:p>
        </w:tc>
      </w:tr>
      <w:tr>
        <w:trPr>
          <w:trHeight w:val="280" w:hRule="exact"/>
        </w:trPr>
        <w:tc>
          <w:tcPr>
            <w:tcW w:w="4820" w:type="dxa"/>
          </w:tcPr>
          <w:p>
            <w:pPr>
              <w:pStyle w:val="TableParagraph"/>
              <w:spacing w:before="22"/>
              <w:ind w:left="240"/>
              <w:rPr>
                <w:sz w:val="18"/>
              </w:rPr>
            </w:pPr>
            <w:r>
              <w:rPr>
                <w:color w:val="231F20"/>
                <w:sz w:val="18"/>
              </w:rPr>
              <w:t>Aircraft rentals</w:t>
            </w:r>
          </w:p>
        </w:tc>
        <w:tc>
          <w:tcPr>
            <w:tcW w:w="1300" w:type="dxa"/>
          </w:tcPr>
          <w:p>
            <w:pPr>
              <w:pStyle w:val="TableParagraph"/>
              <w:spacing w:before="22"/>
              <w:ind w:right="58"/>
              <w:jc w:val="right"/>
              <w:rPr>
                <w:sz w:val="18"/>
              </w:rPr>
            </w:pPr>
            <w:r>
              <w:rPr>
                <w:color w:val="231F20"/>
                <w:sz w:val="18"/>
              </w:rPr>
              <w:t>295</w:t>
            </w:r>
          </w:p>
        </w:tc>
        <w:tc>
          <w:tcPr>
            <w:tcW w:w="200" w:type="dxa"/>
          </w:tcPr>
          <w:p>
            <w:pPr/>
          </w:p>
        </w:tc>
        <w:tc>
          <w:tcPr>
            <w:tcW w:w="1300" w:type="dxa"/>
          </w:tcPr>
          <w:p>
            <w:pPr>
              <w:pStyle w:val="TableParagraph"/>
              <w:spacing w:before="22"/>
              <w:ind w:right="58"/>
              <w:jc w:val="right"/>
              <w:rPr>
                <w:sz w:val="18"/>
              </w:rPr>
            </w:pPr>
            <w:r>
              <w:rPr>
                <w:color w:val="231F20"/>
                <w:sz w:val="18"/>
              </w:rPr>
              <w:t>361</w:t>
            </w:r>
          </w:p>
        </w:tc>
        <w:tc>
          <w:tcPr>
            <w:tcW w:w="200" w:type="dxa"/>
          </w:tcPr>
          <w:p>
            <w:pPr/>
          </w:p>
        </w:tc>
        <w:tc>
          <w:tcPr>
            <w:tcW w:w="1300" w:type="dxa"/>
          </w:tcPr>
          <w:p>
            <w:pPr>
              <w:pStyle w:val="TableParagraph"/>
              <w:spacing w:before="22"/>
              <w:ind w:right="58"/>
              <w:jc w:val="right"/>
              <w:rPr>
                <w:sz w:val="18"/>
              </w:rPr>
            </w:pPr>
            <w:r>
              <w:rPr>
                <w:color w:val="231F20"/>
                <w:sz w:val="18"/>
              </w:rPr>
              <w:t>355</w:t>
            </w:r>
          </w:p>
        </w:tc>
      </w:tr>
      <w:tr>
        <w:trPr>
          <w:trHeight w:val="280" w:hRule="exact"/>
        </w:trPr>
        <w:tc>
          <w:tcPr>
            <w:tcW w:w="4820" w:type="dxa"/>
            <w:shd w:val="clear" w:color="auto" w:fill="CCECFC"/>
          </w:tcPr>
          <w:p>
            <w:pPr>
              <w:pStyle w:val="TableParagraph"/>
              <w:spacing w:before="22"/>
              <w:ind w:left="240"/>
              <w:rPr>
                <w:sz w:val="18"/>
              </w:rPr>
            </w:pPr>
            <w:r>
              <w:rPr>
                <w:color w:val="231F20"/>
                <w:sz w:val="18"/>
              </w:rPr>
              <w:t>Landing fees and other rentals</w:t>
            </w:r>
          </w:p>
        </w:tc>
        <w:tc>
          <w:tcPr>
            <w:tcW w:w="1300" w:type="dxa"/>
            <w:shd w:val="clear" w:color="auto" w:fill="CCECFC"/>
          </w:tcPr>
          <w:p>
            <w:pPr>
              <w:pStyle w:val="TableParagraph"/>
              <w:spacing w:before="22"/>
              <w:ind w:right="58"/>
              <w:jc w:val="right"/>
              <w:rPr>
                <w:sz w:val="18"/>
              </w:rPr>
            </w:pPr>
            <w:r>
              <w:rPr>
                <w:color w:val="231F20"/>
                <w:sz w:val="18"/>
              </w:rPr>
              <w:t>1,111</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1,103</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1,043</w:t>
            </w:r>
          </w:p>
        </w:tc>
      </w:tr>
      <w:tr>
        <w:trPr>
          <w:trHeight w:val="280" w:hRule="exact"/>
        </w:trPr>
        <w:tc>
          <w:tcPr>
            <w:tcW w:w="4820" w:type="dxa"/>
          </w:tcPr>
          <w:p>
            <w:pPr>
              <w:pStyle w:val="TableParagraph"/>
              <w:spacing w:before="22"/>
              <w:ind w:left="240"/>
              <w:rPr>
                <w:sz w:val="18"/>
              </w:rPr>
            </w:pPr>
            <w:r>
              <w:rPr>
                <w:color w:val="231F20"/>
                <w:sz w:val="18"/>
              </w:rPr>
              <w:t>Depreciation and amortization</w:t>
            </w:r>
          </w:p>
        </w:tc>
        <w:tc>
          <w:tcPr>
            <w:tcW w:w="1300" w:type="dxa"/>
          </w:tcPr>
          <w:p>
            <w:pPr>
              <w:pStyle w:val="TableParagraph"/>
              <w:spacing w:before="22"/>
              <w:ind w:right="58"/>
              <w:jc w:val="right"/>
              <w:rPr>
                <w:sz w:val="18"/>
              </w:rPr>
            </w:pPr>
            <w:r>
              <w:rPr>
                <w:color w:val="231F20"/>
                <w:sz w:val="18"/>
              </w:rPr>
              <w:t>938</w:t>
            </w:r>
          </w:p>
        </w:tc>
        <w:tc>
          <w:tcPr>
            <w:tcW w:w="200" w:type="dxa"/>
          </w:tcPr>
          <w:p>
            <w:pPr/>
          </w:p>
        </w:tc>
        <w:tc>
          <w:tcPr>
            <w:tcW w:w="1300" w:type="dxa"/>
          </w:tcPr>
          <w:p>
            <w:pPr>
              <w:pStyle w:val="TableParagraph"/>
              <w:spacing w:before="22"/>
              <w:ind w:right="58"/>
              <w:jc w:val="right"/>
              <w:rPr>
                <w:sz w:val="18"/>
              </w:rPr>
            </w:pPr>
            <w:r>
              <w:rPr>
                <w:color w:val="231F20"/>
                <w:sz w:val="18"/>
              </w:rPr>
              <w:t>867</w:t>
            </w:r>
          </w:p>
        </w:tc>
        <w:tc>
          <w:tcPr>
            <w:tcW w:w="200" w:type="dxa"/>
          </w:tcPr>
          <w:p>
            <w:pPr/>
          </w:p>
        </w:tc>
        <w:tc>
          <w:tcPr>
            <w:tcW w:w="1300" w:type="dxa"/>
          </w:tcPr>
          <w:p>
            <w:pPr>
              <w:pStyle w:val="TableParagraph"/>
              <w:spacing w:before="22"/>
              <w:ind w:right="58"/>
              <w:jc w:val="right"/>
              <w:rPr>
                <w:sz w:val="18"/>
              </w:rPr>
            </w:pPr>
            <w:r>
              <w:rPr>
                <w:color w:val="231F20"/>
                <w:sz w:val="18"/>
              </w:rPr>
              <w:t>844</w:t>
            </w:r>
          </w:p>
        </w:tc>
      </w:tr>
      <w:tr>
        <w:trPr>
          <w:trHeight w:val="280" w:hRule="exact"/>
        </w:trPr>
        <w:tc>
          <w:tcPr>
            <w:tcW w:w="4820" w:type="dxa"/>
            <w:shd w:val="clear" w:color="auto" w:fill="CCECFC"/>
          </w:tcPr>
          <w:p>
            <w:pPr>
              <w:pStyle w:val="TableParagraph"/>
              <w:spacing w:before="22"/>
              <w:ind w:left="240"/>
              <w:rPr>
                <w:sz w:val="18"/>
              </w:rPr>
            </w:pPr>
            <w:r>
              <w:rPr>
                <w:color w:val="231F20"/>
                <w:sz w:val="18"/>
              </w:rPr>
              <w:t>Acquisition and integration</w:t>
            </w:r>
          </w:p>
        </w:tc>
        <w:tc>
          <w:tcPr>
            <w:tcW w:w="1300" w:type="dxa"/>
            <w:shd w:val="clear" w:color="auto" w:fill="CCECFC"/>
          </w:tcPr>
          <w:p>
            <w:pPr>
              <w:pStyle w:val="TableParagraph"/>
              <w:spacing w:before="22"/>
              <w:ind w:right="58"/>
              <w:jc w:val="right"/>
              <w:rPr>
                <w:sz w:val="18"/>
              </w:rPr>
            </w:pPr>
            <w:r>
              <w:rPr>
                <w:color w:val="231F20"/>
                <w:sz w:val="18"/>
              </w:rPr>
              <w:t>126</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86</w:t>
            </w:r>
          </w:p>
        </w:tc>
        <w:tc>
          <w:tcPr>
            <w:tcW w:w="200" w:type="dxa"/>
            <w:shd w:val="clear" w:color="auto" w:fill="CCECFC"/>
          </w:tcPr>
          <w:p>
            <w:pPr/>
          </w:p>
        </w:tc>
        <w:tc>
          <w:tcPr>
            <w:tcW w:w="1300" w:type="dxa"/>
            <w:shd w:val="clear" w:color="auto" w:fill="CCECFC"/>
          </w:tcPr>
          <w:p>
            <w:pPr>
              <w:pStyle w:val="TableParagraph"/>
              <w:spacing w:before="22"/>
              <w:ind w:right="58"/>
              <w:jc w:val="right"/>
              <w:rPr>
                <w:sz w:val="18"/>
              </w:rPr>
            </w:pPr>
            <w:r>
              <w:rPr>
                <w:color w:val="231F20"/>
                <w:sz w:val="18"/>
              </w:rPr>
              <w:t>183</w:t>
            </w:r>
          </w:p>
        </w:tc>
      </w:tr>
      <w:tr>
        <w:trPr>
          <w:trHeight w:val="295" w:hRule="exact"/>
        </w:trPr>
        <w:tc>
          <w:tcPr>
            <w:tcW w:w="4820" w:type="dxa"/>
          </w:tcPr>
          <w:p>
            <w:pPr>
              <w:pStyle w:val="TableParagraph"/>
              <w:spacing w:before="22"/>
              <w:ind w:left="240"/>
              <w:rPr>
                <w:sz w:val="18"/>
              </w:rPr>
            </w:pPr>
            <w:r>
              <w:rPr>
                <w:color w:val="231F20"/>
                <w:sz w:val="18"/>
              </w:rPr>
              <w:t>Other operating expenses</w:t>
            </w:r>
          </w:p>
        </w:tc>
        <w:tc>
          <w:tcPr>
            <w:tcW w:w="1300" w:type="dxa"/>
            <w:tcBorders>
              <w:bottom w:val="single" w:sz="4" w:space="0" w:color="231F20"/>
            </w:tcBorders>
          </w:tcPr>
          <w:p>
            <w:pPr>
              <w:pStyle w:val="TableParagraph"/>
              <w:spacing w:before="22"/>
              <w:ind w:right="58"/>
              <w:jc w:val="right"/>
              <w:rPr>
                <w:sz w:val="18"/>
              </w:rPr>
            </w:pPr>
            <w:r>
              <w:rPr>
                <w:color w:val="231F20"/>
                <w:sz w:val="18"/>
              </w:rPr>
              <w:t>2,205</w:t>
            </w:r>
          </w:p>
        </w:tc>
        <w:tc>
          <w:tcPr>
            <w:tcW w:w="200" w:type="dxa"/>
          </w:tcPr>
          <w:p>
            <w:pPr/>
          </w:p>
        </w:tc>
        <w:tc>
          <w:tcPr>
            <w:tcW w:w="1300" w:type="dxa"/>
            <w:tcBorders>
              <w:bottom w:val="single" w:sz="4" w:space="0" w:color="231F20"/>
            </w:tcBorders>
          </w:tcPr>
          <w:p>
            <w:pPr>
              <w:pStyle w:val="TableParagraph"/>
              <w:spacing w:before="22"/>
              <w:ind w:right="58"/>
              <w:jc w:val="right"/>
              <w:rPr>
                <w:sz w:val="18"/>
              </w:rPr>
            </w:pPr>
            <w:r>
              <w:rPr>
                <w:color w:val="231F20"/>
                <w:sz w:val="18"/>
              </w:rPr>
              <w:t>2,126</w:t>
            </w:r>
          </w:p>
        </w:tc>
        <w:tc>
          <w:tcPr>
            <w:tcW w:w="200" w:type="dxa"/>
          </w:tcPr>
          <w:p>
            <w:pPr/>
          </w:p>
        </w:tc>
        <w:tc>
          <w:tcPr>
            <w:tcW w:w="1300" w:type="dxa"/>
            <w:tcBorders>
              <w:bottom w:val="single" w:sz="4" w:space="0" w:color="231F20"/>
            </w:tcBorders>
          </w:tcPr>
          <w:p>
            <w:pPr>
              <w:pStyle w:val="TableParagraph"/>
              <w:spacing w:before="22"/>
              <w:ind w:right="58"/>
              <w:jc w:val="right"/>
              <w:rPr>
                <w:sz w:val="18"/>
              </w:rPr>
            </w:pPr>
            <w:r>
              <w:rPr>
                <w:color w:val="231F20"/>
                <w:sz w:val="18"/>
              </w:rPr>
              <w:t>2,039</w:t>
            </w:r>
          </w:p>
        </w:tc>
      </w:tr>
      <w:tr>
        <w:trPr>
          <w:trHeight w:val="285" w:hRule="exact"/>
        </w:trPr>
        <w:tc>
          <w:tcPr>
            <w:tcW w:w="4820" w:type="dxa"/>
            <w:shd w:val="clear" w:color="auto" w:fill="CCECFC"/>
          </w:tcPr>
          <w:p>
            <w:pPr>
              <w:pStyle w:val="TableParagraph"/>
              <w:spacing w:before="22"/>
              <w:ind w:left="420"/>
              <w:rPr>
                <w:sz w:val="18"/>
              </w:rPr>
            </w:pPr>
            <w:r>
              <w:rPr>
                <w:color w:val="231F20"/>
                <w:sz w:val="18"/>
              </w:rPr>
              <w:t>Total operating expenses</w:t>
            </w: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16,380</w:t>
            </w:r>
          </w:p>
        </w:tc>
        <w:tc>
          <w:tcPr>
            <w:tcW w:w="200" w:type="dxa"/>
            <w:shd w:val="clear" w:color="auto" w:fill="CCECFC"/>
          </w:tcPr>
          <w:p>
            <w:pP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16,421</w:t>
            </w:r>
          </w:p>
        </w:tc>
        <w:tc>
          <w:tcPr>
            <w:tcW w:w="200" w:type="dxa"/>
            <w:shd w:val="clear" w:color="auto" w:fill="CCECFC"/>
          </w:tcPr>
          <w:p>
            <w:pP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16,465</w:t>
            </w:r>
          </w:p>
        </w:tc>
      </w:tr>
      <w:tr>
        <w:trPr>
          <w:trHeight w:val="275" w:hRule="exact"/>
        </w:trPr>
        <w:tc>
          <w:tcPr>
            <w:tcW w:w="4820" w:type="dxa"/>
          </w:tcPr>
          <w:p>
            <w:pPr/>
          </w:p>
        </w:tc>
        <w:tc>
          <w:tcPr>
            <w:tcW w:w="1300" w:type="dxa"/>
            <w:tcBorders>
              <w:bottom w:val="single" w:sz="4" w:space="0" w:color="231F20"/>
            </w:tcBorders>
          </w:tcPr>
          <w:p>
            <w:pPr/>
          </w:p>
        </w:tc>
        <w:tc>
          <w:tcPr>
            <w:tcW w:w="200" w:type="dxa"/>
          </w:tcPr>
          <w:p>
            <w:pPr/>
          </w:p>
        </w:tc>
        <w:tc>
          <w:tcPr>
            <w:tcW w:w="1300" w:type="dxa"/>
            <w:tcBorders>
              <w:bottom w:val="single" w:sz="4" w:space="0" w:color="231F20"/>
            </w:tcBorders>
          </w:tcPr>
          <w:p>
            <w:pPr/>
          </w:p>
        </w:tc>
        <w:tc>
          <w:tcPr>
            <w:tcW w:w="200" w:type="dxa"/>
          </w:tcPr>
          <w:p>
            <w:pPr/>
          </w:p>
        </w:tc>
        <w:tc>
          <w:tcPr>
            <w:tcW w:w="1300" w:type="dxa"/>
            <w:tcBorders>
              <w:bottom w:val="single" w:sz="4" w:space="0" w:color="231F20"/>
            </w:tcBorders>
          </w:tcPr>
          <w:p>
            <w:pPr/>
          </w:p>
        </w:tc>
      </w:tr>
      <w:tr>
        <w:trPr>
          <w:trHeight w:val="285" w:hRule="exact"/>
        </w:trPr>
        <w:tc>
          <w:tcPr>
            <w:tcW w:w="4820" w:type="dxa"/>
            <w:shd w:val="clear" w:color="auto" w:fill="CCECFC"/>
          </w:tcPr>
          <w:p>
            <w:pPr>
              <w:pStyle w:val="TableParagraph"/>
              <w:spacing w:before="27"/>
              <w:ind w:left="60"/>
              <w:rPr>
                <w:b/>
                <w:sz w:val="18"/>
              </w:rPr>
            </w:pPr>
            <w:r>
              <w:rPr>
                <w:b/>
                <w:color w:val="231F20"/>
                <w:sz w:val="18"/>
              </w:rPr>
              <w:t>OPERATING INCOME</w:t>
            </w: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2,225</w:t>
            </w:r>
          </w:p>
        </w:tc>
        <w:tc>
          <w:tcPr>
            <w:tcW w:w="200" w:type="dxa"/>
            <w:shd w:val="clear" w:color="auto" w:fill="CCECFC"/>
          </w:tcPr>
          <w:p>
            <w:pP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1,278</w:t>
            </w:r>
          </w:p>
        </w:tc>
        <w:tc>
          <w:tcPr>
            <w:tcW w:w="200" w:type="dxa"/>
            <w:shd w:val="clear" w:color="auto" w:fill="CCECFC"/>
          </w:tcPr>
          <w:p>
            <w:pPr/>
          </w:p>
        </w:tc>
        <w:tc>
          <w:tcPr>
            <w:tcW w:w="1300" w:type="dxa"/>
            <w:tcBorders>
              <w:top w:val="single" w:sz="4" w:space="0" w:color="231F20"/>
            </w:tcBorders>
            <w:shd w:val="clear" w:color="auto" w:fill="CCECFC"/>
          </w:tcPr>
          <w:p>
            <w:pPr>
              <w:pStyle w:val="TableParagraph"/>
              <w:spacing w:before="22"/>
              <w:ind w:right="58"/>
              <w:jc w:val="right"/>
              <w:rPr>
                <w:sz w:val="18"/>
              </w:rPr>
            </w:pPr>
            <w:r>
              <w:rPr>
                <w:color w:val="231F20"/>
                <w:sz w:val="18"/>
              </w:rPr>
              <w:t>623</w:t>
            </w:r>
          </w:p>
        </w:tc>
      </w:tr>
      <w:tr>
        <w:trPr>
          <w:trHeight w:val="529" w:hRule="exact"/>
        </w:trPr>
        <w:tc>
          <w:tcPr>
            <w:tcW w:w="9120" w:type="dxa"/>
            <w:gridSpan w:val="6"/>
          </w:tcPr>
          <w:p>
            <w:pPr>
              <w:pStyle w:val="TableParagraph"/>
              <w:spacing w:before="5"/>
              <w:rPr>
                <w:b/>
                <w:sz w:val="24"/>
              </w:rPr>
            </w:pPr>
          </w:p>
          <w:p>
            <w:pPr>
              <w:pStyle w:val="TableParagraph"/>
              <w:tabs>
                <w:tab w:pos="9119" w:val="left" w:leader="none"/>
              </w:tabs>
              <w:spacing w:before="1"/>
              <w:rPr>
                <w:b/>
                <w:sz w:val="18"/>
              </w:rPr>
            </w:pPr>
            <w:r>
              <w:rPr>
                <w:b/>
                <w:color w:val="231F20"/>
                <w:spacing w:val="15"/>
                <w:sz w:val="18"/>
                <w:shd w:fill="CCECFC" w:color="auto" w:val="clear"/>
              </w:rPr>
              <w:t> </w:t>
            </w:r>
            <w:r>
              <w:rPr>
                <w:b/>
                <w:color w:val="231F20"/>
                <w:sz w:val="18"/>
                <w:shd w:fill="CCECFC" w:color="auto" w:val="clear"/>
              </w:rPr>
              <w:t>OTHER EXPENSES</w:t>
            </w:r>
            <w:r>
              <w:rPr>
                <w:b/>
                <w:color w:val="231F20"/>
                <w:spacing w:val="-2"/>
                <w:sz w:val="18"/>
                <w:shd w:fill="CCECFC" w:color="auto" w:val="clear"/>
              </w:rPr>
              <w:t> </w:t>
            </w:r>
            <w:r>
              <w:rPr>
                <w:b/>
                <w:color w:val="231F20"/>
                <w:sz w:val="18"/>
                <w:shd w:fill="CCECFC" w:color="auto" w:val="clear"/>
              </w:rPr>
              <w:t>(INCOME):</w:t>
              <w:tab/>
            </w:r>
          </w:p>
        </w:tc>
      </w:tr>
      <w:tr>
        <w:trPr>
          <w:trHeight w:val="291" w:hRule="exact"/>
        </w:trPr>
        <w:tc>
          <w:tcPr>
            <w:tcW w:w="4820" w:type="dxa"/>
          </w:tcPr>
          <w:p>
            <w:pPr>
              <w:pStyle w:val="TableParagraph"/>
              <w:spacing w:before="33"/>
              <w:ind w:left="240"/>
              <w:rPr>
                <w:sz w:val="18"/>
              </w:rPr>
            </w:pPr>
            <w:r>
              <w:rPr>
                <w:color w:val="231F20"/>
                <w:sz w:val="18"/>
              </w:rPr>
              <w:t>Interest expense</w:t>
            </w:r>
          </w:p>
        </w:tc>
        <w:tc>
          <w:tcPr>
            <w:tcW w:w="1300" w:type="dxa"/>
          </w:tcPr>
          <w:p>
            <w:pPr>
              <w:pStyle w:val="TableParagraph"/>
              <w:spacing w:before="33"/>
              <w:ind w:right="58"/>
              <w:jc w:val="right"/>
              <w:rPr>
                <w:sz w:val="18"/>
              </w:rPr>
            </w:pPr>
            <w:r>
              <w:rPr>
                <w:color w:val="231F20"/>
                <w:sz w:val="18"/>
              </w:rPr>
              <w:t>130</w:t>
            </w:r>
          </w:p>
        </w:tc>
        <w:tc>
          <w:tcPr>
            <w:tcW w:w="200" w:type="dxa"/>
          </w:tcPr>
          <w:p>
            <w:pPr/>
          </w:p>
        </w:tc>
        <w:tc>
          <w:tcPr>
            <w:tcW w:w="1300" w:type="dxa"/>
          </w:tcPr>
          <w:p>
            <w:pPr>
              <w:pStyle w:val="TableParagraph"/>
              <w:spacing w:before="33"/>
              <w:ind w:right="58"/>
              <w:jc w:val="right"/>
              <w:rPr>
                <w:sz w:val="18"/>
              </w:rPr>
            </w:pPr>
            <w:r>
              <w:rPr>
                <w:color w:val="231F20"/>
                <w:sz w:val="18"/>
              </w:rPr>
              <w:t>131</w:t>
            </w:r>
          </w:p>
        </w:tc>
        <w:tc>
          <w:tcPr>
            <w:tcW w:w="1500" w:type="dxa"/>
            <w:gridSpan w:val="2"/>
          </w:tcPr>
          <w:p>
            <w:pPr>
              <w:pStyle w:val="TableParagraph"/>
              <w:spacing w:before="33"/>
              <w:ind w:right="58"/>
              <w:jc w:val="right"/>
              <w:rPr>
                <w:sz w:val="18"/>
              </w:rPr>
            </w:pPr>
            <w:r>
              <w:rPr>
                <w:color w:val="231F20"/>
                <w:sz w:val="18"/>
              </w:rPr>
              <w:t>147</w:t>
            </w:r>
          </w:p>
        </w:tc>
      </w:tr>
      <w:tr>
        <w:trPr>
          <w:trHeight w:val="280" w:hRule="exact"/>
        </w:trPr>
        <w:tc>
          <w:tcPr>
            <w:tcW w:w="4820" w:type="dxa"/>
            <w:shd w:val="clear" w:color="auto" w:fill="CCECFC"/>
          </w:tcPr>
          <w:p>
            <w:pPr>
              <w:pStyle w:val="TableParagraph"/>
              <w:spacing w:before="22"/>
              <w:ind w:left="240"/>
              <w:rPr>
                <w:sz w:val="18"/>
              </w:rPr>
            </w:pPr>
            <w:r>
              <w:rPr>
                <w:color w:val="231F20"/>
                <w:sz w:val="18"/>
              </w:rPr>
              <w:t>Capitalized interest</w:t>
            </w:r>
          </w:p>
        </w:tc>
        <w:tc>
          <w:tcPr>
            <w:tcW w:w="1300" w:type="dxa"/>
            <w:shd w:val="clear" w:color="auto" w:fill="CCECFC"/>
          </w:tcPr>
          <w:p>
            <w:pPr>
              <w:pStyle w:val="TableParagraph"/>
              <w:spacing w:before="22"/>
              <w:jc w:val="right"/>
              <w:rPr>
                <w:sz w:val="18"/>
              </w:rPr>
            </w:pPr>
            <w:r>
              <w:rPr>
                <w:color w:val="231F20"/>
                <w:sz w:val="18"/>
              </w:rPr>
              <w:t>(23)</w:t>
            </w:r>
          </w:p>
        </w:tc>
        <w:tc>
          <w:tcPr>
            <w:tcW w:w="200" w:type="dxa"/>
            <w:shd w:val="clear" w:color="auto" w:fill="CCECFC"/>
          </w:tcPr>
          <w:p>
            <w:pPr/>
          </w:p>
        </w:tc>
        <w:tc>
          <w:tcPr>
            <w:tcW w:w="1300" w:type="dxa"/>
            <w:shd w:val="clear" w:color="auto" w:fill="CCECFC"/>
          </w:tcPr>
          <w:p>
            <w:pPr>
              <w:pStyle w:val="TableParagraph"/>
              <w:spacing w:before="22"/>
              <w:jc w:val="right"/>
              <w:rPr>
                <w:sz w:val="18"/>
              </w:rPr>
            </w:pPr>
            <w:r>
              <w:rPr>
                <w:color w:val="231F20"/>
                <w:sz w:val="18"/>
              </w:rPr>
              <w:t>(24)</w:t>
            </w:r>
          </w:p>
        </w:tc>
        <w:tc>
          <w:tcPr>
            <w:tcW w:w="1500" w:type="dxa"/>
            <w:gridSpan w:val="2"/>
            <w:shd w:val="clear" w:color="auto" w:fill="CCECFC"/>
          </w:tcPr>
          <w:p>
            <w:pPr>
              <w:pStyle w:val="TableParagraph"/>
              <w:spacing w:before="22"/>
              <w:jc w:val="right"/>
              <w:rPr>
                <w:sz w:val="18"/>
              </w:rPr>
            </w:pPr>
            <w:r>
              <w:rPr>
                <w:color w:val="231F20"/>
                <w:sz w:val="18"/>
              </w:rPr>
              <w:t>(21)</w:t>
            </w:r>
          </w:p>
        </w:tc>
      </w:tr>
      <w:tr>
        <w:trPr>
          <w:trHeight w:val="280" w:hRule="exact"/>
        </w:trPr>
        <w:tc>
          <w:tcPr>
            <w:tcW w:w="4820" w:type="dxa"/>
          </w:tcPr>
          <w:p>
            <w:pPr>
              <w:pStyle w:val="TableParagraph"/>
              <w:spacing w:before="22"/>
              <w:ind w:left="240"/>
              <w:rPr>
                <w:sz w:val="18"/>
              </w:rPr>
            </w:pPr>
            <w:r>
              <w:rPr>
                <w:color w:val="231F20"/>
                <w:sz w:val="18"/>
              </w:rPr>
              <w:t>Interest income</w:t>
            </w:r>
          </w:p>
        </w:tc>
        <w:tc>
          <w:tcPr>
            <w:tcW w:w="1300" w:type="dxa"/>
          </w:tcPr>
          <w:p>
            <w:pPr>
              <w:pStyle w:val="TableParagraph"/>
              <w:spacing w:before="22"/>
              <w:jc w:val="right"/>
              <w:rPr>
                <w:sz w:val="18"/>
              </w:rPr>
            </w:pPr>
            <w:r>
              <w:rPr>
                <w:color w:val="231F20"/>
                <w:sz w:val="18"/>
              </w:rPr>
              <w:t>(7)</w:t>
            </w:r>
          </w:p>
        </w:tc>
        <w:tc>
          <w:tcPr>
            <w:tcW w:w="200" w:type="dxa"/>
          </w:tcPr>
          <w:p>
            <w:pPr/>
          </w:p>
        </w:tc>
        <w:tc>
          <w:tcPr>
            <w:tcW w:w="1300" w:type="dxa"/>
          </w:tcPr>
          <w:p>
            <w:pPr>
              <w:pStyle w:val="TableParagraph"/>
              <w:spacing w:before="22"/>
              <w:jc w:val="right"/>
              <w:rPr>
                <w:sz w:val="18"/>
              </w:rPr>
            </w:pPr>
            <w:r>
              <w:rPr>
                <w:color w:val="231F20"/>
                <w:sz w:val="18"/>
              </w:rPr>
              <w:t>(6)</w:t>
            </w:r>
          </w:p>
        </w:tc>
        <w:tc>
          <w:tcPr>
            <w:tcW w:w="1500" w:type="dxa"/>
            <w:gridSpan w:val="2"/>
          </w:tcPr>
          <w:p>
            <w:pPr>
              <w:pStyle w:val="TableParagraph"/>
              <w:spacing w:before="22"/>
              <w:jc w:val="right"/>
              <w:rPr>
                <w:sz w:val="18"/>
              </w:rPr>
            </w:pPr>
            <w:r>
              <w:rPr>
                <w:color w:val="231F20"/>
                <w:sz w:val="18"/>
              </w:rPr>
              <w:t>(7)</w:t>
            </w:r>
          </w:p>
        </w:tc>
      </w:tr>
      <w:tr>
        <w:trPr>
          <w:trHeight w:val="295" w:hRule="exact"/>
        </w:trPr>
        <w:tc>
          <w:tcPr>
            <w:tcW w:w="4820" w:type="dxa"/>
            <w:shd w:val="clear" w:color="auto" w:fill="CCECFC"/>
          </w:tcPr>
          <w:p>
            <w:pPr>
              <w:pStyle w:val="TableParagraph"/>
              <w:spacing w:before="22"/>
              <w:ind w:left="240"/>
              <w:rPr>
                <w:sz w:val="18"/>
              </w:rPr>
            </w:pPr>
            <w:r>
              <w:rPr>
                <w:color w:val="231F20"/>
                <w:sz w:val="18"/>
              </w:rPr>
              <w:t>Other (gains) losses, net</w:t>
            </w:r>
          </w:p>
        </w:tc>
        <w:tc>
          <w:tcPr>
            <w:tcW w:w="1300" w:type="dxa"/>
            <w:tcBorders>
              <w:bottom w:val="single" w:sz="4" w:space="0" w:color="231F20"/>
            </w:tcBorders>
            <w:shd w:val="clear" w:color="auto" w:fill="CCECFC"/>
          </w:tcPr>
          <w:p>
            <w:pPr>
              <w:pStyle w:val="TableParagraph"/>
              <w:spacing w:before="22"/>
              <w:ind w:right="59"/>
              <w:jc w:val="right"/>
              <w:rPr>
                <w:sz w:val="18"/>
              </w:rPr>
            </w:pPr>
            <w:r>
              <w:rPr>
                <w:color w:val="231F20"/>
                <w:sz w:val="18"/>
              </w:rPr>
              <w:t>309</w:t>
            </w:r>
          </w:p>
        </w:tc>
        <w:tc>
          <w:tcPr>
            <w:tcW w:w="200" w:type="dxa"/>
            <w:shd w:val="clear" w:color="auto" w:fill="CCECFC"/>
          </w:tcPr>
          <w:p>
            <w:pPr/>
          </w:p>
        </w:tc>
        <w:tc>
          <w:tcPr>
            <w:tcW w:w="1300" w:type="dxa"/>
            <w:tcBorders>
              <w:bottom w:val="single" w:sz="4" w:space="0" w:color="231F20"/>
            </w:tcBorders>
            <w:shd w:val="clear" w:color="auto" w:fill="CCECFC"/>
          </w:tcPr>
          <w:p>
            <w:pPr>
              <w:pStyle w:val="TableParagraph"/>
              <w:spacing w:before="22"/>
              <w:jc w:val="right"/>
              <w:rPr>
                <w:sz w:val="18"/>
              </w:rPr>
            </w:pPr>
            <w:r>
              <w:rPr>
                <w:color w:val="231F20"/>
                <w:sz w:val="18"/>
              </w:rPr>
              <w:t>(32)</w:t>
            </w:r>
          </w:p>
        </w:tc>
        <w:tc>
          <w:tcPr>
            <w:tcW w:w="1500" w:type="dxa"/>
            <w:gridSpan w:val="2"/>
            <w:shd w:val="clear" w:color="auto" w:fill="CCECFC"/>
          </w:tcPr>
          <w:p>
            <w:pPr>
              <w:pStyle w:val="TableParagraph"/>
              <w:spacing w:before="22"/>
              <w:jc w:val="right"/>
              <w:rPr>
                <w:sz w:val="18"/>
              </w:rPr>
            </w:pPr>
            <w:r>
              <w:rPr>
                <w:color w:val="231F20"/>
                <w:sz w:val="18"/>
              </w:rPr>
              <w:t>(181)</w:t>
            </w:r>
          </w:p>
        </w:tc>
      </w:tr>
      <w:tr>
        <w:trPr>
          <w:trHeight w:val="300" w:hRule="exact"/>
        </w:trPr>
        <w:tc>
          <w:tcPr>
            <w:tcW w:w="4820" w:type="dxa"/>
          </w:tcPr>
          <w:p>
            <w:pPr>
              <w:pStyle w:val="TableParagraph"/>
              <w:spacing w:before="42"/>
              <w:ind w:left="420"/>
              <w:rPr>
                <w:sz w:val="18"/>
              </w:rPr>
            </w:pPr>
            <w:r>
              <w:rPr>
                <w:color w:val="231F20"/>
                <w:sz w:val="18"/>
              </w:rPr>
              <w:t>Total other expenses (income)</w:t>
            </w:r>
          </w:p>
        </w:tc>
        <w:tc>
          <w:tcPr>
            <w:tcW w:w="1300" w:type="dxa"/>
            <w:tcBorders>
              <w:top w:val="single" w:sz="4" w:space="0" w:color="231F20"/>
              <w:bottom w:val="single" w:sz="4" w:space="0" w:color="231F20"/>
            </w:tcBorders>
          </w:tcPr>
          <w:p>
            <w:pPr>
              <w:pStyle w:val="TableParagraph"/>
              <w:spacing w:before="22"/>
              <w:ind w:right="58"/>
              <w:jc w:val="right"/>
              <w:rPr>
                <w:sz w:val="18"/>
              </w:rPr>
            </w:pPr>
            <w:r>
              <w:rPr>
                <w:color w:val="231F20"/>
                <w:sz w:val="18"/>
              </w:rPr>
              <w:t>409</w:t>
            </w:r>
          </w:p>
        </w:tc>
        <w:tc>
          <w:tcPr>
            <w:tcW w:w="200" w:type="dxa"/>
          </w:tcPr>
          <w:p>
            <w:pPr/>
          </w:p>
        </w:tc>
        <w:tc>
          <w:tcPr>
            <w:tcW w:w="1300" w:type="dxa"/>
            <w:tcBorders>
              <w:top w:val="single" w:sz="4" w:space="0" w:color="231F20"/>
              <w:bottom w:val="single" w:sz="4" w:space="0" w:color="231F20"/>
            </w:tcBorders>
          </w:tcPr>
          <w:p>
            <w:pPr>
              <w:pStyle w:val="TableParagraph"/>
              <w:spacing w:before="22"/>
              <w:ind w:right="58"/>
              <w:jc w:val="right"/>
              <w:rPr>
                <w:sz w:val="18"/>
              </w:rPr>
            </w:pPr>
            <w:r>
              <w:rPr>
                <w:color w:val="231F20"/>
                <w:sz w:val="18"/>
              </w:rPr>
              <w:t>69</w:t>
            </w:r>
          </w:p>
        </w:tc>
        <w:tc>
          <w:tcPr>
            <w:tcW w:w="1500" w:type="dxa"/>
            <w:gridSpan w:val="2"/>
          </w:tcPr>
          <w:p>
            <w:pPr>
              <w:pStyle w:val="TableParagraph"/>
              <w:spacing w:before="42"/>
              <w:jc w:val="right"/>
              <w:rPr>
                <w:sz w:val="18"/>
              </w:rPr>
            </w:pPr>
            <w:r>
              <w:rPr>
                <w:color w:val="231F20"/>
                <w:sz w:val="18"/>
              </w:rPr>
              <w:t>(62)</w:t>
            </w:r>
          </w:p>
        </w:tc>
      </w:tr>
      <w:tr>
        <w:trPr>
          <w:trHeight w:val="545" w:hRule="exact"/>
        </w:trPr>
        <w:tc>
          <w:tcPr>
            <w:tcW w:w="4820" w:type="dxa"/>
          </w:tcPr>
          <w:p>
            <w:pPr>
              <w:pStyle w:val="TableParagraph"/>
              <w:spacing w:before="10"/>
              <w:rPr>
                <w:b/>
                <w:sz w:val="24"/>
              </w:rPr>
            </w:pPr>
          </w:p>
          <w:p>
            <w:pPr>
              <w:pStyle w:val="TableParagraph"/>
              <w:spacing w:before="1"/>
              <w:ind w:left="60"/>
              <w:rPr>
                <w:b/>
                <w:sz w:val="18"/>
              </w:rPr>
            </w:pPr>
            <w:r>
              <w:rPr>
                <w:b/>
                <w:color w:val="231F20"/>
                <w:sz w:val="18"/>
              </w:rPr>
              <w:t>INCOME BEFORE INCOME TAXES</w:t>
            </w:r>
          </w:p>
        </w:tc>
        <w:tc>
          <w:tcPr>
            <w:tcW w:w="1300" w:type="dxa"/>
          </w:tcPr>
          <w:p>
            <w:pPr>
              <w:pStyle w:val="TableParagraph"/>
              <w:spacing w:before="10"/>
              <w:rPr>
                <w:b/>
                <w:sz w:val="24"/>
              </w:rPr>
            </w:pPr>
          </w:p>
          <w:p>
            <w:pPr>
              <w:pStyle w:val="TableParagraph"/>
              <w:spacing w:before="1"/>
              <w:ind w:right="58"/>
              <w:jc w:val="right"/>
              <w:rPr>
                <w:sz w:val="18"/>
              </w:rPr>
            </w:pPr>
            <w:r>
              <w:rPr>
                <w:color w:val="231F20"/>
                <w:sz w:val="18"/>
              </w:rPr>
              <w:t>1,816</w:t>
            </w:r>
          </w:p>
        </w:tc>
        <w:tc>
          <w:tcPr>
            <w:tcW w:w="200" w:type="dxa"/>
          </w:tcPr>
          <w:p>
            <w:pPr/>
          </w:p>
        </w:tc>
        <w:tc>
          <w:tcPr>
            <w:tcW w:w="1300" w:type="dxa"/>
          </w:tcPr>
          <w:p>
            <w:pPr>
              <w:pStyle w:val="TableParagraph"/>
              <w:spacing w:before="10"/>
              <w:rPr>
                <w:b/>
                <w:sz w:val="24"/>
              </w:rPr>
            </w:pPr>
          </w:p>
          <w:p>
            <w:pPr>
              <w:pStyle w:val="TableParagraph"/>
              <w:spacing w:before="1"/>
              <w:ind w:right="58"/>
              <w:jc w:val="right"/>
              <w:rPr>
                <w:sz w:val="18"/>
              </w:rPr>
            </w:pPr>
            <w:r>
              <w:rPr>
                <w:color w:val="231F20"/>
                <w:sz w:val="18"/>
              </w:rPr>
              <w:t>1,209</w:t>
            </w:r>
          </w:p>
        </w:tc>
        <w:tc>
          <w:tcPr>
            <w:tcW w:w="200" w:type="dxa"/>
          </w:tcPr>
          <w:p>
            <w:pPr/>
          </w:p>
        </w:tc>
        <w:tc>
          <w:tcPr>
            <w:tcW w:w="1300" w:type="dxa"/>
          </w:tcPr>
          <w:p>
            <w:pPr>
              <w:pStyle w:val="TableParagraph"/>
              <w:spacing w:before="10"/>
              <w:rPr>
                <w:b/>
                <w:sz w:val="24"/>
              </w:rPr>
            </w:pPr>
          </w:p>
          <w:p>
            <w:pPr>
              <w:pStyle w:val="TableParagraph"/>
              <w:spacing w:before="1"/>
              <w:ind w:right="58"/>
              <w:jc w:val="right"/>
              <w:rPr>
                <w:sz w:val="18"/>
              </w:rPr>
            </w:pPr>
            <w:r>
              <w:rPr>
                <w:color w:val="231F20"/>
                <w:sz w:val="18"/>
              </w:rPr>
              <w:t>685</w:t>
            </w:r>
          </w:p>
        </w:tc>
      </w:tr>
      <w:tr>
        <w:trPr>
          <w:trHeight w:val="295" w:hRule="exact"/>
        </w:trPr>
        <w:tc>
          <w:tcPr>
            <w:tcW w:w="4820" w:type="dxa"/>
            <w:shd w:val="clear" w:color="auto" w:fill="CCECFC"/>
          </w:tcPr>
          <w:p>
            <w:pPr>
              <w:pStyle w:val="TableParagraph"/>
              <w:spacing w:before="22"/>
              <w:ind w:left="60"/>
              <w:rPr>
                <w:b/>
                <w:sz w:val="18"/>
              </w:rPr>
            </w:pPr>
            <w:r>
              <w:rPr>
                <w:b/>
                <w:color w:val="231F20"/>
                <w:sz w:val="18"/>
              </w:rPr>
              <w:t>PROVISION FOR INCOME TAXES</w:t>
            </w:r>
          </w:p>
        </w:tc>
        <w:tc>
          <w:tcPr>
            <w:tcW w:w="1300" w:type="dxa"/>
            <w:tcBorders>
              <w:bottom w:val="single" w:sz="4" w:space="0" w:color="231F20"/>
            </w:tcBorders>
            <w:shd w:val="clear" w:color="auto" w:fill="CCECFC"/>
          </w:tcPr>
          <w:p>
            <w:pPr>
              <w:pStyle w:val="TableParagraph"/>
              <w:spacing w:before="22"/>
              <w:ind w:right="58"/>
              <w:jc w:val="right"/>
              <w:rPr>
                <w:sz w:val="18"/>
              </w:rPr>
            </w:pPr>
            <w:r>
              <w:rPr>
                <w:color w:val="231F20"/>
                <w:sz w:val="18"/>
              </w:rPr>
              <w:t>680</w:t>
            </w:r>
          </w:p>
        </w:tc>
        <w:tc>
          <w:tcPr>
            <w:tcW w:w="200" w:type="dxa"/>
            <w:shd w:val="clear" w:color="auto" w:fill="CCECFC"/>
          </w:tcPr>
          <w:p>
            <w:pPr/>
          </w:p>
        </w:tc>
        <w:tc>
          <w:tcPr>
            <w:tcW w:w="1300" w:type="dxa"/>
            <w:tcBorders>
              <w:bottom w:val="single" w:sz="4" w:space="0" w:color="231F20"/>
            </w:tcBorders>
            <w:shd w:val="clear" w:color="auto" w:fill="CCECFC"/>
          </w:tcPr>
          <w:p>
            <w:pPr>
              <w:pStyle w:val="TableParagraph"/>
              <w:spacing w:before="22"/>
              <w:ind w:right="58"/>
              <w:jc w:val="right"/>
              <w:rPr>
                <w:sz w:val="18"/>
              </w:rPr>
            </w:pPr>
            <w:r>
              <w:rPr>
                <w:color w:val="231F20"/>
                <w:sz w:val="18"/>
              </w:rPr>
              <w:t>455</w:t>
            </w:r>
          </w:p>
        </w:tc>
        <w:tc>
          <w:tcPr>
            <w:tcW w:w="200" w:type="dxa"/>
            <w:shd w:val="clear" w:color="auto" w:fill="CCECFC"/>
          </w:tcPr>
          <w:p>
            <w:pPr/>
          </w:p>
        </w:tc>
        <w:tc>
          <w:tcPr>
            <w:tcW w:w="1300" w:type="dxa"/>
            <w:tcBorders>
              <w:bottom w:val="single" w:sz="4" w:space="0" w:color="231F20"/>
            </w:tcBorders>
            <w:shd w:val="clear" w:color="auto" w:fill="CCECFC"/>
          </w:tcPr>
          <w:p>
            <w:pPr>
              <w:pStyle w:val="TableParagraph"/>
              <w:spacing w:before="22"/>
              <w:ind w:right="58"/>
              <w:jc w:val="right"/>
              <w:rPr>
                <w:sz w:val="18"/>
              </w:rPr>
            </w:pPr>
            <w:r>
              <w:rPr>
                <w:color w:val="231F20"/>
                <w:sz w:val="18"/>
              </w:rPr>
              <w:t>264</w:t>
            </w:r>
          </w:p>
        </w:tc>
      </w:tr>
      <w:tr>
        <w:trPr>
          <w:trHeight w:val="340" w:hRule="exact"/>
        </w:trPr>
        <w:tc>
          <w:tcPr>
            <w:tcW w:w="4820" w:type="dxa"/>
          </w:tcPr>
          <w:p>
            <w:pPr>
              <w:pStyle w:val="TableParagraph"/>
              <w:spacing w:before="72"/>
              <w:ind w:left="60"/>
              <w:rPr>
                <w:b/>
                <w:sz w:val="18"/>
              </w:rPr>
            </w:pPr>
            <w:r>
              <w:rPr>
                <w:b/>
                <w:color w:val="231F20"/>
                <w:sz w:val="18"/>
              </w:rPr>
              <w:t>NET INCOME</w:t>
            </w:r>
          </w:p>
        </w:tc>
        <w:tc>
          <w:tcPr>
            <w:tcW w:w="1300" w:type="dxa"/>
            <w:tcBorders>
              <w:top w:val="single" w:sz="4" w:space="0" w:color="231F20"/>
              <w:bottom w:val="single" w:sz="4" w:space="0" w:color="231F20"/>
            </w:tcBorders>
          </w:tcPr>
          <w:p>
            <w:pPr>
              <w:pStyle w:val="TableParagraph"/>
              <w:tabs>
                <w:tab w:pos="834" w:val="left" w:leader="none"/>
              </w:tabs>
              <w:spacing w:before="52"/>
              <w:ind w:left="-1" w:right="58"/>
              <w:jc w:val="right"/>
              <w:rPr>
                <w:sz w:val="18"/>
              </w:rPr>
            </w:pPr>
            <w:r>
              <w:rPr>
                <w:color w:val="231F20"/>
                <w:sz w:val="18"/>
              </w:rPr>
              <w:t>$</w:t>
              <w:tab/>
              <w:t>1,136</w:t>
            </w:r>
          </w:p>
        </w:tc>
        <w:tc>
          <w:tcPr>
            <w:tcW w:w="200" w:type="dxa"/>
          </w:tcPr>
          <w:p>
            <w:pPr/>
          </w:p>
        </w:tc>
        <w:tc>
          <w:tcPr>
            <w:tcW w:w="1300" w:type="dxa"/>
            <w:tcBorders>
              <w:top w:val="single" w:sz="4" w:space="0" w:color="231F20"/>
              <w:bottom w:val="single" w:sz="4" w:space="0" w:color="231F20"/>
            </w:tcBorders>
          </w:tcPr>
          <w:p>
            <w:pPr>
              <w:pStyle w:val="TableParagraph"/>
              <w:tabs>
                <w:tab w:pos="969" w:val="left" w:leader="none"/>
              </w:tabs>
              <w:spacing w:before="52"/>
              <w:ind w:left="-1" w:right="58"/>
              <w:jc w:val="right"/>
              <w:rPr>
                <w:sz w:val="18"/>
              </w:rPr>
            </w:pPr>
            <w:r>
              <w:rPr>
                <w:color w:val="231F20"/>
                <w:sz w:val="18"/>
              </w:rPr>
              <w:t>$</w:t>
              <w:tab/>
              <w:t>754</w:t>
            </w:r>
          </w:p>
        </w:tc>
        <w:tc>
          <w:tcPr>
            <w:tcW w:w="200" w:type="dxa"/>
          </w:tcPr>
          <w:p>
            <w:pPr/>
          </w:p>
        </w:tc>
        <w:tc>
          <w:tcPr>
            <w:tcW w:w="1300" w:type="dxa"/>
            <w:tcBorders>
              <w:top w:val="single" w:sz="4" w:space="0" w:color="231F20"/>
              <w:bottom w:val="double" w:sz="7" w:space="0" w:color="231F20"/>
            </w:tcBorders>
          </w:tcPr>
          <w:p>
            <w:pPr>
              <w:pStyle w:val="TableParagraph"/>
              <w:tabs>
                <w:tab w:pos="969" w:val="left" w:leader="none"/>
              </w:tabs>
              <w:spacing w:before="67"/>
              <w:ind w:left="-1" w:right="58"/>
              <w:jc w:val="right"/>
              <w:rPr>
                <w:sz w:val="18"/>
              </w:rPr>
            </w:pPr>
            <w:r>
              <w:rPr>
                <w:color w:val="231F20"/>
                <w:sz w:val="18"/>
              </w:rPr>
              <w:t>$</w:t>
              <w:tab/>
              <w:t>421</w:t>
            </w:r>
          </w:p>
        </w:tc>
      </w:tr>
      <w:tr>
        <w:trPr>
          <w:trHeight w:val="340" w:hRule="exact"/>
        </w:trPr>
        <w:tc>
          <w:tcPr>
            <w:tcW w:w="4820" w:type="dxa"/>
            <w:shd w:val="clear" w:color="auto" w:fill="CCECFC"/>
          </w:tcPr>
          <w:p>
            <w:pPr>
              <w:pStyle w:val="TableParagraph"/>
              <w:spacing w:before="22"/>
              <w:ind w:left="60"/>
              <w:rPr>
                <w:b/>
                <w:sz w:val="18"/>
              </w:rPr>
            </w:pPr>
            <w:r>
              <w:rPr>
                <w:b/>
                <w:color w:val="231F20"/>
                <w:sz w:val="18"/>
              </w:rPr>
              <w:t>NET INCOME PER SHARE, BASIC</w:t>
            </w:r>
          </w:p>
        </w:tc>
        <w:tc>
          <w:tcPr>
            <w:tcW w:w="1300" w:type="dxa"/>
            <w:tcBorders>
              <w:top w:val="single" w:sz="4" w:space="0" w:color="231F20"/>
              <w:bottom w:val="single" w:sz="4" w:space="0" w:color="231F20"/>
            </w:tcBorders>
            <w:shd w:val="clear" w:color="auto" w:fill="CCECFC"/>
          </w:tcPr>
          <w:p>
            <w:pPr>
              <w:pStyle w:val="TableParagraph"/>
              <w:tabs>
                <w:tab w:pos="924" w:val="left" w:leader="none"/>
              </w:tabs>
              <w:spacing w:before="22"/>
              <w:ind w:left="-1" w:right="58"/>
              <w:jc w:val="right"/>
              <w:rPr>
                <w:sz w:val="18"/>
              </w:rPr>
            </w:pPr>
            <w:r>
              <w:rPr>
                <w:color w:val="231F20"/>
                <w:sz w:val="18"/>
              </w:rPr>
              <w:t>$</w:t>
              <w:tab/>
              <w:t>1.65</w:t>
            </w:r>
          </w:p>
        </w:tc>
        <w:tc>
          <w:tcPr>
            <w:tcW w:w="200" w:type="dxa"/>
            <w:shd w:val="clear" w:color="auto" w:fill="CCECFC"/>
          </w:tcPr>
          <w:p>
            <w:pPr/>
          </w:p>
        </w:tc>
        <w:tc>
          <w:tcPr>
            <w:tcW w:w="1300" w:type="dxa"/>
            <w:tcBorders>
              <w:top w:val="single" w:sz="4" w:space="0" w:color="231F20"/>
              <w:bottom w:val="single" w:sz="4" w:space="0" w:color="231F20"/>
            </w:tcBorders>
            <w:shd w:val="clear" w:color="auto" w:fill="CCECFC"/>
          </w:tcPr>
          <w:p>
            <w:pPr>
              <w:pStyle w:val="TableParagraph"/>
              <w:tabs>
                <w:tab w:pos="924" w:val="left" w:leader="none"/>
              </w:tabs>
              <w:spacing w:before="22"/>
              <w:ind w:left="-1" w:right="58"/>
              <w:jc w:val="right"/>
              <w:rPr>
                <w:sz w:val="18"/>
              </w:rPr>
            </w:pPr>
            <w:r>
              <w:rPr>
                <w:color w:val="231F20"/>
                <w:sz w:val="18"/>
              </w:rPr>
              <w:t>$</w:t>
              <w:tab/>
              <w:t>1.06</w:t>
            </w:r>
          </w:p>
        </w:tc>
        <w:tc>
          <w:tcPr>
            <w:tcW w:w="200" w:type="dxa"/>
            <w:shd w:val="clear" w:color="auto" w:fill="CCECFC"/>
          </w:tcPr>
          <w:p>
            <w:pPr/>
          </w:p>
        </w:tc>
        <w:tc>
          <w:tcPr>
            <w:tcW w:w="1300" w:type="dxa"/>
            <w:tcBorders>
              <w:top w:val="double" w:sz="7" w:space="0" w:color="231F20"/>
              <w:bottom w:val="single" w:sz="4" w:space="0" w:color="231F20"/>
            </w:tcBorders>
            <w:shd w:val="clear" w:color="auto" w:fill="CCECFC"/>
          </w:tcPr>
          <w:p>
            <w:pPr>
              <w:pStyle w:val="TableParagraph"/>
              <w:tabs>
                <w:tab w:pos="924" w:val="left" w:leader="none"/>
              </w:tabs>
              <w:spacing w:line="204" w:lineRule="exact" w:before="0"/>
              <w:ind w:left="-1" w:right="58"/>
              <w:jc w:val="right"/>
              <w:rPr>
                <w:sz w:val="18"/>
              </w:rPr>
            </w:pPr>
            <w:r>
              <w:rPr>
                <w:color w:val="231F20"/>
                <w:sz w:val="18"/>
              </w:rPr>
              <w:t>$</w:t>
              <w:tab/>
              <w:t>0.56</w:t>
            </w:r>
          </w:p>
        </w:tc>
      </w:tr>
      <w:tr>
        <w:trPr>
          <w:trHeight w:val="340" w:hRule="exact"/>
        </w:trPr>
        <w:tc>
          <w:tcPr>
            <w:tcW w:w="4820" w:type="dxa"/>
          </w:tcPr>
          <w:p>
            <w:pPr>
              <w:pStyle w:val="TableParagraph"/>
              <w:spacing w:before="82"/>
              <w:ind w:left="60"/>
              <w:rPr>
                <w:b/>
                <w:sz w:val="18"/>
              </w:rPr>
            </w:pPr>
            <w:r>
              <w:rPr>
                <w:b/>
                <w:color w:val="231F20"/>
                <w:sz w:val="18"/>
              </w:rPr>
              <w:t>NET INCOME PER SHARE, DILUTED</w:t>
            </w:r>
          </w:p>
        </w:tc>
        <w:tc>
          <w:tcPr>
            <w:tcW w:w="1300" w:type="dxa"/>
            <w:tcBorders>
              <w:top w:val="single" w:sz="4" w:space="0" w:color="231F20"/>
              <w:bottom w:val="single" w:sz="4" w:space="0" w:color="231F20"/>
            </w:tcBorders>
          </w:tcPr>
          <w:p>
            <w:pPr>
              <w:pStyle w:val="TableParagraph"/>
              <w:tabs>
                <w:tab w:pos="924" w:val="left" w:leader="none"/>
              </w:tabs>
              <w:spacing w:before="22"/>
              <w:ind w:left="-1" w:right="58"/>
              <w:jc w:val="right"/>
              <w:rPr>
                <w:sz w:val="18"/>
              </w:rPr>
            </w:pPr>
            <w:r>
              <w:rPr>
                <w:color w:val="231F20"/>
                <w:sz w:val="18"/>
              </w:rPr>
              <w:t>$</w:t>
              <w:tab/>
              <w:t>1.64</w:t>
            </w:r>
          </w:p>
        </w:tc>
        <w:tc>
          <w:tcPr>
            <w:tcW w:w="200" w:type="dxa"/>
          </w:tcPr>
          <w:p>
            <w:pPr/>
          </w:p>
        </w:tc>
        <w:tc>
          <w:tcPr>
            <w:tcW w:w="1300" w:type="dxa"/>
            <w:tcBorders>
              <w:top w:val="single" w:sz="4" w:space="0" w:color="231F20"/>
              <w:bottom w:val="single" w:sz="4" w:space="0" w:color="231F20"/>
            </w:tcBorders>
          </w:tcPr>
          <w:p>
            <w:pPr>
              <w:pStyle w:val="TableParagraph"/>
              <w:tabs>
                <w:tab w:pos="924" w:val="left" w:leader="none"/>
              </w:tabs>
              <w:spacing w:before="22"/>
              <w:ind w:left="-1" w:right="58"/>
              <w:jc w:val="right"/>
              <w:rPr>
                <w:sz w:val="18"/>
              </w:rPr>
            </w:pPr>
            <w:r>
              <w:rPr>
                <w:color w:val="231F20"/>
                <w:sz w:val="18"/>
              </w:rPr>
              <w:t>$</w:t>
              <w:tab/>
              <w:t>1.05</w:t>
            </w:r>
          </w:p>
        </w:tc>
        <w:tc>
          <w:tcPr>
            <w:tcW w:w="200" w:type="dxa"/>
          </w:tcPr>
          <w:p>
            <w:pPr/>
          </w:p>
        </w:tc>
        <w:tc>
          <w:tcPr>
            <w:tcW w:w="1300" w:type="dxa"/>
            <w:tcBorders>
              <w:top w:val="single" w:sz="4" w:space="0" w:color="231F20"/>
            </w:tcBorders>
          </w:tcPr>
          <w:p>
            <w:pPr>
              <w:pStyle w:val="TableParagraph"/>
              <w:tabs>
                <w:tab w:pos="924" w:val="left" w:leader="none"/>
              </w:tabs>
              <w:spacing w:before="22"/>
              <w:ind w:left="-1" w:right="58"/>
              <w:jc w:val="right"/>
              <w:rPr>
                <w:sz w:val="18"/>
              </w:rPr>
            </w:pPr>
            <w:r>
              <w:rPr>
                <w:color w:val="231F20"/>
                <w:sz w:val="18"/>
              </w:rPr>
              <w:t>$</w:t>
              <w:tab/>
              <w:t>0.56</w:t>
            </w:r>
          </w:p>
        </w:tc>
      </w:tr>
      <w:tr>
        <w:trPr>
          <w:trHeight w:val="285" w:hRule="exact"/>
        </w:trPr>
        <w:tc>
          <w:tcPr>
            <w:tcW w:w="4820" w:type="dxa"/>
            <w:shd w:val="clear" w:color="auto" w:fill="CCECFC"/>
          </w:tcPr>
          <w:p>
            <w:pPr>
              <w:pStyle w:val="TableParagraph"/>
              <w:spacing w:before="27"/>
              <w:ind w:left="60"/>
              <w:rPr>
                <w:b/>
                <w:sz w:val="18"/>
              </w:rPr>
            </w:pPr>
            <w:r>
              <w:rPr>
                <w:b/>
                <w:color w:val="231F20"/>
                <w:sz w:val="18"/>
              </w:rPr>
              <w:t>Cash dividends declared per common share</w:t>
            </w:r>
          </w:p>
        </w:tc>
        <w:tc>
          <w:tcPr>
            <w:tcW w:w="1300" w:type="dxa"/>
            <w:tcBorders>
              <w:top w:val="single" w:sz="4" w:space="0" w:color="231F20"/>
            </w:tcBorders>
            <w:shd w:val="clear" w:color="auto" w:fill="CCECFC"/>
          </w:tcPr>
          <w:p>
            <w:pPr>
              <w:pStyle w:val="TableParagraph"/>
              <w:tabs>
                <w:tab w:pos="834" w:val="left" w:leader="none"/>
              </w:tabs>
              <w:spacing w:before="22"/>
              <w:ind w:left="-1" w:right="58"/>
              <w:jc w:val="right"/>
              <w:rPr>
                <w:sz w:val="18"/>
              </w:rPr>
            </w:pPr>
            <w:r>
              <w:rPr>
                <w:color w:val="231F20"/>
                <w:sz w:val="18"/>
              </w:rPr>
              <w:t>$</w:t>
              <w:tab/>
              <w:t>.2200</w:t>
            </w:r>
          </w:p>
        </w:tc>
        <w:tc>
          <w:tcPr>
            <w:tcW w:w="200" w:type="dxa"/>
            <w:shd w:val="clear" w:color="auto" w:fill="CCECFC"/>
          </w:tcPr>
          <w:p>
            <w:pPr/>
          </w:p>
        </w:tc>
        <w:tc>
          <w:tcPr>
            <w:tcW w:w="1300" w:type="dxa"/>
            <w:tcBorders>
              <w:top w:val="single" w:sz="4" w:space="0" w:color="231F20"/>
            </w:tcBorders>
            <w:shd w:val="clear" w:color="auto" w:fill="CCECFC"/>
          </w:tcPr>
          <w:p>
            <w:pPr>
              <w:pStyle w:val="TableParagraph"/>
              <w:tabs>
                <w:tab w:pos="834" w:val="left" w:leader="none"/>
              </w:tabs>
              <w:spacing w:before="22"/>
              <w:ind w:left="-1" w:right="58"/>
              <w:jc w:val="right"/>
              <w:rPr>
                <w:sz w:val="18"/>
              </w:rPr>
            </w:pPr>
            <w:r>
              <w:rPr>
                <w:color w:val="231F20"/>
                <w:sz w:val="18"/>
              </w:rPr>
              <w:t>$</w:t>
              <w:tab/>
              <w:t>.1300</w:t>
            </w:r>
          </w:p>
        </w:tc>
        <w:tc>
          <w:tcPr>
            <w:tcW w:w="200" w:type="dxa"/>
            <w:shd w:val="clear" w:color="auto" w:fill="CCECFC"/>
          </w:tcPr>
          <w:p>
            <w:pPr/>
          </w:p>
        </w:tc>
        <w:tc>
          <w:tcPr>
            <w:tcW w:w="1300" w:type="dxa"/>
            <w:shd w:val="clear" w:color="auto" w:fill="CCECFC"/>
          </w:tcPr>
          <w:p>
            <w:pPr>
              <w:pStyle w:val="TableParagraph"/>
              <w:tabs>
                <w:tab w:pos="834" w:val="left" w:leader="none"/>
              </w:tabs>
              <w:spacing w:before="27"/>
              <w:ind w:left="-1" w:right="58"/>
              <w:jc w:val="right"/>
              <w:rPr>
                <w:sz w:val="18"/>
              </w:rPr>
            </w:pPr>
            <w:r>
              <w:rPr>
                <w:color w:val="231F20"/>
                <w:sz w:val="18"/>
              </w:rPr>
              <w:t>$</w:t>
              <w:tab/>
              <w:t>.0345</w:t>
            </w:r>
          </w:p>
        </w:tc>
      </w:tr>
    </w:tbl>
    <w:p>
      <w:pPr>
        <w:spacing w:before="172"/>
        <w:ind w:left="819" w:right="0" w:firstLine="0"/>
        <w:jc w:val="left"/>
        <w:rPr>
          <w:sz w:val="18"/>
        </w:rPr>
      </w:pPr>
      <w:r>
        <w:rPr/>
        <w:pict>
          <v:group style="position:absolute;margin-left:69pt;margin-top:-107.497765pt;width:456.25pt;height:13.5pt;mso-position-horizontal-relative:page;mso-position-vertical-relative:paragraph;z-index:-406576" coordorigin="1380,-2150" coordsize="9125,270">
            <v:rect style="position:absolute;left:1380;top:-2140;width:9120;height:260" filled="true" fillcolor="#ccecfc" stroked="false">
              <v:fill type="solid"/>
            </v:rect>
            <v:line style="position:absolute" from="9200,-2145" to="10500,-2145" stroked="true" strokeweight=".5pt" strokecolor="#231f20">
              <v:stroke dashstyle="solid"/>
            </v:line>
            <w10:wrap type="none"/>
          </v:group>
        </w:pict>
      </w:r>
      <w:r>
        <w:rPr/>
        <w:pict>
          <v:line style="position:absolute;mso-position-horizontal-relative:page;mso-position-vertical-relative:paragraph;z-index:-406552" from="310pt,-50.247765pt" to="375pt,-50.247765pt" stroked="true" strokeweight=".5pt" strokecolor="#231f20">
            <v:stroke dashstyle="solid"/>
            <w10:wrap type="none"/>
          </v:line>
        </w:pict>
      </w:r>
      <w:r>
        <w:rPr/>
        <w:pict>
          <v:line style="position:absolute;mso-position-horizontal-relative:page;mso-position-vertical-relative:paragraph;z-index:-406528" from="385pt,-50.247765pt" to="450pt,-50.247765pt" stroked="true" strokeweight=".5pt" strokecolor="#231f20">
            <v:stroke dashstyle="solid"/>
            <w10:wrap type="none"/>
          </v:line>
        </w:pict>
      </w:r>
      <w:r>
        <w:rPr/>
        <w:pict>
          <v:line style="position:absolute;mso-position-horizontal-relative:page;mso-position-vertical-relative:paragraph;z-index:-406504" from="310pt,-33.247765pt" to="375pt,-33.247765pt" stroked="true" strokeweight=".5pt" strokecolor="#231f20">
            <v:stroke dashstyle="solid"/>
            <w10:wrap type="none"/>
          </v:line>
        </w:pict>
      </w:r>
      <w:r>
        <w:rPr/>
        <w:pict>
          <v:line style="position:absolute;mso-position-horizontal-relative:page;mso-position-vertical-relative:paragraph;z-index:-406480" from="385pt,-33.247765pt" to="450pt,-33.247765pt" stroked="true" strokeweight=".5pt" strokecolor="#231f20">
            <v:stroke dashstyle="solid"/>
            <w10:wrap type="none"/>
          </v:line>
        </w:pict>
      </w:r>
      <w:r>
        <w:rPr/>
        <w:pict>
          <v:line style="position:absolute;mso-position-horizontal-relative:page;mso-position-vertical-relative:paragraph;z-index:-406456" from="310pt,-16.247763pt" to="375pt,-16.247763pt" stroked="true" strokeweight=".5pt" strokecolor="#231f20">
            <v:stroke dashstyle="solid"/>
            <w10:wrap type="none"/>
          </v:line>
        </w:pict>
      </w:r>
      <w:r>
        <w:rPr/>
        <w:pict>
          <v:line style="position:absolute;mso-position-horizontal-relative:page;mso-position-vertical-relative:paragraph;z-index:-406432" from="385pt,-16.247763pt" to="450pt,-16.247763pt" stroked="true" strokeweight=".5pt" strokecolor="#231f20">
            <v:stroke dashstyle="solid"/>
            <w10:wrap type="none"/>
          </v:line>
        </w:pict>
      </w:r>
      <w:r>
        <w:rPr/>
        <w:pict>
          <v:group style="position:absolute;margin-left:459.75pt;margin-top:-16.497763pt;width:65.5pt;height:2.5pt;mso-position-horizontal-relative:page;mso-position-vertical-relative:paragraph;z-index:-406408" coordorigin="9195,-330" coordsize="1310,50">
            <v:line style="position:absolute" from="9200,-325" to="10500,-325" stroked="true" strokeweight=".5pt" strokecolor="#231f20">
              <v:stroke dashstyle="solid"/>
            </v:line>
            <v:line style="position:absolute" from="9200,-285" to="10500,-285" stroked="true" strokeweight=".5pt" strokecolor="#231f20">
              <v:stroke dashstyle="solid"/>
            </v:line>
            <w10:wrap type="none"/>
          </v:group>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60" w:right="179" w:firstLine="0"/>
        <w:jc w:val="center"/>
        <w:rPr>
          <w:b/>
          <w:sz w:val="18"/>
        </w:rPr>
      </w:pPr>
      <w:bookmarkStart w:name="Southwest Airlines Co. Consolidated Stat" w:id="20"/>
      <w:bookmarkEnd w:id="20"/>
      <w:r>
        <w:rPr/>
      </w:r>
      <w:r>
        <w:rPr>
          <w:b/>
          <w:color w:val="231F20"/>
          <w:sz w:val="18"/>
        </w:rPr>
        <w:t>Southwest Airlines Co.</w:t>
      </w:r>
    </w:p>
    <w:p>
      <w:pPr>
        <w:spacing w:before="13"/>
        <w:ind w:left="160" w:right="178" w:firstLine="0"/>
        <w:jc w:val="center"/>
        <w:rPr>
          <w:b/>
          <w:sz w:val="18"/>
        </w:rPr>
      </w:pPr>
      <w:r>
        <w:rPr>
          <w:b/>
          <w:color w:val="231F20"/>
          <w:sz w:val="18"/>
        </w:rPr>
        <w:t>Consolidated Statement of Comprehensive Income</w:t>
      </w:r>
    </w:p>
    <w:p>
      <w:pPr>
        <w:spacing w:before="13"/>
        <w:ind w:left="160" w:right="178" w:firstLine="0"/>
        <w:jc w:val="center"/>
        <w:rPr>
          <w:sz w:val="18"/>
        </w:rPr>
      </w:pPr>
      <w:r>
        <w:rPr>
          <w:color w:val="231F20"/>
          <w:sz w:val="18"/>
        </w:rPr>
        <w:t>(in millions)</w:t>
      </w:r>
    </w:p>
    <w:p>
      <w:pPr>
        <w:pStyle w:val="BodyText"/>
        <w:rPr>
          <w:sz w:val="20"/>
        </w:rPr>
      </w:pPr>
    </w:p>
    <w:p>
      <w:pPr>
        <w:pStyle w:val="BodyText"/>
        <w:spacing w:before="10"/>
      </w:pPr>
    </w:p>
    <w:p>
      <w:pPr>
        <w:spacing w:before="0" w:after="31"/>
        <w:ind w:left="5930" w:right="0" w:firstLine="0"/>
        <w:jc w:val="left"/>
        <w:rPr>
          <w:b/>
          <w:sz w:val="18"/>
        </w:rPr>
      </w:pPr>
      <w:r>
        <w:rPr>
          <w:b/>
          <w:color w:val="231F20"/>
          <w:sz w:val="18"/>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0"/>
        <w:gridCol w:w="907"/>
        <w:gridCol w:w="532"/>
        <w:gridCol w:w="130"/>
        <w:gridCol w:w="975"/>
        <w:gridCol w:w="455"/>
        <w:gridCol w:w="1145"/>
        <w:gridCol w:w="455"/>
      </w:tblGrid>
      <w:tr>
        <w:trPr>
          <w:trHeight w:val="300" w:hRule="exact"/>
        </w:trPr>
        <w:tc>
          <w:tcPr>
            <w:tcW w:w="5427" w:type="dxa"/>
            <w:gridSpan w:val="2"/>
          </w:tcPr>
          <w:p>
            <w:pPr>
              <w:pStyle w:val="TableParagraph"/>
              <w:spacing w:before="62"/>
              <w:ind w:right="25"/>
              <w:jc w:val="right"/>
              <w:rPr>
                <w:b/>
                <w:sz w:val="18"/>
              </w:rPr>
            </w:pPr>
            <w:r>
              <w:rPr>
                <w:b/>
                <w:color w:val="231F20"/>
                <w:sz w:val="18"/>
              </w:rPr>
              <w:t>2014</w:t>
            </w:r>
          </w:p>
        </w:tc>
        <w:tc>
          <w:tcPr>
            <w:tcW w:w="532" w:type="dxa"/>
            <w:tcBorders>
              <w:top w:val="single" w:sz="8" w:space="0" w:color="231F20"/>
              <w:bottom w:val="single" w:sz="8" w:space="0" w:color="231F20"/>
            </w:tcBorders>
          </w:tcPr>
          <w:p>
            <w:pPr/>
          </w:p>
        </w:tc>
        <w:tc>
          <w:tcPr>
            <w:tcW w:w="1105" w:type="dxa"/>
            <w:gridSpan w:val="2"/>
            <w:tcBorders>
              <w:top w:val="single" w:sz="8" w:space="0" w:color="231F20"/>
              <w:bottom w:val="single" w:sz="8" w:space="0" w:color="231F20"/>
            </w:tcBorders>
          </w:tcPr>
          <w:p>
            <w:pPr>
              <w:pStyle w:val="TableParagraph"/>
              <w:spacing w:before="52"/>
              <w:ind w:left="620"/>
              <w:rPr>
                <w:b/>
                <w:sz w:val="18"/>
              </w:rPr>
            </w:pPr>
            <w:r>
              <w:rPr>
                <w:b/>
                <w:color w:val="231F20"/>
                <w:sz w:val="18"/>
              </w:rPr>
              <w:t>2013</w:t>
            </w:r>
          </w:p>
        </w:tc>
        <w:tc>
          <w:tcPr>
            <w:tcW w:w="455" w:type="dxa"/>
            <w:tcBorders>
              <w:top w:val="single" w:sz="8" w:space="0" w:color="231F20"/>
              <w:bottom w:val="single" w:sz="8" w:space="0" w:color="231F20"/>
            </w:tcBorders>
          </w:tcPr>
          <w:p>
            <w:pPr/>
          </w:p>
        </w:tc>
        <w:tc>
          <w:tcPr>
            <w:tcW w:w="1145" w:type="dxa"/>
            <w:tcBorders>
              <w:top w:val="single" w:sz="8" w:space="0" w:color="231F20"/>
              <w:bottom w:val="single" w:sz="8" w:space="0" w:color="231F20"/>
            </w:tcBorders>
          </w:tcPr>
          <w:p>
            <w:pPr>
              <w:pStyle w:val="TableParagraph"/>
              <w:spacing w:before="52"/>
              <w:ind w:left="660"/>
              <w:rPr>
                <w:b/>
                <w:sz w:val="18"/>
              </w:rPr>
            </w:pPr>
            <w:r>
              <w:rPr>
                <w:b/>
                <w:color w:val="231F20"/>
                <w:sz w:val="18"/>
              </w:rPr>
              <w:t>2012</w:t>
            </w:r>
          </w:p>
        </w:tc>
        <w:tc>
          <w:tcPr>
            <w:tcW w:w="455" w:type="dxa"/>
            <w:tcBorders>
              <w:top w:val="single" w:sz="8" w:space="0" w:color="231F20"/>
              <w:bottom w:val="single" w:sz="8" w:space="0" w:color="231F20"/>
            </w:tcBorders>
          </w:tcPr>
          <w:p>
            <w:pPr/>
          </w:p>
        </w:tc>
      </w:tr>
      <w:tr>
        <w:trPr>
          <w:trHeight w:val="270" w:hRule="exact"/>
        </w:trPr>
        <w:tc>
          <w:tcPr>
            <w:tcW w:w="5427" w:type="dxa"/>
            <w:gridSpan w:val="2"/>
            <w:shd w:val="clear" w:color="auto" w:fill="CCECFC"/>
          </w:tcPr>
          <w:p>
            <w:pPr>
              <w:pStyle w:val="TableParagraph"/>
              <w:tabs>
                <w:tab w:pos="4519" w:val="left" w:leader="none"/>
              </w:tabs>
              <w:spacing w:before="42"/>
              <w:ind w:left="60"/>
              <w:rPr>
                <w:sz w:val="18"/>
              </w:rPr>
            </w:pPr>
            <w:r>
              <w:rPr>
                <w:b/>
                <w:color w:val="231F20"/>
                <w:sz w:val="18"/>
              </w:rPr>
              <w:t>NET</w:t>
            </w:r>
            <w:r>
              <w:rPr>
                <w:b/>
                <w:color w:val="231F20"/>
                <w:spacing w:val="-2"/>
                <w:sz w:val="18"/>
              </w:rPr>
              <w:t> </w:t>
            </w:r>
            <w:r>
              <w:rPr>
                <w:b/>
                <w:color w:val="231F20"/>
                <w:sz w:val="18"/>
              </w:rPr>
              <w:t>INCOME</w:t>
              <w:tab/>
            </w:r>
            <w:r>
              <w:rPr>
                <w:color w:val="231F20"/>
                <w:sz w:val="18"/>
              </w:rPr>
              <w:t>$</w:t>
            </w:r>
          </w:p>
        </w:tc>
        <w:tc>
          <w:tcPr>
            <w:tcW w:w="532" w:type="dxa"/>
            <w:tcBorders>
              <w:top w:val="single" w:sz="8" w:space="0" w:color="231F20"/>
            </w:tcBorders>
            <w:shd w:val="clear" w:color="auto" w:fill="CCECFC"/>
          </w:tcPr>
          <w:p>
            <w:pPr>
              <w:pStyle w:val="TableParagraph"/>
              <w:spacing w:before="32"/>
              <w:ind w:left="27"/>
              <w:rPr>
                <w:sz w:val="18"/>
              </w:rPr>
            </w:pPr>
            <w:r>
              <w:rPr>
                <w:color w:val="231F20"/>
                <w:sz w:val="18"/>
              </w:rPr>
              <w:t>1,136</w:t>
            </w:r>
          </w:p>
        </w:tc>
        <w:tc>
          <w:tcPr>
            <w:tcW w:w="1105" w:type="dxa"/>
            <w:gridSpan w:val="2"/>
            <w:tcBorders>
              <w:top w:val="single" w:sz="8" w:space="0" w:color="231F20"/>
            </w:tcBorders>
            <w:shd w:val="clear" w:color="auto" w:fill="CCECFC"/>
          </w:tcPr>
          <w:p>
            <w:pPr>
              <w:pStyle w:val="TableParagraph"/>
              <w:spacing w:before="32"/>
              <w:ind w:left="40"/>
              <w:rPr>
                <w:sz w:val="18"/>
              </w:rPr>
            </w:pPr>
            <w:r>
              <w:rPr>
                <w:color w:val="231F20"/>
                <w:sz w:val="18"/>
              </w:rPr>
              <w:t>$</w:t>
            </w:r>
          </w:p>
        </w:tc>
        <w:tc>
          <w:tcPr>
            <w:tcW w:w="455" w:type="dxa"/>
            <w:tcBorders>
              <w:top w:val="single" w:sz="8" w:space="0" w:color="231F20"/>
            </w:tcBorders>
            <w:shd w:val="clear" w:color="auto" w:fill="CCECFC"/>
          </w:tcPr>
          <w:p>
            <w:pPr>
              <w:pStyle w:val="TableParagraph"/>
              <w:spacing w:before="32"/>
              <w:ind w:left="104" w:right="40"/>
              <w:jc w:val="center"/>
              <w:rPr>
                <w:sz w:val="18"/>
              </w:rPr>
            </w:pPr>
            <w:r>
              <w:rPr>
                <w:color w:val="231F20"/>
                <w:sz w:val="18"/>
              </w:rPr>
              <w:t>754</w:t>
            </w:r>
          </w:p>
        </w:tc>
        <w:tc>
          <w:tcPr>
            <w:tcW w:w="1145" w:type="dxa"/>
            <w:tcBorders>
              <w:top w:val="single" w:sz="8" w:space="0" w:color="231F20"/>
            </w:tcBorders>
            <w:shd w:val="clear" w:color="auto" w:fill="CCECFC"/>
          </w:tcPr>
          <w:p>
            <w:pPr>
              <w:pStyle w:val="TableParagraph"/>
              <w:spacing w:before="32"/>
              <w:ind w:left="80"/>
              <w:rPr>
                <w:sz w:val="18"/>
              </w:rPr>
            </w:pPr>
            <w:r>
              <w:rPr>
                <w:color w:val="231F20"/>
                <w:sz w:val="18"/>
              </w:rPr>
              <w:t>$</w:t>
            </w:r>
          </w:p>
        </w:tc>
        <w:tc>
          <w:tcPr>
            <w:tcW w:w="455" w:type="dxa"/>
            <w:tcBorders>
              <w:top w:val="single" w:sz="8" w:space="0" w:color="231F20"/>
            </w:tcBorders>
            <w:shd w:val="clear" w:color="auto" w:fill="CCECFC"/>
          </w:tcPr>
          <w:p>
            <w:pPr>
              <w:pStyle w:val="TableParagraph"/>
              <w:spacing w:before="32"/>
              <w:ind w:right="59"/>
              <w:jc w:val="right"/>
              <w:rPr>
                <w:sz w:val="18"/>
              </w:rPr>
            </w:pPr>
            <w:r>
              <w:rPr>
                <w:color w:val="231F20"/>
                <w:sz w:val="18"/>
              </w:rPr>
              <w:t>421</w:t>
            </w:r>
          </w:p>
        </w:tc>
      </w:tr>
      <w:tr>
        <w:trPr>
          <w:trHeight w:val="480" w:hRule="exact"/>
        </w:trPr>
        <w:tc>
          <w:tcPr>
            <w:tcW w:w="5427" w:type="dxa"/>
            <w:gridSpan w:val="2"/>
          </w:tcPr>
          <w:p>
            <w:pPr>
              <w:pStyle w:val="TableParagraph"/>
              <w:spacing w:line="254" w:lineRule="auto" w:before="32"/>
              <w:ind w:left="420" w:right="1333" w:hanging="180"/>
              <w:rPr>
                <w:sz w:val="18"/>
              </w:rPr>
            </w:pPr>
            <w:r>
              <w:rPr>
                <w:color w:val="231F20"/>
                <w:sz w:val="18"/>
              </w:rPr>
              <w:t>Unrealized gain (loss) on fuel derivative instruments, net of deferred taxes of ($430), $31, and $74</w:t>
            </w:r>
          </w:p>
        </w:tc>
        <w:tc>
          <w:tcPr>
            <w:tcW w:w="532" w:type="dxa"/>
          </w:tcPr>
          <w:p>
            <w:pPr>
              <w:pStyle w:val="TableParagraph"/>
              <w:spacing w:before="142"/>
              <w:ind w:right="38"/>
              <w:jc w:val="right"/>
              <w:rPr>
                <w:sz w:val="18"/>
              </w:rPr>
            </w:pPr>
            <w:r>
              <w:rPr>
                <w:color w:val="231F20"/>
                <w:sz w:val="18"/>
              </w:rPr>
              <w:t>(727)</w:t>
            </w:r>
          </w:p>
        </w:tc>
        <w:tc>
          <w:tcPr>
            <w:tcW w:w="1105" w:type="dxa"/>
            <w:gridSpan w:val="2"/>
          </w:tcPr>
          <w:p>
            <w:pPr/>
          </w:p>
        </w:tc>
        <w:tc>
          <w:tcPr>
            <w:tcW w:w="455" w:type="dxa"/>
          </w:tcPr>
          <w:p>
            <w:pPr>
              <w:pStyle w:val="TableParagraph"/>
              <w:spacing w:before="142"/>
              <w:ind w:left="194" w:right="40"/>
              <w:jc w:val="center"/>
              <w:rPr>
                <w:sz w:val="18"/>
              </w:rPr>
            </w:pPr>
            <w:r>
              <w:rPr>
                <w:color w:val="231F20"/>
                <w:sz w:val="18"/>
              </w:rPr>
              <w:t>52</w:t>
            </w:r>
          </w:p>
        </w:tc>
        <w:tc>
          <w:tcPr>
            <w:tcW w:w="1145" w:type="dxa"/>
          </w:tcPr>
          <w:p>
            <w:pPr/>
          </w:p>
        </w:tc>
        <w:tc>
          <w:tcPr>
            <w:tcW w:w="455" w:type="dxa"/>
          </w:tcPr>
          <w:p>
            <w:pPr>
              <w:pStyle w:val="TableParagraph"/>
              <w:spacing w:before="142"/>
              <w:ind w:right="59"/>
              <w:jc w:val="right"/>
              <w:rPr>
                <w:sz w:val="18"/>
              </w:rPr>
            </w:pPr>
            <w:r>
              <w:rPr>
                <w:color w:val="231F20"/>
                <w:sz w:val="18"/>
              </w:rPr>
              <w:t>120</w:t>
            </w:r>
          </w:p>
        </w:tc>
      </w:tr>
      <w:tr>
        <w:trPr>
          <w:trHeight w:val="480" w:hRule="exact"/>
        </w:trPr>
        <w:tc>
          <w:tcPr>
            <w:tcW w:w="5427" w:type="dxa"/>
            <w:gridSpan w:val="2"/>
            <w:shd w:val="clear" w:color="auto" w:fill="CCECFC"/>
          </w:tcPr>
          <w:p>
            <w:pPr>
              <w:pStyle w:val="TableParagraph"/>
              <w:spacing w:line="254" w:lineRule="auto" w:before="32"/>
              <w:ind w:left="420" w:right="1228" w:hanging="180"/>
              <w:rPr>
                <w:sz w:val="18"/>
              </w:rPr>
            </w:pPr>
            <w:r>
              <w:rPr>
                <w:color w:val="231F20"/>
                <w:sz w:val="18"/>
              </w:rPr>
              <w:t>Unrealized gain (loss) on interest rate derivative instruments, net of deferred taxes of $5, $19, and $0</w:t>
            </w:r>
          </w:p>
        </w:tc>
        <w:tc>
          <w:tcPr>
            <w:tcW w:w="532" w:type="dxa"/>
            <w:shd w:val="clear" w:color="auto" w:fill="CCECFC"/>
          </w:tcPr>
          <w:p>
            <w:pPr>
              <w:pStyle w:val="TableParagraph"/>
              <w:spacing w:before="142"/>
              <w:ind w:left="342"/>
              <w:rPr>
                <w:sz w:val="18"/>
              </w:rPr>
            </w:pPr>
            <w:r>
              <w:rPr>
                <w:color w:val="231F20"/>
                <w:sz w:val="18"/>
              </w:rPr>
              <w:t>8</w:t>
            </w:r>
          </w:p>
        </w:tc>
        <w:tc>
          <w:tcPr>
            <w:tcW w:w="1105" w:type="dxa"/>
            <w:gridSpan w:val="2"/>
            <w:shd w:val="clear" w:color="auto" w:fill="CCECFC"/>
          </w:tcPr>
          <w:p>
            <w:pPr/>
          </w:p>
        </w:tc>
        <w:tc>
          <w:tcPr>
            <w:tcW w:w="455" w:type="dxa"/>
            <w:shd w:val="clear" w:color="auto" w:fill="CCECFC"/>
          </w:tcPr>
          <w:p>
            <w:pPr>
              <w:pStyle w:val="TableParagraph"/>
              <w:spacing w:before="142"/>
              <w:ind w:left="194" w:right="40"/>
              <w:jc w:val="center"/>
              <w:rPr>
                <w:sz w:val="18"/>
              </w:rPr>
            </w:pPr>
            <w:r>
              <w:rPr>
                <w:color w:val="231F20"/>
                <w:sz w:val="18"/>
              </w:rPr>
              <w:t>31</w:t>
            </w:r>
          </w:p>
        </w:tc>
        <w:tc>
          <w:tcPr>
            <w:tcW w:w="1145" w:type="dxa"/>
            <w:shd w:val="clear" w:color="auto" w:fill="CCECFC"/>
          </w:tcPr>
          <w:p>
            <w:pPr/>
          </w:p>
        </w:tc>
        <w:tc>
          <w:tcPr>
            <w:tcW w:w="455" w:type="dxa"/>
            <w:shd w:val="clear" w:color="auto" w:fill="CCECFC"/>
          </w:tcPr>
          <w:p>
            <w:pPr>
              <w:pStyle w:val="TableParagraph"/>
              <w:spacing w:before="142"/>
              <w:jc w:val="right"/>
              <w:rPr>
                <w:sz w:val="18"/>
              </w:rPr>
            </w:pPr>
            <w:r>
              <w:rPr>
                <w:color w:val="231F20"/>
                <w:sz w:val="18"/>
              </w:rPr>
              <w:t>(1)</w:t>
            </w:r>
          </w:p>
        </w:tc>
      </w:tr>
      <w:tr>
        <w:trPr>
          <w:trHeight w:val="480" w:hRule="exact"/>
        </w:trPr>
        <w:tc>
          <w:tcPr>
            <w:tcW w:w="5427" w:type="dxa"/>
            <w:gridSpan w:val="2"/>
          </w:tcPr>
          <w:p>
            <w:pPr>
              <w:pStyle w:val="TableParagraph"/>
              <w:spacing w:line="254" w:lineRule="auto" w:before="32"/>
              <w:ind w:left="420" w:right="1123" w:hanging="180"/>
              <w:rPr>
                <w:sz w:val="18"/>
              </w:rPr>
            </w:pPr>
            <w:r>
              <w:rPr>
                <w:color w:val="231F20"/>
                <w:sz w:val="18"/>
              </w:rPr>
              <w:t>Unrealized gain (loss) on defined benefit plan items, net of deferred taxes of ($8), $15, and ($11)</w:t>
            </w:r>
          </w:p>
        </w:tc>
        <w:tc>
          <w:tcPr>
            <w:tcW w:w="532" w:type="dxa"/>
          </w:tcPr>
          <w:p>
            <w:pPr>
              <w:pStyle w:val="TableParagraph"/>
              <w:spacing w:before="142"/>
              <w:ind w:right="38"/>
              <w:jc w:val="right"/>
              <w:rPr>
                <w:sz w:val="18"/>
              </w:rPr>
            </w:pPr>
            <w:r>
              <w:rPr>
                <w:color w:val="231F20"/>
                <w:sz w:val="18"/>
              </w:rPr>
              <w:t>(16)</w:t>
            </w:r>
          </w:p>
        </w:tc>
        <w:tc>
          <w:tcPr>
            <w:tcW w:w="1105" w:type="dxa"/>
            <w:gridSpan w:val="2"/>
          </w:tcPr>
          <w:p>
            <w:pPr/>
          </w:p>
        </w:tc>
        <w:tc>
          <w:tcPr>
            <w:tcW w:w="455" w:type="dxa"/>
          </w:tcPr>
          <w:p>
            <w:pPr>
              <w:pStyle w:val="TableParagraph"/>
              <w:spacing w:before="142"/>
              <w:ind w:left="194" w:right="40"/>
              <w:jc w:val="center"/>
              <w:rPr>
                <w:sz w:val="18"/>
              </w:rPr>
            </w:pPr>
            <w:r>
              <w:rPr>
                <w:color w:val="231F20"/>
                <w:sz w:val="18"/>
              </w:rPr>
              <w:t>24</w:t>
            </w:r>
          </w:p>
        </w:tc>
        <w:tc>
          <w:tcPr>
            <w:tcW w:w="1145" w:type="dxa"/>
          </w:tcPr>
          <w:p>
            <w:pPr/>
          </w:p>
        </w:tc>
        <w:tc>
          <w:tcPr>
            <w:tcW w:w="455" w:type="dxa"/>
          </w:tcPr>
          <w:p>
            <w:pPr>
              <w:pStyle w:val="TableParagraph"/>
              <w:spacing w:before="142"/>
              <w:jc w:val="right"/>
              <w:rPr>
                <w:sz w:val="18"/>
              </w:rPr>
            </w:pPr>
            <w:r>
              <w:rPr>
                <w:color w:val="231F20"/>
                <w:sz w:val="18"/>
              </w:rPr>
              <w:t>(17)</w:t>
            </w:r>
          </w:p>
        </w:tc>
      </w:tr>
      <w:tr>
        <w:trPr>
          <w:trHeight w:val="275" w:hRule="exact"/>
        </w:trPr>
        <w:tc>
          <w:tcPr>
            <w:tcW w:w="5427" w:type="dxa"/>
            <w:gridSpan w:val="2"/>
            <w:shd w:val="clear" w:color="auto" w:fill="CCECFC"/>
          </w:tcPr>
          <w:p>
            <w:pPr>
              <w:pStyle w:val="TableParagraph"/>
              <w:spacing w:before="32"/>
              <w:ind w:left="240"/>
              <w:rPr>
                <w:sz w:val="18"/>
              </w:rPr>
            </w:pPr>
            <w:r>
              <w:rPr>
                <w:color w:val="231F20"/>
                <w:sz w:val="18"/>
              </w:rPr>
              <w:t>Other, net of deferred taxes of $0, $7, and $3</w:t>
            </w:r>
          </w:p>
        </w:tc>
        <w:tc>
          <w:tcPr>
            <w:tcW w:w="532" w:type="dxa"/>
            <w:tcBorders>
              <w:bottom w:val="single" w:sz="4" w:space="0" w:color="231F20"/>
            </w:tcBorders>
            <w:shd w:val="clear" w:color="auto" w:fill="CCECFC"/>
          </w:tcPr>
          <w:p>
            <w:pPr>
              <w:pStyle w:val="TableParagraph"/>
              <w:spacing w:before="32"/>
              <w:ind w:left="252"/>
              <w:rPr>
                <w:sz w:val="18"/>
              </w:rPr>
            </w:pPr>
            <w:r>
              <w:rPr>
                <w:color w:val="231F20"/>
                <w:sz w:val="18"/>
              </w:rPr>
              <w:t>—</w:t>
            </w:r>
          </w:p>
        </w:tc>
        <w:tc>
          <w:tcPr>
            <w:tcW w:w="1105" w:type="dxa"/>
            <w:gridSpan w:val="2"/>
            <w:tcBorders>
              <w:bottom w:val="single" w:sz="4" w:space="0" w:color="231F20"/>
            </w:tcBorders>
            <w:shd w:val="clear" w:color="auto" w:fill="CCECFC"/>
          </w:tcPr>
          <w:p>
            <w:pPr/>
          </w:p>
        </w:tc>
        <w:tc>
          <w:tcPr>
            <w:tcW w:w="455" w:type="dxa"/>
            <w:tcBorders>
              <w:bottom w:val="single" w:sz="4" w:space="0" w:color="231F20"/>
            </w:tcBorders>
            <w:shd w:val="clear" w:color="auto" w:fill="CCECFC"/>
          </w:tcPr>
          <w:p>
            <w:pPr>
              <w:pStyle w:val="TableParagraph"/>
              <w:spacing w:before="32"/>
              <w:ind w:left="244"/>
              <w:jc w:val="center"/>
              <w:rPr>
                <w:sz w:val="18"/>
              </w:rPr>
            </w:pPr>
            <w:r>
              <w:rPr>
                <w:color w:val="231F20"/>
                <w:sz w:val="18"/>
              </w:rPr>
              <w:t>9</w:t>
            </w:r>
          </w:p>
        </w:tc>
        <w:tc>
          <w:tcPr>
            <w:tcW w:w="1145" w:type="dxa"/>
            <w:tcBorders>
              <w:bottom w:val="single" w:sz="4" w:space="0" w:color="231F20"/>
            </w:tcBorders>
            <w:shd w:val="clear" w:color="auto" w:fill="CCECFC"/>
          </w:tcPr>
          <w:p>
            <w:pPr/>
          </w:p>
        </w:tc>
        <w:tc>
          <w:tcPr>
            <w:tcW w:w="455" w:type="dxa"/>
            <w:tcBorders>
              <w:bottom w:val="single" w:sz="4" w:space="0" w:color="231F20"/>
            </w:tcBorders>
            <w:shd w:val="clear" w:color="auto" w:fill="CCECFC"/>
          </w:tcPr>
          <w:p>
            <w:pPr>
              <w:pStyle w:val="TableParagraph"/>
              <w:spacing w:before="32"/>
              <w:ind w:right="58"/>
              <w:jc w:val="right"/>
              <w:rPr>
                <w:sz w:val="18"/>
              </w:rPr>
            </w:pPr>
            <w:r>
              <w:rPr>
                <w:color w:val="231F20"/>
                <w:sz w:val="18"/>
              </w:rPr>
              <w:t>3</w:t>
            </w:r>
          </w:p>
        </w:tc>
      </w:tr>
      <w:tr>
        <w:trPr>
          <w:trHeight w:val="280" w:hRule="exact"/>
        </w:trPr>
        <w:tc>
          <w:tcPr>
            <w:tcW w:w="4520" w:type="dxa"/>
          </w:tcPr>
          <w:p>
            <w:pPr>
              <w:pStyle w:val="TableParagraph"/>
              <w:spacing w:before="32"/>
              <w:ind w:left="60"/>
              <w:rPr>
                <w:b/>
                <w:sz w:val="18"/>
              </w:rPr>
            </w:pPr>
            <w:r>
              <w:rPr>
                <w:b/>
                <w:color w:val="231F20"/>
                <w:sz w:val="18"/>
              </w:rPr>
              <w:t>OTHER COMPREHENSIVE INCOME (LOSS)</w:t>
            </w:r>
          </w:p>
        </w:tc>
        <w:tc>
          <w:tcPr>
            <w:tcW w:w="1570" w:type="dxa"/>
            <w:gridSpan w:val="3"/>
          </w:tcPr>
          <w:p>
            <w:pPr>
              <w:pStyle w:val="TableParagraph"/>
              <w:tabs>
                <w:tab w:pos="1009" w:val="left" w:leader="none"/>
              </w:tabs>
              <w:spacing w:before="32"/>
              <w:rPr>
                <w:sz w:val="18"/>
              </w:rPr>
            </w:pPr>
            <w:r>
              <w:rPr>
                <w:color w:val="231F20"/>
                <w:sz w:val="18"/>
              </w:rPr>
              <w:t>$</w:t>
              <w:tab/>
              <w:t>(735)</w:t>
            </w:r>
            <w:r>
              <w:rPr>
                <w:color w:val="231F20"/>
                <w:spacing w:val="35"/>
                <w:sz w:val="18"/>
              </w:rPr>
              <w:t> </w:t>
            </w:r>
            <w:r>
              <w:rPr>
                <w:color w:val="231F20"/>
                <w:sz w:val="18"/>
              </w:rPr>
              <w:t>$</w:t>
            </w:r>
          </w:p>
        </w:tc>
        <w:tc>
          <w:tcPr>
            <w:tcW w:w="1430" w:type="dxa"/>
            <w:gridSpan w:val="2"/>
            <w:tcBorders>
              <w:bottom w:val="single" w:sz="4" w:space="0" w:color="231F20"/>
            </w:tcBorders>
          </w:tcPr>
          <w:p>
            <w:pPr>
              <w:pStyle w:val="TableParagraph"/>
              <w:spacing w:before="32"/>
              <w:ind w:right="58"/>
              <w:jc w:val="right"/>
              <w:rPr>
                <w:sz w:val="18"/>
              </w:rPr>
            </w:pPr>
            <w:r>
              <w:rPr>
                <w:color w:val="231F20"/>
                <w:sz w:val="18"/>
              </w:rPr>
              <w:t>116</w:t>
            </w:r>
          </w:p>
        </w:tc>
        <w:tc>
          <w:tcPr>
            <w:tcW w:w="1600" w:type="dxa"/>
            <w:gridSpan w:val="2"/>
          </w:tcPr>
          <w:p>
            <w:pPr>
              <w:pStyle w:val="TableParagraph"/>
              <w:tabs>
                <w:tab w:pos="1269" w:val="left" w:leader="none"/>
              </w:tabs>
              <w:spacing w:before="32"/>
              <w:ind w:left="80"/>
              <w:rPr>
                <w:sz w:val="18"/>
              </w:rPr>
            </w:pPr>
            <w:r>
              <w:rPr>
                <w:color w:val="231F20"/>
                <w:sz w:val="18"/>
              </w:rPr>
              <w:t>$</w:t>
              <w:tab/>
              <w:t>105</w:t>
            </w:r>
          </w:p>
        </w:tc>
      </w:tr>
      <w:tr>
        <w:trPr>
          <w:trHeight w:val="320" w:hRule="exact"/>
        </w:trPr>
        <w:tc>
          <w:tcPr>
            <w:tcW w:w="4520" w:type="dxa"/>
            <w:shd w:val="clear" w:color="auto" w:fill="CCECFC"/>
          </w:tcPr>
          <w:p>
            <w:pPr>
              <w:pStyle w:val="TableParagraph"/>
              <w:spacing w:before="37"/>
              <w:ind w:left="60"/>
              <w:rPr>
                <w:b/>
                <w:sz w:val="18"/>
              </w:rPr>
            </w:pPr>
            <w:r>
              <w:rPr>
                <w:b/>
                <w:color w:val="231F20"/>
                <w:sz w:val="18"/>
              </w:rPr>
              <w:t>COMPREHENSIVE INCOME</w:t>
            </w:r>
          </w:p>
        </w:tc>
        <w:tc>
          <w:tcPr>
            <w:tcW w:w="1570" w:type="dxa"/>
            <w:gridSpan w:val="3"/>
            <w:shd w:val="clear" w:color="auto" w:fill="CCECFC"/>
          </w:tcPr>
          <w:p>
            <w:pPr>
              <w:pStyle w:val="TableParagraph"/>
              <w:tabs>
                <w:tab w:pos="1069" w:val="left" w:leader="none"/>
              </w:tabs>
              <w:spacing w:before="37"/>
              <w:rPr>
                <w:sz w:val="18"/>
              </w:rPr>
            </w:pPr>
            <w:r>
              <w:rPr>
                <w:color w:val="231F20"/>
                <w:sz w:val="18"/>
              </w:rPr>
              <w:t>$</w:t>
              <w:tab/>
              <w:t>401  </w:t>
            </w:r>
            <w:r>
              <w:rPr>
                <w:color w:val="231F20"/>
                <w:spacing w:val="5"/>
                <w:sz w:val="18"/>
              </w:rPr>
              <w:t> </w:t>
            </w:r>
            <w:r>
              <w:rPr>
                <w:color w:val="231F20"/>
                <w:sz w:val="18"/>
              </w:rPr>
              <w:t>$</w:t>
            </w:r>
          </w:p>
        </w:tc>
        <w:tc>
          <w:tcPr>
            <w:tcW w:w="1430" w:type="dxa"/>
            <w:gridSpan w:val="2"/>
            <w:tcBorders>
              <w:top w:val="single" w:sz="4" w:space="0" w:color="231F20"/>
              <w:bottom w:val="single" w:sz="4" w:space="0" w:color="231F20"/>
            </w:tcBorders>
            <w:shd w:val="clear" w:color="auto" w:fill="CCECFC"/>
          </w:tcPr>
          <w:p>
            <w:pPr>
              <w:pStyle w:val="TableParagraph"/>
              <w:spacing w:before="32"/>
              <w:ind w:right="58"/>
              <w:jc w:val="right"/>
              <w:rPr>
                <w:sz w:val="18"/>
              </w:rPr>
            </w:pPr>
            <w:r>
              <w:rPr>
                <w:color w:val="231F20"/>
                <w:sz w:val="18"/>
              </w:rPr>
              <w:t>870</w:t>
            </w:r>
          </w:p>
        </w:tc>
        <w:tc>
          <w:tcPr>
            <w:tcW w:w="1600" w:type="dxa"/>
            <w:gridSpan w:val="2"/>
            <w:tcBorders>
              <w:bottom w:val="single" w:sz="4" w:space="0" w:color="231F20"/>
            </w:tcBorders>
            <w:shd w:val="clear" w:color="auto" w:fill="CCECFC"/>
          </w:tcPr>
          <w:p>
            <w:pPr>
              <w:pStyle w:val="TableParagraph"/>
              <w:tabs>
                <w:tab w:pos="1269" w:val="left" w:leader="none"/>
              </w:tabs>
              <w:spacing w:before="37"/>
              <w:ind w:left="80"/>
              <w:rPr>
                <w:sz w:val="18"/>
              </w:rPr>
            </w:pPr>
            <w:r>
              <w:rPr>
                <w:color w:val="231F20"/>
                <w:sz w:val="18"/>
              </w:rPr>
              <w:t>$</w:t>
              <w:tab/>
              <w:t>526</w:t>
            </w:r>
          </w:p>
        </w:tc>
      </w:tr>
    </w:tbl>
    <w:p>
      <w:pPr>
        <w:spacing w:before="167"/>
        <w:ind w:left="820" w:right="0" w:firstLine="0"/>
        <w:jc w:val="left"/>
        <w:rPr>
          <w:sz w:val="18"/>
        </w:rPr>
      </w:pPr>
      <w:r>
        <w:rPr/>
        <w:pict>
          <v:group style="position:absolute;margin-left:69pt;margin-top:-16.747656pt;width:456.25pt;height:16.5pt;mso-position-horizontal-relative:page;mso-position-vertical-relative:paragraph;z-index:-406384" coordorigin="1380,-335" coordsize="9125,330">
            <v:rect style="position:absolute;left:1380;top:-325;width:9120;height:260" filled="true" fillcolor="#ccecfc" stroked="false">
              <v:fill type="solid"/>
            </v:rect>
            <v:line style="position:absolute" from="5900,-330" to="7300,-330" stroked="true" strokeweight=".5pt" strokecolor="#231f20">
              <v:stroke dashstyle="solid"/>
            </v:line>
            <v:line style="position:absolute" from="8980,-330" to="10500,-330" stroked="true" strokeweight=".5pt" strokecolor="#231f20">
              <v:stroke dashstyle="solid"/>
            </v:line>
            <v:line style="position:absolute" from="5900,-50" to="7300,-50" stroked="true" strokeweight=".5pt" strokecolor="#231f20">
              <v:stroke dashstyle="solid"/>
            </v:line>
            <v:line style="position:absolute" from="5900,-10" to="7300,-10" stroked="true" strokeweight=".5pt" strokecolor="#231f20">
              <v:stroke dashstyle="solid"/>
            </v:line>
            <v:line style="position:absolute" from="7380,-50" to="8900,-50" stroked="true" strokeweight=".5pt" strokecolor="#231f20">
              <v:stroke dashstyle="solid"/>
            </v:line>
            <v:line style="position:absolute" from="8980,-50" to="10500,-50" stroked="true" strokeweight=".5pt" strokecolor="#231f20">
              <v:stroke dashstyle="solid"/>
            </v:line>
            <w10:wrap type="none"/>
          </v:group>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60" w:right="179" w:firstLine="0"/>
        <w:jc w:val="center"/>
        <w:rPr>
          <w:b/>
          <w:sz w:val="18"/>
        </w:rPr>
      </w:pPr>
      <w:bookmarkStart w:name="Southwest Airlines Co. Consolidated Stat" w:id="21"/>
      <w:bookmarkEnd w:id="21"/>
      <w:r>
        <w:rPr/>
      </w:r>
      <w:r>
        <w:rPr>
          <w:b/>
          <w:color w:val="231F20"/>
          <w:sz w:val="18"/>
        </w:rPr>
        <w:t>Southwest Airlines Co.</w:t>
      </w:r>
    </w:p>
    <w:p>
      <w:pPr>
        <w:spacing w:before="13"/>
        <w:ind w:left="160" w:right="177" w:firstLine="0"/>
        <w:jc w:val="center"/>
        <w:rPr>
          <w:b/>
          <w:sz w:val="18"/>
        </w:rPr>
      </w:pPr>
      <w:r>
        <w:rPr>
          <w:b/>
          <w:color w:val="231F20"/>
          <w:sz w:val="18"/>
        </w:rPr>
        <w:t>Consolidated Statement of Stockholders’ Equity</w:t>
      </w:r>
    </w:p>
    <w:p>
      <w:pPr>
        <w:spacing w:before="13"/>
        <w:ind w:left="160" w:right="178" w:firstLine="0"/>
        <w:jc w:val="center"/>
        <w:rPr>
          <w:sz w:val="18"/>
        </w:rPr>
      </w:pPr>
      <w:r>
        <w:rPr>
          <w:color w:val="231F20"/>
          <w:sz w:val="18"/>
        </w:rPr>
        <w:t>(in millions, except per share amounts)</w:t>
      </w:r>
    </w:p>
    <w:p>
      <w:pPr>
        <w:pStyle w:val="BodyText"/>
        <w:rPr>
          <w:sz w:val="20"/>
        </w:rPr>
      </w:pPr>
    </w:p>
    <w:p>
      <w:pPr>
        <w:pStyle w:val="BodyText"/>
        <w:rPr>
          <w:sz w:val="21"/>
        </w:rPr>
      </w:pPr>
    </w:p>
    <w:p>
      <w:pPr>
        <w:spacing w:before="0"/>
        <w:ind w:left="4910" w:right="0" w:firstLine="0"/>
        <w:jc w:val="left"/>
        <w:rPr>
          <w:b/>
          <w:sz w:val="16"/>
        </w:rPr>
      </w:pPr>
      <w:r>
        <w:rPr/>
        <w:pict>
          <v:shape style="position:absolute;margin-left:69pt;margin-top:10.96875pt;width:456pt;height:398.75pt;mso-position-horizontal-relative:page;mso-position-vertical-relative:paragraph;z-index:378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99"/>
                    <w:gridCol w:w="920"/>
                    <w:gridCol w:w="880"/>
                    <w:gridCol w:w="1231"/>
                    <w:gridCol w:w="760"/>
                    <w:gridCol w:w="830"/>
                  </w:tblGrid>
                  <w:tr>
                    <w:trPr>
                      <w:trHeight w:val="800" w:hRule="exact"/>
                    </w:trPr>
                    <w:tc>
                      <w:tcPr>
                        <w:tcW w:w="4499" w:type="dxa"/>
                      </w:tcPr>
                      <w:p>
                        <w:pPr>
                          <w:pStyle w:val="TableParagraph"/>
                          <w:spacing w:before="0"/>
                          <w:rPr>
                            <w:sz w:val="18"/>
                          </w:rPr>
                        </w:pPr>
                      </w:p>
                      <w:p>
                        <w:pPr>
                          <w:pStyle w:val="TableParagraph"/>
                          <w:spacing w:before="3"/>
                          <w:rPr>
                            <w:sz w:val="17"/>
                          </w:rPr>
                        </w:pPr>
                      </w:p>
                      <w:p>
                        <w:pPr>
                          <w:pStyle w:val="TableParagraph"/>
                          <w:spacing w:line="180" w:lineRule="exact" w:before="0"/>
                          <w:ind w:left="3918" w:right="54" w:hanging="125"/>
                          <w:rPr>
                            <w:b/>
                            <w:sz w:val="16"/>
                          </w:rPr>
                        </w:pPr>
                        <w:r>
                          <w:rPr>
                            <w:b/>
                            <w:color w:val="231F20"/>
                            <w:sz w:val="16"/>
                          </w:rPr>
                          <w:t>Common Stock</w:t>
                        </w:r>
                      </w:p>
                    </w:tc>
                    <w:tc>
                      <w:tcPr>
                        <w:tcW w:w="920" w:type="dxa"/>
                        <w:tcBorders>
                          <w:top w:val="single" w:sz="8" w:space="0" w:color="231F20"/>
                          <w:bottom w:val="single" w:sz="8" w:space="0" w:color="231F20"/>
                        </w:tcBorders>
                      </w:tcPr>
                      <w:p>
                        <w:pPr>
                          <w:pStyle w:val="TableParagraph"/>
                          <w:spacing w:before="9"/>
                          <w:rPr>
                            <w:sz w:val="18"/>
                          </w:rPr>
                        </w:pPr>
                      </w:p>
                      <w:p>
                        <w:pPr>
                          <w:pStyle w:val="TableParagraph"/>
                          <w:spacing w:line="180" w:lineRule="exact" w:before="0"/>
                          <w:ind w:left="158" w:right="98" w:hanging="18"/>
                          <w:jc w:val="both"/>
                          <w:rPr>
                            <w:b/>
                            <w:sz w:val="16"/>
                          </w:rPr>
                        </w:pPr>
                        <w:r>
                          <w:rPr>
                            <w:b/>
                            <w:color w:val="231F20"/>
                            <w:sz w:val="16"/>
                          </w:rPr>
                          <w:t>Capital in excess of par value</w:t>
                        </w:r>
                      </w:p>
                    </w:tc>
                    <w:tc>
                      <w:tcPr>
                        <w:tcW w:w="880" w:type="dxa"/>
                        <w:tcBorders>
                          <w:top w:val="single" w:sz="8" w:space="0" w:color="231F20"/>
                          <w:bottom w:val="single" w:sz="8" w:space="0" w:color="231F20"/>
                        </w:tcBorders>
                      </w:tcPr>
                      <w:p>
                        <w:pPr>
                          <w:pStyle w:val="TableParagraph"/>
                          <w:spacing w:before="0"/>
                          <w:rPr>
                            <w:sz w:val="18"/>
                          </w:rPr>
                        </w:pPr>
                      </w:p>
                      <w:p>
                        <w:pPr>
                          <w:pStyle w:val="TableParagraph"/>
                          <w:spacing w:before="5"/>
                          <w:rPr>
                            <w:sz w:val="16"/>
                          </w:rPr>
                        </w:pPr>
                      </w:p>
                      <w:p>
                        <w:pPr>
                          <w:pStyle w:val="TableParagraph"/>
                          <w:spacing w:line="180" w:lineRule="exact" w:before="0"/>
                          <w:ind w:left="147" w:right="113" w:hanging="14"/>
                          <w:rPr>
                            <w:b/>
                            <w:sz w:val="16"/>
                          </w:rPr>
                        </w:pPr>
                        <w:r>
                          <w:rPr>
                            <w:b/>
                            <w:color w:val="231F20"/>
                            <w:sz w:val="16"/>
                          </w:rPr>
                          <w:t>Retained earnings</w:t>
                        </w:r>
                      </w:p>
                    </w:tc>
                    <w:tc>
                      <w:tcPr>
                        <w:tcW w:w="1991" w:type="dxa"/>
                        <w:gridSpan w:val="2"/>
                        <w:tcBorders>
                          <w:top w:val="single" w:sz="8" w:space="0" w:color="231F20"/>
                          <w:bottom w:val="single" w:sz="8" w:space="0" w:color="231F20"/>
                        </w:tcBorders>
                      </w:tcPr>
                      <w:p>
                        <w:pPr>
                          <w:pStyle w:val="TableParagraph"/>
                          <w:spacing w:line="180" w:lineRule="exact" w:before="36"/>
                          <w:ind w:left="368" w:right="967" w:hanging="271"/>
                          <w:rPr>
                            <w:b/>
                            <w:sz w:val="16"/>
                          </w:rPr>
                        </w:pPr>
                        <w:r>
                          <w:rPr>
                            <w:b/>
                            <w:color w:val="231F20"/>
                            <w:sz w:val="16"/>
                          </w:rPr>
                          <w:t>Accumulated other</w:t>
                        </w:r>
                      </w:p>
                      <w:p>
                        <w:pPr>
                          <w:pStyle w:val="TableParagraph"/>
                          <w:tabs>
                            <w:tab w:pos="1362" w:val="left" w:leader="none"/>
                          </w:tabs>
                          <w:spacing w:line="180" w:lineRule="exact" w:before="0"/>
                          <w:ind w:left="109" w:right="132" w:hanging="69"/>
                          <w:rPr>
                            <w:b/>
                            <w:sz w:val="16"/>
                          </w:rPr>
                        </w:pPr>
                        <w:r>
                          <w:rPr>
                            <w:b/>
                            <w:color w:val="231F20"/>
                            <w:sz w:val="16"/>
                          </w:rPr>
                          <w:t>comprehensive Treasury income</w:t>
                        </w:r>
                        <w:r>
                          <w:rPr>
                            <w:b/>
                            <w:color w:val="231F20"/>
                            <w:spacing w:val="-1"/>
                            <w:sz w:val="16"/>
                          </w:rPr>
                          <w:t> </w:t>
                        </w:r>
                        <w:r>
                          <w:rPr>
                            <w:b/>
                            <w:color w:val="231F20"/>
                            <w:sz w:val="16"/>
                          </w:rPr>
                          <w:t>(loss)</w:t>
                          <w:tab/>
                          <w:t>stock</w:t>
                        </w:r>
                      </w:p>
                    </w:tc>
                    <w:tc>
                      <w:tcPr>
                        <w:tcW w:w="830" w:type="dxa"/>
                        <w:tcBorders>
                          <w:top w:val="single" w:sz="8" w:space="0" w:color="231F20"/>
                          <w:bottom w:val="single" w:sz="8" w:space="0" w:color="231F20"/>
                        </w:tcBorders>
                      </w:tcPr>
                      <w:p>
                        <w:pPr>
                          <w:pStyle w:val="TableParagraph"/>
                          <w:spacing w:before="0"/>
                          <w:rPr>
                            <w:sz w:val="18"/>
                          </w:rPr>
                        </w:pPr>
                      </w:p>
                      <w:p>
                        <w:pPr>
                          <w:pStyle w:val="TableParagraph"/>
                          <w:spacing w:before="0"/>
                          <w:rPr>
                            <w:sz w:val="18"/>
                          </w:rPr>
                        </w:pPr>
                      </w:p>
                      <w:p>
                        <w:pPr>
                          <w:pStyle w:val="TableParagraph"/>
                          <w:spacing w:before="156"/>
                          <w:ind w:left="258"/>
                          <w:rPr>
                            <w:b/>
                            <w:sz w:val="16"/>
                          </w:rPr>
                        </w:pPr>
                        <w:r>
                          <w:rPr>
                            <w:b/>
                            <w:color w:val="231F20"/>
                            <w:sz w:val="16"/>
                          </w:rPr>
                          <w:t>Total</w:t>
                        </w:r>
                      </w:p>
                    </w:tc>
                  </w:tr>
                  <w:tr>
                    <w:trPr>
                      <w:trHeight w:val="270" w:hRule="exact"/>
                    </w:trPr>
                    <w:tc>
                      <w:tcPr>
                        <w:tcW w:w="4499" w:type="dxa"/>
                        <w:shd w:val="clear" w:color="auto" w:fill="CCECFC"/>
                      </w:tcPr>
                      <w:p>
                        <w:pPr>
                          <w:pStyle w:val="TableParagraph"/>
                          <w:tabs>
                            <w:tab w:pos="3658" w:val="left" w:leader="none"/>
                            <w:tab w:pos="4108" w:val="left" w:leader="none"/>
                          </w:tabs>
                          <w:spacing w:before="42"/>
                          <w:ind w:right="58"/>
                          <w:jc w:val="right"/>
                          <w:rPr>
                            <w:sz w:val="18"/>
                          </w:rPr>
                        </w:pPr>
                        <w:r>
                          <w:rPr>
                            <w:color w:val="231F20"/>
                            <w:sz w:val="18"/>
                          </w:rPr>
                          <w:t>Balance at December 31, 2011</w:t>
                          <w:tab/>
                          <w:t>$</w:t>
                          <w:tab/>
                          <w:t>808</w:t>
                        </w:r>
                      </w:p>
                    </w:tc>
                    <w:tc>
                      <w:tcPr>
                        <w:tcW w:w="920" w:type="dxa"/>
                        <w:tcBorders>
                          <w:top w:val="single" w:sz="8" w:space="0" w:color="231F20"/>
                        </w:tcBorders>
                        <w:shd w:val="clear" w:color="auto" w:fill="CCECFC"/>
                      </w:tcPr>
                      <w:p>
                        <w:pPr>
                          <w:pStyle w:val="TableParagraph"/>
                          <w:tabs>
                            <w:tab w:pos="334" w:val="left" w:leader="none"/>
                          </w:tabs>
                          <w:spacing w:before="32"/>
                          <w:ind w:right="97"/>
                          <w:jc w:val="right"/>
                          <w:rPr>
                            <w:sz w:val="18"/>
                          </w:rPr>
                        </w:pPr>
                        <w:r>
                          <w:rPr>
                            <w:color w:val="231F20"/>
                            <w:sz w:val="18"/>
                          </w:rPr>
                          <w:t>$</w:t>
                          <w:tab/>
                        </w:r>
                        <w:r>
                          <w:rPr>
                            <w:color w:val="231F20"/>
                            <w:spacing w:val="-1"/>
                            <w:sz w:val="18"/>
                          </w:rPr>
                          <w:t>1,222</w:t>
                        </w:r>
                      </w:p>
                    </w:tc>
                    <w:tc>
                      <w:tcPr>
                        <w:tcW w:w="880" w:type="dxa"/>
                        <w:tcBorders>
                          <w:top w:val="single" w:sz="8" w:space="0" w:color="231F20"/>
                        </w:tcBorders>
                        <w:shd w:val="clear" w:color="auto" w:fill="CCECFC"/>
                      </w:tcPr>
                      <w:p>
                        <w:pPr>
                          <w:pStyle w:val="TableParagraph"/>
                          <w:tabs>
                            <w:tab w:pos="334" w:val="left" w:leader="none"/>
                          </w:tabs>
                          <w:spacing w:before="32"/>
                          <w:ind w:right="97"/>
                          <w:jc w:val="right"/>
                          <w:rPr>
                            <w:sz w:val="18"/>
                          </w:rPr>
                        </w:pPr>
                        <w:r>
                          <w:rPr>
                            <w:color w:val="231F20"/>
                            <w:sz w:val="18"/>
                          </w:rPr>
                          <w:t>$</w:t>
                          <w:tab/>
                        </w:r>
                        <w:r>
                          <w:rPr>
                            <w:color w:val="231F20"/>
                            <w:spacing w:val="-1"/>
                            <w:sz w:val="18"/>
                          </w:rPr>
                          <w:t>5,395</w:t>
                        </w:r>
                      </w:p>
                    </w:tc>
                    <w:tc>
                      <w:tcPr>
                        <w:tcW w:w="1991" w:type="dxa"/>
                        <w:gridSpan w:val="2"/>
                        <w:tcBorders>
                          <w:top w:val="single" w:sz="8" w:space="0" w:color="231F20"/>
                        </w:tcBorders>
                        <w:shd w:val="clear" w:color="auto" w:fill="CCECFC"/>
                      </w:tcPr>
                      <w:p>
                        <w:pPr>
                          <w:pStyle w:val="TableParagraph"/>
                          <w:tabs>
                            <w:tab w:pos="670" w:val="left" w:leader="none"/>
                            <w:tab w:pos="1550" w:val="left" w:leader="none"/>
                          </w:tabs>
                          <w:spacing w:before="32"/>
                          <w:ind w:left="40"/>
                          <w:rPr>
                            <w:sz w:val="18"/>
                          </w:rPr>
                        </w:pPr>
                        <w:r>
                          <w:rPr>
                            <w:color w:val="231F20"/>
                            <w:sz w:val="18"/>
                          </w:rPr>
                          <w:t>$</w:t>
                          <w:tab/>
                          <w:t>(224)</w:t>
                        </w:r>
                        <w:r>
                          <w:rPr>
                            <w:color w:val="231F20"/>
                            <w:spacing w:val="35"/>
                            <w:sz w:val="18"/>
                          </w:rPr>
                          <w:t> </w:t>
                        </w:r>
                        <w:r>
                          <w:rPr>
                            <w:color w:val="231F20"/>
                            <w:sz w:val="18"/>
                          </w:rPr>
                          <w:t>$</w:t>
                          <w:tab/>
                          <w:t>(324)</w:t>
                        </w:r>
                      </w:p>
                    </w:tc>
                    <w:tc>
                      <w:tcPr>
                        <w:tcW w:w="830" w:type="dxa"/>
                        <w:tcBorders>
                          <w:top w:val="single" w:sz="8" w:space="0" w:color="231F20"/>
                        </w:tcBorders>
                        <w:shd w:val="clear" w:color="auto" w:fill="CCECFC"/>
                      </w:tcPr>
                      <w:p>
                        <w:pPr>
                          <w:pStyle w:val="TableParagraph"/>
                          <w:tabs>
                            <w:tab w:pos="314" w:val="left" w:leader="none"/>
                          </w:tabs>
                          <w:spacing w:before="32"/>
                          <w:ind w:right="59"/>
                          <w:jc w:val="right"/>
                          <w:rPr>
                            <w:sz w:val="18"/>
                          </w:rPr>
                        </w:pPr>
                        <w:r>
                          <w:rPr>
                            <w:color w:val="231F20"/>
                            <w:sz w:val="18"/>
                          </w:rPr>
                          <w:t>$</w:t>
                          <w:tab/>
                        </w:r>
                        <w:r>
                          <w:rPr>
                            <w:color w:val="231F20"/>
                            <w:spacing w:val="-1"/>
                            <w:sz w:val="18"/>
                          </w:rPr>
                          <w:t>6,877</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Repurchase of common stock</w:t>
                          <w:tab/>
                          <w:t>—</w:t>
                        </w:r>
                      </w:p>
                    </w:tc>
                    <w:tc>
                      <w:tcPr>
                        <w:tcW w:w="920" w:type="dxa"/>
                      </w:tcPr>
                      <w:p>
                        <w:pPr>
                          <w:pStyle w:val="TableParagraph"/>
                          <w:spacing w:before="32"/>
                          <w:ind w:right="97"/>
                          <w:jc w:val="right"/>
                          <w:rPr>
                            <w:sz w:val="18"/>
                          </w:rPr>
                        </w:pPr>
                        <w:r>
                          <w:rPr>
                            <w:color w:val="231F20"/>
                            <w:sz w:val="18"/>
                          </w:rPr>
                          <w:t>—</w:t>
                        </w:r>
                      </w:p>
                    </w:tc>
                    <w:tc>
                      <w:tcPr>
                        <w:tcW w:w="880" w:type="dxa"/>
                      </w:tcPr>
                      <w:p>
                        <w:pPr>
                          <w:pStyle w:val="TableParagraph"/>
                          <w:spacing w:before="32"/>
                          <w:ind w:right="97"/>
                          <w:jc w:val="right"/>
                          <w:rPr>
                            <w:sz w:val="18"/>
                          </w:rPr>
                        </w:pPr>
                        <w:r>
                          <w:rPr>
                            <w:color w:val="231F20"/>
                            <w:sz w:val="18"/>
                          </w:rPr>
                          <w:t>—</w:t>
                        </w:r>
                      </w:p>
                    </w:tc>
                    <w:tc>
                      <w:tcPr>
                        <w:tcW w:w="1991" w:type="dxa"/>
                        <w:gridSpan w:val="2"/>
                      </w:tcPr>
                      <w:p>
                        <w:pPr>
                          <w:pStyle w:val="TableParagraph"/>
                          <w:tabs>
                            <w:tab w:pos="1550" w:val="left" w:leader="none"/>
                          </w:tabs>
                          <w:spacing w:before="32"/>
                          <w:ind w:left="821"/>
                          <w:rPr>
                            <w:sz w:val="18"/>
                          </w:rPr>
                        </w:pPr>
                        <w:r>
                          <w:rPr>
                            <w:color w:val="231F20"/>
                            <w:sz w:val="18"/>
                          </w:rPr>
                          <w:t>—</w:t>
                          <w:tab/>
                          <w:t>(400)</w:t>
                        </w:r>
                      </w:p>
                    </w:tc>
                    <w:tc>
                      <w:tcPr>
                        <w:tcW w:w="830" w:type="dxa"/>
                      </w:tcPr>
                      <w:p>
                        <w:pPr>
                          <w:pStyle w:val="TableParagraph"/>
                          <w:spacing w:before="32"/>
                          <w:jc w:val="right"/>
                          <w:rPr>
                            <w:sz w:val="18"/>
                          </w:rPr>
                        </w:pPr>
                        <w:r>
                          <w:rPr>
                            <w:color w:val="231F20"/>
                            <w:sz w:val="18"/>
                          </w:rPr>
                          <w:t>(400)</w:t>
                        </w:r>
                      </w:p>
                    </w:tc>
                  </w:tr>
                  <w:tr>
                    <w:trPr>
                      <w:trHeight w:val="480" w:hRule="exact"/>
                    </w:trPr>
                    <w:tc>
                      <w:tcPr>
                        <w:tcW w:w="4499" w:type="dxa"/>
                        <w:shd w:val="clear" w:color="auto" w:fill="CCECFC"/>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920" w:type="dxa"/>
                        <w:shd w:val="clear" w:color="auto" w:fill="CCECFC"/>
                      </w:tcPr>
                      <w:p>
                        <w:pPr>
                          <w:pStyle w:val="TableParagraph"/>
                          <w:spacing w:before="142"/>
                          <w:ind w:right="38"/>
                          <w:jc w:val="right"/>
                          <w:rPr>
                            <w:sz w:val="18"/>
                          </w:rPr>
                        </w:pPr>
                        <w:r>
                          <w:rPr>
                            <w:color w:val="231F20"/>
                            <w:sz w:val="18"/>
                          </w:rPr>
                          <w:t>(4)</w:t>
                        </w:r>
                      </w:p>
                    </w:tc>
                    <w:tc>
                      <w:tcPr>
                        <w:tcW w:w="880" w:type="dxa"/>
                        <w:shd w:val="clear" w:color="auto" w:fill="CCECFC"/>
                      </w:tcPr>
                      <w:p>
                        <w:pPr>
                          <w:pStyle w:val="TableParagraph"/>
                          <w:spacing w:before="142"/>
                          <w:ind w:right="38"/>
                          <w:jc w:val="right"/>
                          <w:rPr>
                            <w:sz w:val="18"/>
                          </w:rPr>
                        </w:pPr>
                        <w:r>
                          <w:rPr>
                            <w:color w:val="231F20"/>
                            <w:sz w:val="18"/>
                          </w:rPr>
                          <w:t>(22)</w:t>
                        </w:r>
                      </w:p>
                    </w:tc>
                    <w:tc>
                      <w:tcPr>
                        <w:tcW w:w="1991" w:type="dxa"/>
                        <w:gridSpan w:val="2"/>
                        <w:shd w:val="clear" w:color="auto" w:fill="CCECFC"/>
                      </w:tcPr>
                      <w:p>
                        <w:pPr>
                          <w:pStyle w:val="TableParagraph"/>
                          <w:tabs>
                            <w:tab w:pos="1700" w:val="left" w:leader="none"/>
                          </w:tabs>
                          <w:spacing w:before="142"/>
                          <w:ind w:left="821"/>
                          <w:rPr>
                            <w:sz w:val="18"/>
                          </w:rPr>
                        </w:pPr>
                        <w:r>
                          <w:rPr>
                            <w:color w:val="231F20"/>
                            <w:sz w:val="18"/>
                          </w:rPr>
                          <w:t>—</w:t>
                          <w:tab/>
                          <w:t>49</w:t>
                        </w:r>
                      </w:p>
                    </w:tc>
                    <w:tc>
                      <w:tcPr>
                        <w:tcW w:w="830" w:type="dxa"/>
                        <w:shd w:val="clear" w:color="auto" w:fill="CCECFC"/>
                      </w:tcPr>
                      <w:p>
                        <w:pPr>
                          <w:pStyle w:val="TableParagraph"/>
                          <w:spacing w:before="142"/>
                          <w:ind w:right="59"/>
                          <w:jc w:val="right"/>
                          <w:rPr>
                            <w:sz w:val="18"/>
                          </w:rPr>
                        </w:pPr>
                        <w:r>
                          <w:rPr>
                            <w:color w:val="231F20"/>
                            <w:sz w:val="18"/>
                          </w:rPr>
                          <w:t>23</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920" w:type="dxa"/>
                      </w:tcPr>
                      <w:p>
                        <w:pPr>
                          <w:pStyle w:val="TableParagraph"/>
                          <w:spacing w:before="142"/>
                          <w:ind w:right="38"/>
                          <w:jc w:val="right"/>
                          <w:rPr>
                            <w:sz w:val="18"/>
                          </w:rPr>
                        </w:pPr>
                        <w:r>
                          <w:rPr>
                            <w:color w:val="231F20"/>
                            <w:sz w:val="18"/>
                          </w:rPr>
                          <w:t>(24)</w:t>
                        </w:r>
                      </w:p>
                    </w:tc>
                    <w:tc>
                      <w:tcPr>
                        <w:tcW w:w="880" w:type="dxa"/>
                      </w:tcPr>
                      <w:p>
                        <w:pPr>
                          <w:pStyle w:val="TableParagraph"/>
                          <w:spacing w:before="142"/>
                          <w:ind w:right="97"/>
                          <w:jc w:val="right"/>
                          <w:rPr>
                            <w:sz w:val="18"/>
                          </w:rPr>
                        </w:pPr>
                        <w:r>
                          <w:rPr>
                            <w:color w:val="231F20"/>
                            <w:sz w:val="18"/>
                          </w:rPr>
                          <w:t>—</w:t>
                        </w:r>
                      </w:p>
                    </w:tc>
                    <w:tc>
                      <w:tcPr>
                        <w:tcW w:w="1991" w:type="dxa"/>
                        <w:gridSpan w:val="2"/>
                      </w:tcPr>
                      <w:p>
                        <w:pPr>
                          <w:pStyle w:val="TableParagraph"/>
                          <w:tabs>
                            <w:tab w:pos="1700" w:val="left" w:leader="none"/>
                          </w:tabs>
                          <w:spacing w:before="142"/>
                          <w:ind w:left="821"/>
                          <w:rPr>
                            <w:sz w:val="18"/>
                          </w:rPr>
                        </w:pPr>
                        <w:r>
                          <w:rPr>
                            <w:color w:val="231F20"/>
                            <w:sz w:val="18"/>
                          </w:rPr>
                          <w:t>—</w:t>
                          <w:tab/>
                          <w:t>—</w:t>
                        </w:r>
                      </w:p>
                    </w:tc>
                    <w:tc>
                      <w:tcPr>
                        <w:tcW w:w="830" w:type="dxa"/>
                      </w:tcPr>
                      <w:p>
                        <w:pPr>
                          <w:pStyle w:val="TableParagraph"/>
                          <w:spacing w:before="142"/>
                          <w:jc w:val="right"/>
                          <w:rPr>
                            <w:sz w:val="18"/>
                          </w:rPr>
                        </w:pPr>
                        <w:r>
                          <w:rPr>
                            <w:color w:val="231F20"/>
                            <w:sz w:val="18"/>
                          </w:rPr>
                          <w:t>(24)</w:t>
                        </w:r>
                      </w:p>
                    </w:tc>
                  </w:tr>
                  <w:tr>
                    <w:trPr>
                      <w:trHeight w:val="260" w:hRule="exact"/>
                    </w:trPr>
                    <w:tc>
                      <w:tcPr>
                        <w:tcW w:w="4499" w:type="dxa"/>
                        <w:shd w:val="clear" w:color="auto" w:fill="CCECFC"/>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920" w:type="dxa"/>
                        <w:shd w:val="clear" w:color="auto" w:fill="CCECFC"/>
                      </w:tcPr>
                      <w:p>
                        <w:pPr>
                          <w:pStyle w:val="TableParagraph"/>
                          <w:spacing w:before="32"/>
                          <w:ind w:right="97"/>
                          <w:jc w:val="right"/>
                          <w:rPr>
                            <w:sz w:val="18"/>
                          </w:rPr>
                        </w:pPr>
                        <w:r>
                          <w:rPr>
                            <w:color w:val="231F20"/>
                            <w:sz w:val="18"/>
                          </w:rPr>
                          <w:t>16</w:t>
                        </w:r>
                      </w:p>
                    </w:tc>
                    <w:tc>
                      <w:tcPr>
                        <w:tcW w:w="880" w:type="dxa"/>
                        <w:shd w:val="clear" w:color="auto" w:fill="CCECFC"/>
                      </w:tcPr>
                      <w:p>
                        <w:pPr>
                          <w:pStyle w:val="TableParagraph"/>
                          <w:spacing w:before="32"/>
                          <w:ind w:right="97"/>
                          <w:jc w:val="right"/>
                          <w:rPr>
                            <w:sz w:val="18"/>
                          </w:rPr>
                        </w:pPr>
                        <w:r>
                          <w:rPr>
                            <w:color w:val="231F20"/>
                            <w:sz w:val="18"/>
                          </w:rPr>
                          <w:t>—</w:t>
                        </w:r>
                      </w:p>
                    </w:tc>
                    <w:tc>
                      <w:tcPr>
                        <w:tcW w:w="1991" w:type="dxa"/>
                        <w:gridSpan w:val="2"/>
                        <w:shd w:val="clear" w:color="auto" w:fill="CCECFC"/>
                      </w:tcPr>
                      <w:p>
                        <w:pPr>
                          <w:pStyle w:val="TableParagraph"/>
                          <w:tabs>
                            <w:tab w:pos="1700" w:val="left" w:leader="none"/>
                          </w:tabs>
                          <w:spacing w:before="32"/>
                          <w:ind w:left="821"/>
                          <w:rPr>
                            <w:sz w:val="18"/>
                          </w:rPr>
                        </w:pPr>
                        <w:r>
                          <w:rPr>
                            <w:color w:val="231F20"/>
                            <w:sz w:val="18"/>
                          </w:rPr>
                          <w:t>—</w:t>
                          <w:tab/>
                          <w:t>—</w:t>
                        </w:r>
                      </w:p>
                    </w:tc>
                    <w:tc>
                      <w:tcPr>
                        <w:tcW w:w="830" w:type="dxa"/>
                        <w:shd w:val="clear" w:color="auto" w:fill="CCECFC"/>
                      </w:tcPr>
                      <w:p>
                        <w:pPr>
                          <w:pStyle w:val="TableParagraph"/>
                          <w:spacing w:before="32"/>
                          <w:ind w:right="58"/>
                          <w:jc w:val="right"/>
                          <w:rPr>
                            <w:sz w:val="18"/>
                          </w:rPr>
                        </w:pPr>
                        <w:r>
                          <w:rPr>
                            <w:color w:val="231F20"/>
                            <w:sz w:val="18"/>
                          </w:rPr>
                          <w:t>16</w:t>
                        </w:r>
                      </w:p>
                    </w:tc>
                  </w:tr>
                  <w:tr>
                    <w:trPr>
                      <w:trHeight w:val="239" w:hRule="exact"/>
                    </w:trPr>
                    <w:tc>
                      <w:tcPr>
                        <w:tcW w:w="4499" w:type="dxa"/>
                      </w:tcPr>
                      <w:p>
                        <w:pPr>
                          <w:pStyle w:val="TableParagraph"/>
                          <w:tabs>
                            <w:tab w:pos="3838" w:val="left" w:leader="none"/>
                          </w:tabs>
                          <w:spacing w:before="32"/>
                          <w:ind w:right="58"/>
                          <w:jc w:val="right"/>
                          <w:rPr>
                            <w:sz w:val="18"/>
                          </w:rPr>
                        </w:pPr>
                        <w:r>
                          <w:rPr>
                            <w:color w:val="231F20"/>
                            <w:sz w:val="18"/>
                          </w:rPr>
                          <w:t>Cash dividends, $.0345</w:t>
                        </w:r>
                        <w:r>
                          <w:rPr>
                            <w:color w:val="231F20"/>
                            <w:spacing w:val="-1"/>
                            <w:sz w:val="18"/>
                          </w:rPr>
                          <w:t> </w:t>
                        </w:r>
                        <w:r>
                          <w:rPr>
                            <w:color w:val="231F20"/>
                            <w:sz w:val="18"/>
                          </w:rPr>
                          <w:t>per share</w:t>
                          <w:tab/>
                          <w:t>—</w:t>
                        </w:r>
                      </w:p>
                    </w:tc>
                    <w:tc>
                      <w:tcPr>
                        <w:tcW w:w="920" w:type="dxa"/>
                      </w:tcPr>
                      <w:p>
                        <w:pPr>
                          <w:pStyle w:val="TableParagraph"/>
                          <w:spacing w:before="32"/>
                          <w:ind w:right="97"/>
                          <w:jc w:val="right"/>
                          <w:rPr>
                            <w:sz w:val="18"/>
                          </w:rPr>
                        </w:pPr>
                        <w:r>
                          <w:rPr>
                            <w:color w:val="231F20"/>
                            <w:sz w:val="18"/>
                          </w:rPr>
                          <w:t>—</w:t>
                        </w:r>
                      </w:p>
                    </w:tc>
                    <w:tc>
                      <w:tcPr>
                        <w:tcW w:w="880" w:type="dxa"/>
                      </w:tcPr>
                      <w:p>
                        <w:pPr>
                          <w:pStyle w:val="TableParagraph"/>
                          <w:spacing w:before="32"/>
                          <w:ind w:right="38"/>
                          <w:jc w:val="right"/>
                          <w:rPr>
                            <w:sz w:val="18"/>
                          </w:rPr>
                        </w:pPr>
                        <w:r>
                          <w:rPr>
                            <w:color w:val="231F20"/>
                            <w:sz w:val="18"/>
                          </w:rPr>
                          <w:t>(26)</w:t>
                        </w:r>
                      </w:p>
                    </w:tc>
                    <w:tc>
                      <w:tcPr>
                        <w:tcW w:w="1991" w:type="dxa"/>
                        <w:gridSpan w:val="2"/>
                      </w:tcPr>
                      <w:p>
                        <w:pPr>
                          <w:pStyle w:val="TableParagraph"/>
                          <w:tabs>
                            <w:tab w:pos="1700" w:val="left" w:leader="none"/>
                          </w:tabs>
                          <w:spacing w:before="32"/>
                          <w:ind w:left="821"/>
                          <w:rPr>
                            <w:sz w:val="18"/>
                          </w:rPr>
                        </w:pPr>
                        <w:r>
                          <w:rPr>
                            <w:color w:val="231F20"/>
                            <w:sz w:val="18"/>
                          </w:rPr>
                          <w:t>—</w:t>
                          <w:tab/>
                          <w:t>—</w:t>
                        </w:r>
                      </w:p>
                    </w:tc>
                    <w:tc>
                      <w:tcPr>
                        <w:tcW w:w="830" w:type="dxa"/>
                      </w:tcPr>
                      <w:p>
                        <w:pPr>
                          <w:pStyle w:val="TableParagraph"/>
                          <w:spacing w:before="32"/>
                          <w:jc w:val="right"/>
                          <w:rPr>
                            <w:sz w:val="18"/>
                          </w:rPr>
                        </w:pPr>
                        <w:r>
                          <w:rPr>
                            <w:color w:val="231F20"/>
                            <w:sz w:val="18"/>
                          </w:rPr>
                          <w:t>(26)</w:t>
                        </w:r>
                      </w:p>
                    </w:tc>
                  </w:tr>
                  <w:tr>
                    <w:trPr>
                      <w:trHeight w:val="281" w:hRule="exact"/>
                    </w:trPr>
                    <w:tc>
                      <w:tcPr>
                        <w:tcW w:w="9120" w:type="dxa"/>
                        <w:gridSpan w:val="6"/>
                        <w:shd w:val="clear" w:color="auto" w:fill="CCECFC"/>
                      </w:tcPr>
                      <w:p>
                        <w:pPr>
                          <w:pStyle w:val="TableParagraph"/>
                          <w:tabs>
                            <w:tab w:pos="3718" w:val="left" w:leader="none"/>
                            <w:tab w:pos="4258" w:val="left" w:leader="none"/>
                            <w:tab w:pos="5138" w:val="left" w:leader="none"/>
                            <w:tab w:pos="5928" w:val="left" w:leader="none"/>
                            <w:tab w:pos="7029" w:val="left" w:leader="none"/>
                            <w:tab w:pos="7999" w:val="left" w:leader="none"/>
                            <w:tab w:pos="9059" w:val="right" w:leader="none"/>
                          </w:tabs>
                          <w:spacing w:before="52"/>
                          <w:ind w:left="420"/>
                          <w:rPr>
                            <w:sz w:val="18"/>
                          </w:rPr>
                        </w:pPr>
                        <w:r>
                          <w:rPr>
                            <w:color w:val="231F20"/>
                            <w:sz w:val="18"/>
                          </w:rPr>
                          <w:t>Comprehensive income</w:t>
                          <w:tab/>
                        </w:r>
                        <w:r>
                          <w:rPr>
                            <w:color w:val="231F20"/>
                            <w:sz w:val="18"/>
                            <w:u w:val="single" w:color="231F20"/>
                          </w:rPr>
                          <w:t> </w:t>
                          <w:tab/>
                          <w:t>— </w:t>
                          <w:tab/>
                          <w:t>— </w:t>
                          <w:tab/>
                          <w:t>421 </w:t>
                          <w:tab/>
                          <w:t>105 </w:t>
                          <w:tab/>
                          <w:t>—</w:t>
                        </w:r>
                        <w:r>
                          <w:rPr>
                            <w:color w:val="231F20"/>
                            <w:sz w:val="18"/>
                          </w:rPr>
                          <w:tab/>
                          <w:t>526</w:t>
                        </w:r>
                      </w:p>
                    </w:tc>
                  </w:tr>
                  <w:tr>
                    <w:trPr>
                      <w:trHeight w:val="260" w:hRule="exact"/>
                    </w:trPr>
                    <w:tc>
                      <w:tcPr>
                        <w:tcW w:w="4499" w:type="dxa"/>
                      </w:tcPr>
                      <w:p>
                        <w:pPr>
                          <w:pStyle w:val="TableParagraph"/>
                          <w:tabs>
                            <w:tab w:pos="3658" w:val="left" w:leader="none"/>
                            <w:tab w:pos="4108" w:val="left" w:leader="none"/>
                          </w:tabs>
                          <w:spacing w:before="32"/>
                          <w:ind w:right="58"/>
                          <w:jc w:val="right"/>
                          <w:rPr>
                            <w:sz w:val="18"/>
                          </w:rPr>
                        </w:pPr>
                        <w:r>
                          <w:rPr>
                            <w:color w:val="231F20"/>
                            <w:sz w:val="18"/>
                          </w:rPr>
                          <w:t>Balance at December 31, 2012</w:t>
                          <w:tab/>
                          <w:t>$</w:t>
                          <w:tab/>
                          <w:t>808</w:t>
                        </w:r>
                      </w:p>
                    </w:tc>
                    <w:tc>
                      <w:tcPr>
                        <w:tcW w:w="920" w:type="dxa"/>
                      </w:tcPr>
                      <w:p>
                        <w:pPr>
                          <w:pStyle w:val="TableParagraph"/>
                          <w:tabs>
                            <w:tab w:pos="334" w:val="left" w:leader="none"/>
                          </w:tabs>
                          <w:spacing w:before="32"/>
                          <w:ind w:right="97"/>
                          <w:jc w:val="right"/>
                          <w:rPr>
                            <w:sz w:val="18"/>
                          </w:rPr>
                        </w:pPr>
                        <w:r>
                          <w:rPr>
                            <w:color w:val="231F20"/>
                            <w:sz w:val="18"/>
                          </w:rPr>
                          <w:t>$</w:t>
                          <w:tab/>
                        </w:r>
                        <w:r>
                          <w:rPr>
                            <w:color w:val="231F20"/>
                            <w:spacing w:val="-1"/>
                            <w:sz w:val="18"/>
                          </w:rPr>
                          <w:t>1,210</w:t>
                        </w:r>
                      </w:p>
                    </w:tc>
                    <w:tc>
                      <w:tcPr>
                        <w:tcW w:w="2111" w:type="dxa"/>
                        <w:gridSpan w:val="2"/>
                      </w:tcPr>
                      <w:p>
                        <w:pPr>
                          <w:pStyle w:val="TableParagraph"/>
                          <w:tabs>
                            <w:tab w:pos="374" w:val="left" w:leader="none"/>
                            <w:tab w:pos="1550" w:val="left" w:leader="none"/>
                          </w:tabs>
                          <w:spacing w:before="32"/>
                          <w:ind w:left="40"/>
                          <w:rPr>
                            <w:sz w:val="18"/>
                          </w:rPr>
                        </w:pPr>
                        <w:r>
                          <w:rPr>
                            <w:color w:val="231F20"/>
                            <w:sz w:val="18"/>
                          </w:rPr>
                          <w:t>$</w:t>
                          <w:tab/>
                          <w:t>5,768  </w:t>
                        </w:r>
                        <w:r>
                          <w:rPr>
                            <w:color w:val="231F20"/>
                            <w:spacing w:val="5"/>
                            <w:sz w:val="18"/>
                          </w:rPr>
                          <w:t> </w:t>
                        </w:r>
                        <w:r>
                          <w:rPr>
                            <w:color w:val="231F20"/>
                            <w:sz w:val="18"/>
                          </w:rPr>
                          <w:t>$</w:t>
                          <w:tab/>
                          <w:t>(119)</w:t>
                        </w:r>
                        <w:r>
                          <w:rPr>
                            <w:color w:val="231F20"/>
                            <w:spacing w:val="35"/>
                            <w:sz w:val="18"/>
                          </w:rPr>
                          <w:t> </w:t>
                        </w:r>
                        <w:r>
                          <w:rPr>
                            <w:color w:val="231F20"/>
                            <w:sz w:val="18"/>
                          </w:rPr>
                          <w:t>$</w:t>
                        </w:r>
                      </w:p>
                    </w:tc>
                    <w:tc>
                      <w:tcPr>
                        <w:tcW w:w="760" w:type="dxa"/>
                      </w:tcPr>
                      <w:p>
                        <w:pPr>
                          <w:pStyle w:val="TableParagraph"/>
                          <w:spacing w:before="32"/>
                          <w:ind w:right="48"/>
                          <w:jc w:val="right"/>
                          <w:rPr>
                            <w:sz w:val="18"/>
                          </w:rPr>
                        </w:pPr>
                        <w:r>
                          <w:rPr>
                            <w:color w:val="231F20"/>
                            <w:sz w:val="18"/>
                          </w:rPr>
                          <w:t>(675)</w:t>
                        </w:r>
                      </w:p>
                    </w:tc>
                    <w:tc>
                      <w:tcPr>
                        <w:tcW w:w="830" w:type="dxa"/>
                      </w:tcPr>
                      <w:p>
                        <w:pPr>
                          <w:pStyle w:val="TableParagraph"/>
                          <w:tabs>
                            <w:tab w:pos="314" w:val="left" w:leader="none"/>
                          </w:tabs>
                          <w:spacing w:before="32"/>
                          <w:ind w:right="59"/>
                          <w:jc w:val="right"/>
                          <w:rPr>
                            <w:sz w:val="18"/>
                          </w:rPr>
                        </w:pPr>
                        <w:r>
                          <w:rPr>
                            <w:color w:val="231F20"/>
                            <w:sz w:val="18"/>
                          </w:rPr>
                          <w:t>$</w:t>
                          <w:tab/>
                        </w:r>
                        <w:r>
                          <w:rPr>
                            <w:color w:val="231F20"/>
                            <w:spacing w:val="-1"/>
                            <w:sz w:val="18"/>
                          </w:rPr>
                          <w:t>6,992</w:t>
                        </w:r>
                      </w:p>
                    </w:tc>
                  </w:tr>
                  <w:tr>
                    <w:trPr>
                      <w:trHeight w:val="260" w:hRule="exact"/>
                    </w:trPr>
                    <w:tc>
                      <w:tcPr>
                        <w:tcW w:w="4499" w:type="dxa"/>
                        <w:shd w:val="clear" w:color="auto" w:fill="CCECFC"/>
                      </w:tcPr>
                      <w:p>
                        <w:pPr>
                          <w:pStyle w:val="TableParagraph"/>
                          <w:tabs>
                            <w:tab w:pos="3838" w:val="left" w:leader="none"/>
                          </w:tabs>
                          <w:spacing w:before="32"/>
                          <w:ind w:right="58"/>
                          <w:jc w:val="right"/>
                          <w:rPr>
                            <w:sz w:val="18"/>
                          </w:rPr>
                        </w:pPr>
                        <w:r>
                          <w:rPr>
                            <w:color w:val="231F20"/>
                            <w:sz w:val="18"/>
                          </w:rPr>
                          <w:t>Repurchase of common stock</w:t>
                          <w:tab/>
                          <w:t>—</w:t>
                        </w:r>
                      </w:p>
                    </w:tc>
                    <w:tc>
                      <w:tcPr>
                        <w:tcW w:w="920" w:type="dxa"/>
                        <w:shd w:val="clear" w:color="auto" w:fill="CCECFC"/>
                      </w:tcPr>
                      <w:p>
                        <w:pPr>
                          <w:pStyle w:val="TableParagraph"/>
                          <w:spacing w:before="32"/>
                          <w:ind w:right="97"/>
                          <w:jc w:val="right"/>
                          <w:rPr>
                            <w:sz w:val="18"/>
                          </w:rPr>
                        </w:pPr>
                        <w:r>
                          <w:rPr>
                            <w:color w:val="231F20"/>
                            <w:sz w:val="18"/>
                          </w:rPr>
                          <w:t>—</w:t>
                        </w:r>
                      </w:p>
                    </w:tc>
                    <w:tc>
                      <w:tcPr>
                        <w:tcW w:w="2111" w:type="dxa"/>
                        <w:gridSpan w:val="2"/>
                        <w:shd w:val="clear" w:color="auto" w:fill="CCECFC"/>
                      </w:tcPr>
                      <w:p>
                        <w:pPr>
                          <w:pStyle w:val="TableParagraph"/>
                          <w:tabs>
                            <w:tab w:pos="1700" w:val="left" w:leader="none"/>
                          </w:tabs>
                          <w:spacing w:before="32"/>
                          <w:ind w:left="600"/>
                          <w:rPr>
                            <w:sz w:val="18"/>
                          </w:rPr>
                        </w:pPr>
                        <w:r>
                          <w:rPr>
                            <w:color w:val="231F20"/>
                            <w:sz w:val="18"/>
                          </w:rPr>
                          <w:t>—</w:t>
                          <w:tab/>
                          <w:t>—</w:t>
                        </w:r>
                      </w:p>
                    </w:tc>
                    <w:tc>
                      <w:tcPr>
                        <w:tcW w:w="760" w:type="dxa"/>
                        <w:shd w:val="clear" w:color="auto" w:fill="CCECFC"/>
                      </w:tcPr>
                      <w:p>
                        <w:pPr>
                          <w:pStyle w:val="TableParagraph"/>
                          <w:spacing w:before="32"/>
                          <w:ind w:right="48"/>
                          <w:jc w:val="right"/>
                          <w:rPr>
                            <w:sz w:val="18"/>
                          </w:rPr>
                        </w:pPr>
                        <w:r>
                          <w:rPr>
                            <w:color w:val="231F20"/>
                            <w:sz w:val="18"/>
                          </w:rPr>
                          <w:t>(540)</w:t>
                        </w:r>
                      </w:p>
                    </w:tc>
                    <w:tc>
                      <w:tcPr>
                        <w:tcW w:w="830" w:type="dxa"/>
                        <w:shd w:val="clear" w:color="auto" w:fill="CCECFC"/>
                      </w:tcPr>
                      <w:p>
                        <w:pPr>
                          <w:pStyle w:val="TableParagraph"/>
                          <w:spacing w:before="32"/>
                          <w:jc w:val="right"/>
                          <w:rPr>
                            <w:sz w:val="18"/>
                          </w:rPr>
                        </w:pPr>
                        <w:r>
                          <w:rPr>
                            <w:color w:val="231F20"/>
                            <w:sz w:val="18"/>
                          </w:rPr>
                          <w:t>(540)</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920" w:type="dxa"/>
                      </w:tcPr>
                      <w:p>
                        <w:pPr>
                          <w:pStyle w:val="TableParagraph"/>
                          <w:spacing w:before="142"/>
                          <w:ind w:right="97"/>
                          <w:jc w:val="right"/>
                          <w:rPr>
                            <w:sz w:val="18"/>
                          </w:rPr>
                        </w:pPr>
                        <w:r>
                          <w:rPr>
                            <w:color w:val="231F20"/>
                            <w:sz w:val="18"/>
                          </w:rPr>
                          <w:t>12</w:t>
                        </w:r>
                      </w:p>
                    </w:tc>
                    <w:tc>
                      <w:tcPr>
                        <w:tcW w:w="2111" w:type="dxa"/>
                        <w:gridSpan w:val="2"/>
                      </w:tcPr>
                      <w:p>
                        <w:pPr>
                          <w:pStyle w:val="TableParagraph"/>
                          <w:tabs>
                            <w:tab w:pos="1700" w:val="left" w:leader="none"/>
                          </w:tabs>
                          <w:spacing w:before="142"/>
                          <w:ind w:left="600"/>
                          <w:rPr>
                            <w:sz w:val="18"/>
                          </w:rPr>
                        </w:pPr>
                        <w:r>
                          <w:rPr>
                            <w:color w:val="231F20"/>
                            <w:sz w:val="18"/>
                          </w:rPr>
                          <w:t>—</w:t>
                          <w:tab/>
                          <w:t>—</w:t>
                        </w:r>
                      </w:p>
                    </w:tc>
                    <w:tc>
                      <w:tcPr>
                        <w:tcW w:w="760" w:type="dxa"/>
                      </w:tcPr>
                      <w:p>
                        <w:pPr>
                          <w:pStyle w:val="TableParagraph"/>
                          <w:spacing w:before="142"/>
                          <w:ind w:right="107"/>
                          <w:jc w:val="right"/>
                          <w:rPr>
                            <w:sz w:val="18"/>
                          </w:rPr>
                        </w:pPr>
                        <w:r>
                          <w:rPr>
                            <w:color w:val="231F20"/>
                            <w:sz w:val="18"/>
                          </w:rPr>
                          <w:t>84</w:t>
                        </w:r>
                      </w:p>
                    </w:tc>
                    <w:tc>
                      <w:tcPr>
                        <w:tcW w:w="830" w:type="dxa"/>
                      </w:tcPr>
                      <w:p>
                        <w:pPr>
                          <w:pStyle w:val="TableParagraph"/>
                          <w:spacing w:before="142"/>
                          <w:ind w:right="59"/>
                          <w:jc w:val="right"/>
                          <w:rPr>
                            <w:sz w:val="18"/>
                          </w:rPr>
                        </w:pPr>
                        <w:r>
                          <w:rPr>
                            <w:color w:val="231F20"/>
                            <w:sz w:val="18"/>
                          </w:rPr>
                          <w:t>96</w:t>
                        </w:r>
                      </w:p>
                    </w:tc>
                  </w:tr>
                  <w:tr>
                    <w:trPr>
                      <w:trHeight w:val="480" w:hRule="exact"/>
                    </w:trPr>
                    <w:tc>
                      <w:tcPr>
                        <w:tcW w:w="4499" w:type="dxa"/>
                        <w:shd w:val="clear" w:color="auto" w:fill="CCECFC"/>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920" w:type="dxa"/>
                        <w:shd w:val="clear" w:color="auto" w:fill="CCECFC"/>
                      </w:tcPr>
                      <w:p>
                        <w:pPr>
                          <w:pStyle w:val="TableParagraph"/>
                          <w:spacing w:before="142"/>
                          <w:ind w:right="38"/>
                          <w:jc w:val="right"/>
                          <w:rPr>
                            <w:sz w:val="18"/>
                          </w:rPr>
                        </w:pPr>
                        <w:r>
                          <w:rPr>
                            <w:color w:val="231F20"/>
                            <w:sz w:val="18"/>
                          </w:rPr>
                          <w:t>(9)</w:t>
                        </w:r>
                      </w:p>
                    </w:tc>
                    <w:tc>
                      <w:tcPr>
                        <w:tcW w:w="2111" w:type="dxa"/>
                        <w:gridSpan w:val="2"/>
                        <w:shd w:val="clear" w:color="auto" w:fill="CCECFC"/>
                      </w:tcPr>
                      <w:p>
                        <w:pPr>
                          <w:pStyle w:val="TableParagraph"/>
                          <w:tabs>
                            <w:tab w:pos="1700" w:val="left" w:leader="none"/>
                          </w:tabs>
                          <w:spacing w:before="142"/>
                          <w:ind w:left="600"/>
                          <w:rPr>
                            <w:sz w:val="18"/>
                          </w:rPr>
                        </w:pPr>
                        <w:r>
                          <w:rPr>
                            <w:color w:val="231F20"/>
                            <w:sz w:val="18"/>
                          </w:rPr>
                          <w:t>—</w:t>
                          <w:tab/>
                          <w:t>—</w:t>
                        </w:r>
                      </w:p>
                    </w:tc>
                    <w:tc>
                      <w:tcPr>
                        <w:tcW w:w="760" w:type="dxa"/>
                        <w:shd w:val="clear" w:color="auto" w:fill="CCECFC"/>
                      </w:tcPr>
                      <w:p>
                        <w:pPr>
                          <w:pStyle w:val="TableParagraph"/>
                          <w:spacing w:before="142"/>
                          <w:ind w:right="107"/>
                          <w:jc w:val="right"/>
                          <w:rPr>
                            <w:sz w:val="18"/>
                          </w:rPr>
                        </w:pPr>
                        <w:r>
                          <w:rPr>
                            <w:color w:val="231F20"/>
                            <w:sz w:val="18"/>
                          </w:rPr>
                          <w:t>—</w:t>
                        </w:r>
                      </w:p>
                    </w:tc>
                    <w:tc>
                      <w:tcPr>
                        <w:tcW w:w="830" w:type="dxa"/>
                        <w:shd w:val="clear" w:color="auto" w:fill="CCECFC"/>
                      </w:tcPr>
                      <w:p>
                        <w:pPr>
                          <w:pStyle w:val="TableParagraph"/>
                          <w:spacing w:before="142"/>
                          <w:jc w:val="right"/>
                          <w:rPr>
                            <w:sz w:val="18"/>
                          </w:rPr>
                        </w:pPr>
                        <w:r>
                          <w:rPr>
                            <w:color w:val="231F20"/>
                            <w:sz w:val="18"/>
                          </w:rPr>
                          <w:t>(9)</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920" w:type="dxa"/>
                      </w:tcPr>
                      <w:p>
                        <w:pPr>
                          <w:pStyle w:val="TableParagraph"/>
                          <w:spacing w:before="32"/>
                          <w:ind w:right="97"/>
                          <w:jc w:val="right"/>
                          <w:rPr>
                            <w:sz w:val="18"/>
                          </w:rPr>
                        </w:pPr>
                        <w:r>
                          <w:rPr>
                            <w:color w:val="231F20"/>
                            <w:sz w:val="18"/>
                          </w:rPr>
                          <w:t>18</w:t>
                        </w:r>
                      </w:p>
                    </w:tc>
                    <w:tc>
                      <w:tcPr>
                        <w:tcW w:w="2111" w:type="dxa"/>
                        <w:gridSpan w:val="2"/>
                      </w:tcPr>
                      <w:p>
                        <w:pPr>
                          <w:pStyle w:val="TableParagraph"/>
                          <w:tabs>
                            <w:tab w:pos="1700" w:val="left" w:leader="none"/>
                          </w:tabs>
                          <w:spacing w:before="32"/>
                          <w:ind w:left="600"/>
                          <w:rPr>
                            <w:sz w:val="18"/>
                          </w:rPr>
                        </w:pPr>
                        <w:r>
                          <w:rPr>
                            <w:color w:val="231F20"/>
                            <w:sz w:val="18"/>
                          </w:rPr>
                          <w:t>—</w:t>
                          <w:tab/>
                          <w:t>—</w:t>
                        </w:r>
                      </w:p>
                    </w:tc>
                    <w:tc>
                      <w:tcPr>
                        <w:tcW w:w="760" w:type="dxa"/>
                      </w:tcPr>
                      <w:p>
                        <w:pPr>
                          <w:pStyle w:val="TableParagraph"/>
                          <w:spacing w:before="32"/>
                          <w:ind w:right="107"/>
                          <w:jc w:val="right"/>
                          <w:rPr>
                            <w:sz w:val="18"/>
                          </w:rPr>
                        </w:pPr>
                        <w:r>
                          <w:rPr>
                            <w:color w:val="231F20"/>
                            <w:sz w:val="18"/>
                          </w:rPr>
                          <w:t>—</w:t>
                        </w:r>
                      </w:p>
                    </w:tc>
                    <w:tc>
                      <w:tcPr>
                        <w:tcW w:w="830" w:type="dxa"/>
                      </w:tcPr>
                      <w:p>
                        <w:pPr>
                          <w:pStyle w:val="TableParagraph"/>
                          <w:spacing w:before="32"/>
                          <w:ind w:right="58"/>
                          <w:jc w:val="right"/>
                          <w:rPr>
                            <w:sz w:val="18"/>
                          </w:rPr>
                        </w:pPr>
                        <w:r>
                          <w:rPr>
                            <w:color w:val="231F20"/>
                            <w:sz w:val="18"/>
                          </w:rPr>
                          <w:t>18</w:t>
                        </w:r>
                      </w:p>
                    </w:tc>
                  </w:tr>
                  <w:tr>
                    <w:trPr>
                      <w:trHeight w:val="260" w:hRule="exact"/>
                    </w:trPr>
                    <w:tc>
                      <w:tcPr>
                        <w:tcW w:w="4499" w:type="dxa"/>
                        <w:shd w:val="clear" w:color="auto" w:fill="CCECFC"/>
                      </w:tcPr>
                      <w:p>
                        <w:pPr>
                          <w:pStyle w:val="TableParagraph"/>
                          <w:tabs>
                            <w:tab w:pos="3838" w:val="left" w:leader="none"/>
                          </w:tabs>
                          <w:spacing w:before="32"/>
                          <w:ind w:right="58"/>
                          <w:jc w:val="right"/>
                          <w:rPr>
                            <w:sz w:val="18"/>
                          </w:rPr>
                        </w:pPr>
                        <w:r>
                          <w:rPr>
                            <w:color w:val="231F20"/>
                            <w:sz w:val="18"/>
                          </w:rPr>
                          <w:t>Cash dividends, $.1300</w:t>
                        </w:r>
                        <w:r>
                          <w:rPr>
                            <w:color w:val="231F20"/>
                            <w:spacing w:val="-1"/>
                            <w:sz w:val="18"/>
                          </w:rPr>
                          <w:t> </w:t>
                        </w:r>
                        <w:r>
                          <w:rPr>
                            <w:color w:val="231F20"/>
                            <w:sz w:val="18"/>
                          </w:rPr>
                          <w:t>per share</w:t>
                          <w:tab/>
                          <w:t>—</w:t>
                        </w:r>
                      </w:p>
                    </w:tc>
                    <w:tc>
                      <w:tcPr>
                        <w:tcW w:w="920" w:type="dxa"/>
                        <w:shd w:val="clear" w:color="auto" w:fill="CCECFC"/>
                      </w:tcPr>
                      <w:p>
                        <w:pPr>
                          <w:pStyle w:val="TableParagraph"/>
                          <w:spacing w:before="32"/>
                          <w:ind w:right="97"/>
                          <w:jc w:val="right"/>
                          <w:rPr>
                            <w:sz w:val="18"/>
                          </w:rPr>
                        </w:pPr>
                        <w:r>
                          <w:rPr>
                            <w:color w:val="231F20"/>
                            <w:sz w:val="18"/>
                          </w:rPr>
                          <w:t>—</w:t>
                        </w:r>
                      </w:p>
                    </w:tc>
                    <w:tc>
                      <w:tcPr>
                        <w:tcW w:w="2111" w:type="dxa"/>
                        <w:gridSpan w:val="2"/>
                        <w:shd w:val="clear" w:color="auto" w:fill="CCECFC"/>
                      </w:tcPr>
                      <w:p>
                        <w:pPr>
                          <w:pStyle w:val="TableParagraph"/>
                          <w:tabs>
                            <w:tab w:pos="1700" w:val="left" w:leader="none"/>
                          </w:tabs>
                          <w:spacing w:before="32"/>
                          <w:ind w:left="540"/>
                          <w:rPr>
                            <w:sz w:val="18"/>
                          </w:rPr>
                        </w:pPr>
                        <w:r>
                          <w:rPr>
                            <w:color w:val="231F20"/>
                            <w:sz w:val="18"/>
                          </w:rPr>
                          <w:t>(91)</w:t>
                          <w:tab/>
                          <w:t>—</w:t>
                        </w:r>
                      </w:p>
                    </w:tc>
                    <w:tc>
                      <w:tcPr>
                        <w:tcW w:w="760" w:type="dxa"/>
                        <w:shd w:val="clear" w:color="auto" w:fill="CCECFC"/>
                      </w:tcPr>
                      <w:p>
                        <w:pPr>
                          <w:pStyle w:val="TableParagraph"/>
                          <w:spacing w:before="32"/>
                          <w:ind w:right="107"/>
                          <w:jc w:val="right"/>
                          <w:rPr>
                            <w:sz w:val="18"/>
                          </w:rPr>
                        </w:pPr>
                        <w:r>
                          <w:rPr>
                            <w:color w:val="231F20"/>
                            <w:sz w:val="18"/>
                          </w:rPr>
                          <w:t>—</w:t>
                        </w:r>
                      </w:p>
                    </w:tc>
                    <w:tc>
                      <w:tcPr>
                        <w:tcW w:w="830" w:type="dxa"/>
                        <w:shd w:val="clear" w:color="auto" w:fill="CCECFC"/>
                      </w:tcPr>
                      <w:p>
                        <w:pPr>
                          <w:pStyle w:val="TableParagraph"/>
                          <w:spacing w:before="32"/>
                          <w:jc w:val="right"/>
                          <w:rPr>
                            <w:sz w:val="18"/>
                          </w:rPr>
                        </w:pPr>
                        <w:r>
                          <w:rPr>
                            <w:color w:val="231F20"/>
                            <w:sz w:val="18"/>
                          </w:rPr>
                          <w:t>(91)</w:t>
                        </w:r>
                      </w:p>
                    </w:tc>
                  </w:tr>
                  <w:tr>
                    <w:trPr>
                      <w:trHeight w:val="275" w:hRule="exact"/>
                    </w:trPr>
                    <w:tc>
                      <w:tcPr>
                        <w:tcW w:w="4499" w:type="dxa"/>
                      </w:tcPr>
                      <w:p>
                        <w:pPr>
                          <w:pStyle w:val="TableParagraph"/>
                          <w:tabs>
                            <w:tab w:pos="3838" w:val="left" w:leader="none"/>
                          </w:tabs>
                          <w:spacing w:before="32"/>
                          <w:ind w:right="58"/>
                          <w:jc w:val="right"/>
                          <w:rPr>
                            <w:sz w:val="18"/>
                          </w:rPr>
                        </w:pPr>
                        <w:r>
                          <w:rPr>
                            <w:color w:val="231F20"/>
                            <w:sz w:val="18"/>
                          </w:rPr>
                          <w:t>Comprehensive income</w:t>
                          <w:tab/>
                          <w:t>—</w:t>
                        </w:r>
                      </w:p>
                    </w:tc>
                    <w:tc>
                      <w:tcPr>
                        <w:tcW w:w="920" w:type="dxa"/>
                        <w:tcBorders>
                          <w:bottom w:val="single" w:sz="4" w:space="0" w:color="231F20"/>
                        </w:tcBorders>
                      </w:tcPr>
                      <w:p>
                        <w:pPr>
                          <w:pStyle w:val="TableParagraph"/>
                          <w:spacing w:before="32"/>
                          <w:ind w:right="97"/>
                          <w:jc w:val="right"/>
                          <w:rPr>
                            <w:sz w:val="18"/>
                          </w:rPr>
                        </w:pPr>
                        <w:r>
                          <w:rPr>
                            <w:color w:val="231F20"/>
                            <w:sz w:val="18"/>
                          </w:rPr>
                          <w:t>—</w:t>
                        </w:r>
                      </w:p>
                    </w:tc>
                    <w:tc>
                      <w:tcPr>
                        <w:tcW w:w="2111" w:type="dxa"/>
                        <w:gridSpan w:val="2"/>
                      </w:tcPr>
                      <w:p>
                        <w:pPr>
                          <w:pStyle w:val="TableParagraph"/>
                          <w:tabs>
                            <w:tab w:pos="1610" w:val="left" w:leader="none"/>
                          </w:tabs>
                          <w:spacing w:before="32"/>
                          <w:ind w:left="510"/>
                          <w:rPr>
                            <w:sz w:val="18"/>
                          </w:rPr>
                        </w:pPr>
                        <w:r>
                          <w:rPr>
                            <w:color w:val="231F20"/>
                            <w:sz w:val="18"/>
                          </w:rPr>
                          <w:t>754</w:t>
                          <w:tab/>
                          <w:t>116</w:t>
                        </w:r>
                      </w:p>
                    </w:tc>
                    <w:tc>
                      <w:tcPr>
                        <w:tcW w:w="760" w:type="dxa"/>
                        <w:tcBorders>
                          <w:bottom w:val="single" w:sz="4" w:space="0" w:color="231F20"/>
                        </w:tcBorders>
                      </w:tcPr>
                      <w:p>
                        <w:pPr>
                          <w:pStyle w:val="TableParagraph"/>
                          <w:spacing w:before="32"/>
                          <w:ind w:right="107"/>
                          <w:jc w:val="right"/>
                          <w:rPr>
                            <w:sz w:val="18"/>
                          </w:rPr>
                        </w:pPr>
                        <w:r>
                          <w:rPr>
                            <w:color w:val="231F20"/>
                            <w:sz w:val="18"/>
                          </w:rPr>
                          <w:t>—</w:t>
                        </w:r>
                      </w:p>
                    </w:tc>
                    <w:tc>
                      <w:tcPr>
                        <w:tcW w:w="830" w:type="dxa"/>
                        <w:tcBorders>
                          <w:bottom w:val="single" w:sz="4" w:space="0" w:color="231F20"/>
                        </w:tcBorders>
                      </w:tcPr>
                      <w:p>
                        <w:pPr>
                          <w:pStyle w:val="TableParagraph"/>
                          <w:spacing w:before="32"/>
                          <w:ind w:right="59"/>
                          <w:jc w:val="right"/>
                          <w:rPr>
                            <w:sz w:val="18"/>
                          </w:rPr>
                        </w:pPr>
                        <w:r>
                          <w:rPr>
                            <w:color w:val="231F20"/>
                            <w:sz w:val="18"/>
                          </w:rPr>
                          <w:t>870</w:t>
                        </w:r>
                      </w:p>
                    </w:tc>
                  </w:tr>
                  <w:tr>
                    <w:trPr>
                      <w:trHeight w:val="280" w:hRule="exact"/>
                    </w:trPr>
                    <w:tc>
                      <w:tcPr>
                        <w:tcW w:w="4499" w:type="dxa"/>
                        <w:shd w:val="clear" w:color="auto" w:fill="CCECFC"/>
                      </w:tcPr>
                      <w:p>
                        <w:pPr>
                          <w:pStyle w:val="TableParagraph"/>
                          <w:tabs>
                            <w:tab w:pos="3658" w:val="left" w:leader="none"/>
                            <w:tab w:pos="4108" w:val="left" w:leader="none"/>
                          </w:tabs>
                          <w:spacing w:before="27"/>
                          <w:ind w:right="58"/>
                          <w:jc w:val="right"/>
                          <w:rPr>
                            <w:sz w:val="18"/>
                          </w:rPr>
                        </w:pPr>
                        <w:r>
                          <w:rPr>
                            <w:color w:val="231F20"/>
                            <w:sz w:val="18"/>
                          </w:rPr>
                          <w:t>Balance at December 31, 2013</w:t>
                          <w:tab/>
                          <w:t>$</w:t>
                          <w:tab/>
                          <w:t>808</w:t>
                        </w:r>
                      </w:p>
                    </w:tc>
                    <w:tc>
                      <w:tcPr>
                        <w:tcW w:w="920" w:type="dxa"/>
                        <w:tcBorders>
                          <w:top w:val="single" w:sz="4" w:space="0" w:color="231F20"/>
                          <w:bottom w:val="single" w:sz="4" w:space="0" w:color="231F20"/>
                        </w:tcBorders>
                        <w:shd w:val="clear" w:color="auto" w:fill="CCECFC"/>
                      </w:tcPr>
                      <w:p>
                        <w:pPr>
                          <w:pStyle w:val="TableParagraph"/>
                          <w:tabs>
                            <w:tab w:pos="334" w:val="left" w:leader="none"/>
                          </w:tabs>
                          <w:spacing w:before="22"/>
                          <w:ind w:right="97"/>
                          <w:jc w:val="right"/>
                          <w:rPr>
                            <w:sz w:val="18"/>
                          </w:rPr>
                        </w:pPr>
                        <w:r>
                          <w:rPr>
                            <w:color w:val="231F20"/>
                            <w:sz w:val="18"/>
                          </w:rPr>
                          <w:t>$</w:t>
                          <w:tab/>
                        </w:r>
                        <w:r>
                          <w:rPr>
                            <w:color w:val="231F20"/>
                            <w:spacing w:val="-1"/>
                            <w:sz w:val="18"/>
                          </w:rPr>
                          <w:t>1,231</w:t>
                        </w:r>
                      </w:p>
                    </w:tc>
                    <w:tc>
                      <w:tcPr>
                        <w:tcW w:w="2111" w:type="dxa"/>
                        <w:gridSpan w:val="2"/>
                        <w:shd w:val="clear" w:color="auto" w:fill="CCECFC"/>
                      </w:tcPr>
                      <w:p>
                        <w:pPr>
                          <w:pStyle w:val="TableParagraph"/>
                          <w:tabs>
                            <w:tab w:pos="374" w:val="left" w:leader="none"/>
                            <w:tab w:pos="1730" w:val="left" w:leader="none"/>
                          </w:tabs>
                          <w:spacing w:before="27"/>
                          <w:ind w:left="40"/>
                          <w:rPr>
                            <w:sz w:val="18"/>
                          </w:rPr>
                        </w:pPr>
                        <w:r>
                          <w:rPr>
                            <w:color w:val="231F20"/>
                            <w:sz w:val="18"/>
                          </w:rPr>
                          <w:t>$</w:t>
                          <w:tab/>
                          <w:t>6,431  </w:t>
                        </w:r>
                        <w:r>
                          <w:rPr>
                            <w:color w:val="231F20"/>
                            <w:spacing w:val="5"/>
                            <w:sz w:val="18"/>
                          </w:rPr>
                          <w:t> </w:t>
                        </w:r>
                        <w:r>
                          <w:rPr>
                            <w:color w:val="231F20"/>
                            <w:sz w:val="18"/>
                          </w:rPr>
                          <w:t>$</w:t>
                          <w:tab/>
                          <w:t>(3)</w:t>
                        </w:r>
                        <w:r>
                          <w:rPr>
                            <w:color w:val="231F20"/>
                            <w:spacing w:val="35"/>
                            <w:sz w:val="18"/>
                          </w:rPr>
                          <w:t> </w:t>
                        </w:r>
                        <w:r>
                          <w:rPr>
                            <w:color w:val="231F20"/>
                            <w:sz w:val="18"/>
                          </w:rPr>
                          <w:t>$</w:t>
                        </w:r>
                      </w:p>
                    </w:tc>
                    <w:tc>
                      <w:tcPr>
                        <w:tcW w:w="760" w:type="dxa"/>
                        <w:tcBorders>
                          <w:top w:val="single" w:sz="4" w:space="0" w:color="231F20"/>
                          <w:bottom w:val="single" w:sz="4" w:space="0" w:color="231F20"/>
                        </w:tcBorders>
                        <w:shd w:val="clear" w:color="auto" w:fill="CCECFC"/>
                      </w:tcPr>
                      <w:p>
                        <w:pPr>
                          <w:pStyle w:val="TableParagraph"/>
                          <w:spacing w:before="22"/>
                          <w:ind w:right="48"/>
                          <w:jc w:val="right"/>
                          <w:rPr>
                            <w:sz w:val="18"/>
                          </w:rPr>
                        </w:pPr>
                        <w:r>
                          <w:rPr>
                            <w:color w:val="231F20"/>
                            <w:sz w:val="18"/>
                          </w:rPr>
                          <w:t>(1,131)</w:t>
                        </w:r>
                      </w:p>
                    </w:tc>
                    <w:tc>
                      <w:tcPr>
                        <w:tcW w:w="830" w:type="dxa"/>
                        <w:tcBorders>
                          <w:top w:val="single" w:sz="4" w:space="0" w:color="231F20"/>
                          <w:bottom w:val="single" w:sz="4" w:space="0" w:color="231F20"/>
                        </w:tcBorders>
                        <w:shd w:val="clear" w:color="auto" w:fill="CCECFC"/>
                      </w:tcPr>
                      <w:p>
                        <w:pPr>
                          <w:pStyle w:val="TableParagraph"/>
                          <w:tabs>
                            <w:tab w:pos="314" w:val="left" w:leader="none"/>
                          </w:tabs>
                          <w:spacing w:before="22"/>
                          <w:ind w:right="59"/>
                          <w:jc w:val="right"/>
                          <w:rPr>
                            <w:sz w:val="18"/>
                          </w:rPr>
                        </w:pPr>
                        <w:r>
                          <w:rPr>
                            <w:color w:val="231F20"/>
                            <w:sz w:val="18"/>
                          </w:rPr>
                          <w:t>$</w:t>
                          <w:tab/>
                        </w:r>
                        <w:r>
                          <w:rPr>
                            <w:color w:val="231F20"/>
                            <w:spacing w:val="-1"/>
                            <w:sz w:val="18"/>
                          </w:rPr>
                          <w:t>7,336</w:t>
                        </w:r>
                      </w:p>
                    </w:tc>
                  </w:tr>
                  <w:tr>
                    <w:trPr>
                      <w:trHeight w:val="265" w:hRule="exact"/>
                    </w:trPr>
                    <w:tc>
                      <w:tcPr>
                        <w:tcW w:w="4499" w:type="dxa"/>
                      </w:tcPr>
                      <w:p>
                        <w:pPr>
                          <w:pStyle w:val="TableParagraph"/>
                          <w:tabs>
                            <w:tab w:pos="3838" w:val="left" w:leader="none"/>
                          </w:tabs>
                          <w:spacing w:before="37"/>
                          <w:ind w:right="58"/>
                          <w:jc w:val="right"/>
                          <w:rPr>
                            <w:sz w:val="18"/>
                          </w:rPr>
                        </w:pPr>
                        <w:r>
                          <w:rPr>
                            <w:color w:val="231F20"/>
                            <w:sz w:val="18"/>
                          </w:rPr>
                          <w:t>Repurchase of common stock</w:t>
                          <w:tab/>
                          <w:t>—</w:t>
                        </w:r>
                      </w:p>
                    </w:tc>
                    <w:tc>
                      <w:tcPr>
                        <w:tcW w:w="920" w:type="dxa"/>
                        <w:tcBorders>
                          <w:top w:val="single" w:sz="4" w:space="0" w:color="231F20"/>
                        </w:tcBorders>
                      </w:tcPr>
                      <w:p>
                        <w:pPr>
                          <w:pStyle w:val="TableParagraph"/>
                          <w:spacing w:before="32"/>
                          <w:ind w:right="97"/>
                          <w:jc w:val="right"/>
                          <w:rPr>
                            <w:sz w:val="18"/>
                          </w:rPr>
                        </w:pPr>
                        <w:r>
                          <w:rPr>
                            <w:color w:val="231F20"/>
                            <w:sz w:val="18"/>
                          </w:rPr>
                          <w:t>—</w:t>
                        </w:r>
                      </w:p>
                    </w:tc>
                    <w:tc>
                      <w:tcPr>
                        <w:tcW w:w="2111" w:type="dxa"/>
                        <w:gridSpan w:val="2"/>
                      </w:tcPr>
                      <w:p>
                        <w:pPr>
                          <w:pStyle w:val="TableParagraph"/>
                          <w:tabs>
                            <w:tab w:pos="1700" w:val="left" w:leader="none"/>
                          </w:tabs>
                          <w:spacing w:before="37"/>
                          <w:ind w:left="600"/>
                          <w:rPr>
                            <w:sz w:val="18"/>
                          </w:rPr>
                        </w:pPr>
                        <w:r>
                          <w:rPr>
                            <w:color w:val="231F20"/>
                            <w:sz w:val="18"/>
                          </w:rPr>
                          <w:t>—</w:t>
                          <w:tab/>
                          <w:t>—</w:t>
                        </w:r>
                      </w:p>
                    </w:tc>
                    <w:tc>
                      <w:tcPr>
                        <w:tcW w:w="760" w:type="dxa"/>
                        <w:tcBorders>
                          <w:top w:val="single" w:sz="4" w:space="0" w:color="231F20"/>
                        </w:tcBorders>
                      </w:tcPr>
                      <w:p>
                        <w:pPr>
                          <w:pStyle w:val="TableParagraph"/>
                          <w:spacing w:before="32"/>
                          <w:ind w:right="48"/>
                          <w:jc w:val="right"/>
                          <w:rPr>
                            <w:sz w:val="18"/>
                          </w:rPr>
                        </w:pPr>
                        <w:r>
                          <w:rPr>
                            <w:color w:val="231F20"/>
                            <w:sz w:val="18"/>
                          </w:rPr>
                          <w:t>(955)</w:t>
                        </w:r>
                      </w:p>
                    </w:tc>
                    <w:tc>
                      <w:tcPr>
                        <w:tcW w:w="830" w:type="dxa"/>
                        <w:tcBorders>
                          <w:top w:val="single" w:sz="4" w:space="0" w:color="231F20"/>
                        </w:tcBorders>
                      </w:tcPr>
                      <w:p>
                        <w:pPr>
                          <w:pStyle w:val="TableParagraph"/>
                          <w:spacing w:before="32"/>
                          <w:jc w:val="right"/>
                          <w:rPr>
                            <w:sz w:val="18"/>
                          </w:rPr>
                        </w:pPr>
                        <w:r>
                          <w:rPr>
                            <w:color w:val="231F20"/>
                            <w:sz w:val="18"/>
                          </w:rPr>
                          <w:t>(955)</w:t>
                        </w:r>
                      </w:p>
                    </w:tc>
                  </w:tr>
                  <w:tr>
                    <w:trPr>
                      <w:trHeight w:val="480" w:hRule="exact"/>
                    </w:trPr>
                    <w:tc>
                      <w:tcPr>
                        <w:tcW w:w="4499" w:type="dxa"/>
                        <w:shd w:val="clear" w:color="auto" w:fill="CCECFC"/>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920" w:type="dxa"/>
                        <w:shd w:val="clear" w:color="auto" w:fill="CCECFC"/>
                      </w:tcPr>
                      <w:p>
                        <w:pPr>
                          <w:pStyle w:val="TableParagraph"/>
                          <w:spacing w:before="142"/>
                          <w:ind w:right="97"/>
                          <w:jc w:val="right"/>
                          <w:rPr>
                            <w:sz w:val="18"/>
                          </w:rPr>
                        </w:pPr>
                        <w:r>
                          <w:rPr>
                            <w:color w:val="231F20"/>
                            <w:sz w:val="18"/>
                          </w:rPr>
                          <w:t>40</w:t>
                        </w:r>
                      </w:p>
                    </w:tc>
                    <w:tc>
                      <w:tcPr>
                        <w:tcW w:w="2111" w:type="dxa"/>
                        <w:gridSpan w:val="2"/>
                        <w:shd w:val="clear" w:color="auto" w:fill="CCECFC"/>
                      </w:tcPr>
                      <w:p>
                        <w:pPr>
                          <w:pStyle w:val="TableParagraph"/>
                          <w:tabs>
                            <w:tab w:pos="1700" w:val="left" w:leader="none"/>
                          </w:tabs>
                          <w:spacing w:before="142"/>
                          <w:ind w:left="600"/>
                          <w:rPr>
                            <w:sz w:val="18"/>
                          </w:rPr>
                        </w:pPr>
                        <w:r>
                          <w:rPr>
                            <w:color w:val="231F20"/>
                            <w:sz w:val="18"/>
                          </w:rPr>
                          <w:t>—</w:t>
                          <w:tab/>
                          <w:t>—</w:t>
                        </w:r>
                      </w:p>
                    </w:tc>
                    <w:tc>
                      <w:tcPr>
                        <w:tcW w:w="760" w:type="dxa"/>
                        <w:shd w:val="clear" w:color="auto" w:fill="CCECFC"/>
                      </w:tcPr>
                      <w:p>
                        <w:pPr>
                          <w:pStyle w:val="TableParagraph"/>
                          <w:spacing w:before="142"/>
                          <w:ind w:right="107"/>
                          <w:jc w:val="right"/>
                          <w:rPr>
                            <w:sz w:val="18"/>
                          </w:rPr>
                        </w:pPr>
                        <w:r>
                          <w:rPr>
                            <w:color w:val="231F20"/>
                            <w:sz w:val="18"/>
                          </w:rPr>
                          <w:t>60</w:t>
                        </w:r>
                      </w:p>
                    </w:tc>
                    <w:tc>
                      <w:tcPr>
                        <w:tcW w:w="830" w:type="dxa"/>
                        <w:shd w:val="clear" w:color="auto" w:fill="CCECFC"/>
                      </w:tcPr>
                      <w:p>
                        <w:pPr>
                          <w:pStyle w:val="TableParagraph"/>
                          <w:spacing w:before="142"/>
                          <w:ind w:right="59"/>
                          <w:jc w:val="right"/>
                          <w:rPr>
                            <w:sz w:val="18"/>
                          </w:rPr>
                        </w:pPr>
                        <w:r>
                          <w:rPr>
                            <w:color w:val="231F20"/>
                            <w:sz w:val="18"/>
                          </w:rPr>
                          <w:t>100</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920" w:type="dxa"/>
                      </w:tcPr>
                      <w:p>
                        <w:pPr>
                          <w:pStyle w:val="TableParagraph"/>
                          <w:spacing w:before="142"/>
                          <w:ind w:right="97"/>
                          <w:jc w:val="right"/>
                          <w:rPr>
                            <w:sz w:val="18"/>
                          </w:rPr>
                        </w:pPr>
                        <w:r>
                          <w:rPr>
                            <w:color w:val="231F20"/>
                            <w:sz w:val="18"/>
                          </w:rPr>
                          <w:t>23</w:t>
                        </w:r>
                      </w:p>
                    </w:tc>
                    <w:tc>
                      <w:tcPr>
                        <w:tcW w:w="2111" w:type="dxa"/>
                        <w:gridSpan w:val="2"/>
                      </w:tcPr>
                      <w:p>
                        <w:pPr>
                          <w:pStyle w:val="TableParagraph"/>
                          <w:tabs>
                            <w:tab w:pos="1700" w:val="left" w:leader="none"/>
                          </w:tabs>
                          <w:spacing w:before="142"/>
                          <w:ind w:left="600"/>
                          <w:rPr>
                            <w:sz w:val="18"/>
                          </w:rPr>
                        </w:pPr>
                        <w:r>
                          <w:rPr>
                            <w:color w:val="231F20"/>
                            <w:sz w:val="18"/>
                          </w:rPr>
                          <w:t>—</w:t>
                          <w:tab/>
                          <w:t>—</w:t>
                        </w:r>
                      </w:p>
                    </w:tc>
                    <w:tc>
                      <w:tcPr>
                        <w:tcW w:w="760" w:type="dxa"/>
                      </w:tcPr>
                      <w:p>
                        <w:pPr>
                          <w:pStyle w:val="TableParagraph"/>
                          <w:spacing w:before="142"/>
                          <w:ind w:right="107"/>
                          <w:jc w:val="right"/>
                          <w:rPr>
                            <w:sz w:val="18"/>
                          </w:rPr>
                        </w:pPr>
                        <w:r>
                          <w:rPr>
                            <w:color w:val="231F20"/>
                            <w:sz w:val="18"/>
                          </w:rPr>
                          <w:t>—</w:t>
                        </w:r>
                      </w:p>
                    </w:tc>
                    <w:tc>
                      <w:tcPr>
                        <w:tcW w:w="830" w:type="dxa"/>
                      </w:tcPr>
                      <w:p>
                        <w:pPr>
                          <w:pStyle w:val="TableParagraph"/>
                          <w:spacing w:before="142"/>
                          <w:ind w:right="59"/>
                          <w:jc w:val="right"/>
                          <w:rPr>
                            <w:sz w:val="18"/>
                          </w:rPr>
                        </w:pPr>
                        <w:r>
                          <w:rPr>
                            <w:color w:val="231F20"/>
                            <w:sz w:val="18"/>
                          </w:rPr>
                          <w:t>23</w:t>
                        </w:r>
                      </w:p>
                    </w:tc>
                  </w:tr>
                  <w:tr>
                    <w:trPr>
                      <w:trHeight w:val="260" w:hRule="exact"/>
                    </w:trPr>
                    <w:tc>
                      <w:tcPr>
                        <w:tcW w:w="4499" w:type="dxa"/>
                        <w:shd w:val="clear" w:color="auto" w:fill="CCECFC"/>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920" w:type="dxa"/>
                        <w:shd w:val="clear" w:color="auto" w:fill="CCECFC"/>
                      </w:tcPr>
                      <w:p>
                        <w:pPr>
                          <w:pStyle w:val="TableParagraph"/>
                          <w:spacing w:before="32"/>
                          <w:ind w:right="97"/>
                          <w:jc w:val="right"/>
                          <w:rPr>
                            <w:sz w:val="18"/>
                          </w:rPr>
                        </w:pPr>
                        <w:r>
                          <w:rPr>
                            <w:color w:val="231F20"/>
                            <w:sz w:val="18"/>
                          </w:rPr>
                          <w:t>21</w:t>
                        </w:r>
                      </w:p>
                    </w:tc>
                    <w:tc>
                      <w:tcPr>
                        <w:tcW w:w="2111" w:type="dxa"/>
                        <w:gridSpan w:val="2"/>
                        <w:shd w:val="clear" w:color="auto" w:fill="CCECFC"/>
                      </w:tcPr>
                      <w:p>
                        <w:pPr>
                          <w:pStyle w:val="TableParagraph"/>
                          <w:tabs>
                            <w:tab w:pos="1700" w:val="left" w:leader="none"/>
                          </w:tabs>
                          <w:spacing w:before="32"/>
                          <w:ind w:left="600"/>
                          <w:rPr>
                            <w:sz w:val="18"/>
                          </w:rPr>
                        </w:pPr>
                        <w:r>
                          <w:rPr>
                            <w:color w:val="231F20"/>
                            <w:sz w:val="18"/>
                          </w:rPr>
                          <w:t>—</w:t>
                          <w:tab/>
                          <w:t>—</w:t>
                        </w:r>
                      </w:p>
                    </w:tc>
                    <w:tc>
                      <w:tcPr>
                        <w:tcW w:w="760" w:type="dxa"/>
                        <w:shd w:val="clear" w:color="auto" w:fill="CCECFC"/>
                      </w:tcPr>
                      <w:p>
                        <w:pPr>
                          <w:pStyle w:val="TableParagraph"/>
                          <w:spacing w:before="32"/>
                          <w:ind w:right="107"/>
                          <w:jc w:val="right"/>
                          <w:rPr>
                            <w:sz w:val="18"/>
                          </w:rPr>
                        </w:pPr>
                        <w:r>
                          <w:rPr>
                            <w:color w:val="231F20"/>
                            <w:sz w:val="18"/>
                          </w:rPr>
                          <w:t>—</w:t>
                        </w:r>
                      </w:p>
                    </w:tc>
                    <w:tc>
                      <w:tcPr>
                        <w:tcW w:w="830" w:type="dxa"/>
                        <w:shd w:val="clear" w:color="auto" w:fill="CCECFC"/>
                      </w:tcPr>
                      <w:p>
                        <w:pPr>
                          <w:pStyle w:val="TableParagraph"/>
                          <w:spacing w:before="32"/>
                          <w:ind w:right="58"/>
                          <w:jc w:val="right"/>
                          <w:rPr>
                            <w:sz w:val="18"/>
                          </w:rPr>
                        </w:pPr>
                        <w:r>
                          <w:rPr>
                            <w:color w:val="231F20"/>
                            <w:sz w:val="18"/>
                          </w:rPr>
                          <w:t>21</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Cash dividends, $.2200</w:t>
                        </w:r>
                        <w:r>
                          <w:rPr>
                            <w:color w:val="231F20"/>
                            <w:spacing w:val="-1"/>
                            <w:sz w:val="18"/>
                          </w:rPr>
                          <w:t> </w:t>
                        </w:r>
                        <w:r>
                          <w:rPr>
                            <w:color w:val="231F20"/>
                            <w:sz w:val="18"/>
                          </w:rPr>
                          <w:t>per share</w:t>
                          <w:tab/>
                          <w:t>—</w:t>
                        </w:r>
                      </w:p>
                    </w:tc>
                    <w:tc>
                      <w:tcPr>
                        <w:tcW w:w="920" w:type="dxa"/>
                      </w:tcPr>
                      <w:p>
                        <w:pPr>
                          <w:pStyle w:val="TableParagraph"/>
                          <w:spacing w:before="32"/>
                          <w:ind w:right="97"/>
                          <w:jc w:val="right"/>
                          <w:rPr>
                            <w:sz w:val="18"/>
                          </w:rPr>
                        </w:pPr>
                        <w:r>
                          <w:rPr>
                            <w:color w:val="231F20"/>
                            <w:sz w:val="18"/>
                          </w:rPr>
                          <w:t>—</w:t>
                        </w:r>
                      </w:p>
                    </w:tc>
                    <w:tc>
                      <w:tcPr>
                        <w:tcW w:w="2111" w:type="dxa"/>
                        <w:gridSpan w:val="2"/>
                      </w:tcPr>
                      <w:p>
                        <w:pPr>
                          <w:pStyle w:val="TableParagraph"/>
                          <w:tabs>
                            <w:tab w:pos="1700" w:val="left" w:leader="none"/>
                          </w:tabs>
                          <w:spacing w:before="32"/>
                          <w:ind w:left="450"/>
                          <w:rPr>
                            <w:sz w:val="18"/>
                          </w:rPr>
                        </w:pPr>
                        <w:r>
                          <w:rPr>
                            <w:color w:val="231F20"/>
                            <w:sz w:val="18"/>
                          </w:rPr>
                          <w:t>(151)</w:t>
                          <w:tab/>
                          <w:t>—</w:t>
                        </w:r>
                      </w:p>
                    </w:tc>
                    <w:tc>
                      <w:tcPr>
                        <w:tcW w:w="760" w:type="dxa"/>
                      </w:tcPr>
                      <w:p>
                        <w:pPr>
                          <w:pStyle w:val="TableParagraph"/>
                          <w:spacing w:before="32"/>
                          <w:ind w:right="107"/>
                          <w:jc w:val="right"/>
                          <w:rPr>
                            <w:sz w:val="18"/>
                          </w:rPr>
                        </w:pPr>
                        <w:r>
                          <w:rPr>
                            <w:color w:val="231F20"/>
                            <w:sz w:val="18"/>
                          </w:rPr>
                          <w:t>—</w:t>
                        </w:r>
                      </w:p>
                    </w:tc>
                    <w:tc>
                      <w:tcPr>
                        <w:tcW w:w="830" w:type="dxa"/>
                      </w:tcPr>
                      <w:p>
                        <w:pPr>
                          <w:pStyle w:val="TableParagraph"/>
                          <w:spacing w:before="32"/>
                          <w:jc w:val="right"/>
                          <w:rPr>
                            <w:sz w:val="18"/>
                          </w:rPr>
                        </w:pPr>
                        <w:r>
                          <w:rPr>
                            <w:color w:val="231F20"/>
                            <w:sz w:val="18"/>
                          </w:rPr>
                          <w:t>(151)</w:t>
                        </w:r>
                      </w:p>
                    </w:tc>
                  </w:tr>
                  <w:tr>
                    <w:trPr>
                      <w:trHeight w:val="275" w:hRule="exact"/>
                    </w:trPr>
                    <w:tc>
                      <w:tcPr>
                        <w:tcW w:w="4499" w:type="dxa"/>
                        <w:shd w:val="clear" w:color="auto" w:fill="CCECFC"/>
                      </w:tcPr>
                      <w:p>
                        <w:pPr>
                          <w:pStyle w:val="TableParagraph"/>
                          <w:tabs>
                            <w:tab w:pos="3838" w:val="left" w:leader="none"/>
                          </w:tabs>
                          <w:spacing w:before="32"/>
                          <w:ind w:right="58"/>
                          <w:jc w:val="right"/>
                          <w:rPr>
                            <w:sz w:val="18"/>
                          </w:rPr>
                        </w:pPr>
                        <w:r>
                          <w:rPr>
                            <w:color w:val="231F20"/>
                            <w:sz w:val="18"/>
                          </w:rPr>
                          <w:t>Comprehensive income</w:t>
                          <w:tab/>
                          <w:t>—</w:t>
                        </w:r>
                      </w:p>
                    </w:tc>
                    <w:tc>
                      <w:tcPr>
                        <w:tcW w:w="920" w:type="dxa"/>
                        <w:tcBorders>
                          <w:bottom w:val="single" w:sz="4" w:space="0" w:color="231F20"/>
                        </w:tcBorders>
                        <w:shd w:val="clear" w:color="auto" w:fill="CCECFC"/>
                      </w:tcPr>
                      <w:p>
                        <w:pPr>
                          <w:pStyle w:val="TableParagraph"/>
                          <w:spacing w:before="32"/>
                          <w:ind w:right="97"/>
                          <w:jc w:val="right"/>
                          <w:rPr>
                            <w:sz w:val="18"/>
                          </w:rPr>
                        </w:pPr>
                        <w:r>
                          <w:rPr>
                            <w:color w:val="231F20"/>
                            <w:sz w:val="18"/>
                          </w:rPr>
                          <w:t>—</w:t>
                        </w:r>
                      </w:p>
                    </w:tc>
                    <w:tc>
                      <w:tcPr>
                        <w:tcW w:w="2111" w:type="dxa"/>
                        <w:gridSpan w:val="2"/>
                        <w:shd w:val="clear" w:color="auto" w:fill="CCECFC"/>
                      </w:tcPr>
                      <w:p>
                        <w:pPr>
                          <w:pStyle w:val="TableParagraph"/>
                          <w:tabs>
                            <w:tab w:pos="1550" w:val="left" w:leader="none"/>
                          </w:tabs>
                          <w:spacing w:before="32"/>
                          <w:ind w:left="375"/>
                          <w:rPr>
                            <w:sz w:val="18"/>
                          </w:rPr>
                        </w:pPr>
                        <w:r>
                          <w:rPr>
                            <w:color w:val="231F20"/>
                            <w:sz w:val="18"/>
                          </w:rPr>
                          <w:t>1,136</w:t>
                          <w:tab/>
                          <w:t>(735)</w:t>
                        </w:r>
                      </w:p>
                    </w:tc>
                    <w:tc>
                      <w:tcPr>
                        <w:tcW w:w="760" w:type="dxa"/>
                        <w:tcBorders>
                          <w:bottom w:val="single" w:sz="4" w:space="0" w:color="231F20"/>
                        </w:tcBorders>
                        <w:shd w:val="clear" w:color="auto" w:fill="CCECFC"/>
                      </w:tcPr>
                      <w:p>
                        <w:pPr>
                          <w:pStyle w:val="TableParagraph"/>
                          <w:spacing w:before="32"/>
                          <w:ind w:right="107"/>
                          <w:jc w:val="right"/>
                          <w:rPr>
                            <w:sz w:val="18"/>
                          </w:rPr>
                        </w:pPr>
                        <w:r>
                          <w:rPr>
                            <w:color w:val="231F20"/>
                            <w:sz w:val="18"/>
                          </w:rPr>
                          <w:t>—</w:t>
                        </w:r>
                      </w:p>
                    </w:tc>
                    <w:tc>
                      <w:tcPr>
                        <w:tcW w:w="830" w:type="dxa"/>
                        <w:tcBorders>
                          <w:bottom w:val="single" w:sz="4" w:space="0" w:color="231F20"/>
                        </w:tcBorders>
                        <w:shd w:val="clear" w:color="auto" w:fill="CCECFC"/>
                      </w:tcPr>
                      <w:p>
                        <w:pPr>
                          <w:pStyle w:val="TableParagraph"/>
                          <w:spacing w:before="32"/>
                          <w:ind w:right="58"/>
                          <w:jc w:val="right"/>
                          <w:rPr>
                            <w:sz w:val="18"/>
                          </w:rPr>
                        </w:pPr>
                        <w:r>
                          <w:rPr>
                            <w:color w:val="231F20"/>
                            <w:sz w:val="18"/>
                          </w:rPr>
                          <w:t>401</w:t>
                        </w:r>
                      </w:p>
                    </w:tc>
                  </w:tr>
                  <w:tr>
                    <w:trPr>
                      <w:trHeight w:val="320" w:hRule="exact"/>
                    </w:trPr>
                    <w:tc>
                      <w:tcPr>
                        <w:tcW w:w="4499" w:type="dxa"/>
                      </w:tcPr>
                      <w:p>
                        <w:pPr>
                          <w:pStyle w:val="TableParagraph"/>
                          <w:tabs>
                            <w:tab w:pos="3658" w:val="left" w:leader="none"/>
                            <w:tab w:pos="4108" w:val="left" w:leader="none"/>
                          </w:tabs>
                          <w:spacing w:before="27"/>
                          <w:ind w:right="58"/>
                          <w:jc w:val="right"/>
                          <w:rPr>
                            <w:sz w:val="18"/>
                          </w:rPr>
                        </w:pPr>
                        <w:r>
                          <w:rPr>
                            <w:color w:val="231F20"/>
                            <w:sz w:val="18"/>
                          </w:rPr>
                          <w:t>Balance at December 31, 2014</w:t>
                          <w:tab/>
                          <w:t>$</w:t>
                          <w:tab/>
                          <w:t>808</w:t>
                        </w:r>
                      </w:p>
                    </w:tc>
                    <w:tc>
                      <w:tcPr>
                        <w:tcW w:w="920" w:type="dxa"/>
                        <w:tcBorders>
                          <w:top w:val="single" w:sz="4" w:space="0" w:color="231F20"/>
                          <w:bottom w:val="single" w:sz="4" w:space="0" w:color="231F20"/>
                        </w:tcBorders>
                      </w:tcPr>
                      <w:p>
                        <w:pPr>
                          <w:pStyle w:val="TableParagraph"/>
                          <w:tabs>
                            <w:tab w:pos="334" w:val="left" w:leader="none"/>
                          </w:tabs>
                          <w:spacing w:before="22"/>
                          <w:ind w:right="97"/>
                          <w:jc w:val="right"/>
                          <w:rPr>
                            <w:sz w:val="18"/>
                          </w:rPr>
                        </w:pPr>
                        <w:r>
                          <w:rPr>
                            <w:color w:val="231F20"/>
                            <w:sz w:val="18"/>
                          </w:rPr>
                          <w:t>$</w:t>
                          <w:tab/>
                        </w:r>
                        <w:r>
                          <w:rPr>
                            <w:color w:val="231F20"/>
                            <w:spacing w:val="-1"/>
                            <w:sz w:val="18"/>
                          </w:rPr>
                          <w:t>1,315</w:t>
                        </w:r>
                      </w:p>
                    </w:tc>
                    <w:tc>
                      <w:tcPr>
                        <w:tcW w:w="2111" w:type="dxa"/>
                        <w:gridSpan w:val="2"/>
                      </w:tcPr>
                      <w:p>
                        <w:pPr>
                          <w:pStyle w:val="TableParagraph"/>
                          <w:tabs>
                            <w:tab w:pos="374" w:val="left" w:leader="none"/>
                            <w:tab w:pos="1550" w:val="left" w:leader="none"/>
                          </w:tabs>
                          <w:spacing w:before="27"/>
                          <w:ind w:left="40"/>
                          <w:rPr>
                            <w:sz w:val="18"/>
                          </w:rPr>
                        </w:pPr>
                        <w:r>
                          <w:rPr>
                            <w:color w:val="231F20"/>
                            <w:sz w:val="18"/>
                          </w:rPr>
                          <w:t>$</w:t>
                          <w:tab/>
                          <w:t>7,416  </w:t>
                        </w:r>
                        <w:r>
                          <w:rPr>
                            <w:color w:val="231F20"/>
                            <w:spacing w:val="5"/>
                            <w:sz w:val="18"/>
                          </w:rPr>
                          <w:t> </w:t>
                        </w:r>
                        <w:r>
                          <w:rPr>
                            <w:color w:val="231F20"/>
                            <w:sz w:val="18"/>
                          </w:rPr>
                          <w:t>$</w:t>
                          <w:tab/>
                          <w:t>(738)</w:t>
                        </w:r>
                        <w:r>
                          <w:rPr>
                            <w:color w:val="231F20"/>
                            <w:spacing w:val="35"/>
                            <w:sz w:val="18"/>
                          </w:rPr>
                          <w:t> </w:t>
                        </w:r>
                        <w:r>
                          <w:rPr>
                            <w:color w:val="231F20"/>
                            <w:sz w:val="18"/>
                          </w:rPr>
                          <w:t>$</w:t>
                        </w:r>
                      </w:p>
                    </w:tc>
                    <w:tc>
                      <w:tcPr>
                        <w:tcW w:w="760" w:type="dxa"/>
                        <w:tcBorders>
                          <w:top w:val="single" w:sz="4" w:space="0" w:color="231F20"/>
                          <w:bottom w:val="single" w:sz="4" w:space="0" w:color="231F20"/>
                        </w:tcBorders>
                      </w:tcPr>
                      <w:p>
                        <w:pPr>
                          <w:pStyle w:val="TableParagraph"/>
                          <w:spacing w:before="22"/>
                          <w:ind w:right="48"/>
                          <w:jc w:val="right"/>
                          <w:rPr>
                            <w:sz w:val="18"/>
                          </w:rPr>
                        </w:pPr>
                        <w:r>
                          <w:rPr>
                            <w:color w:val="231F20"/>
                            <w:sz w:val="18"/>
                          </w:rPr>
                          <w:t>(2,026)</w:t>
                        </w:r>
                      </w:p>
                    </w:tc>
                    <w:tc>
                      <w:tcPr>
                        <w:tcW w:w="830" w:type="dxa"/>
                        <w:tcBorders>
                          <w:top w:val="single" w:sz="4" w:space="0" w:color="231F20"/>
                          <w:bottom w:val="single" w:sz="4" w:space="0" w:color="231F20"/>
                        </w:tcBorders>
                      </w:tcPr>
                      <w:p>
                        <w:pPr>
                          <w:pStyle w:val="TableParagraph"/>
                          <w:tabs>
                            <w:tab w:pos="314" w:val="left" w:leader="none"/>
                          </w:tabs>
                          <w:spacing w:before="37"/>
                          <w:ind w:right="59"/>
                          <w:jc w:val="right"/>
                          <w:rPr>
                            <w:sz w:val="18"/>
                          </w:rPr>
                        </w:pPr>
                        <w:r>
                          <w:rPr>
                            <w:color w:val="231F20"/>
                            <w:sz w:val="18"/>
                          </w:rPr>
                          <w:t>$</w:t>
                          <w:tab/>
                        </w:r>
                        <w:r>
                          <w:rPr>
                            <w:color w:val="231F20"/>
                            <w:spacing w:val="-1"/>
                            <w:sz w:val="18"/>
                          </w:rPr>
                          <w:t>6,775</w:t>
                        </w:r>
                      </w:p>
                    </w:tc>
                  </w:tr>
                </w:tbl>
                <w:p>
                  <w:pPr>
                    <w:pStyle w:val="BodyText"/>
                  </w:pPr>
                </w:p>
              </w:txbxContent>
            </v:textbox>
            <w10:wrap type="none"/>
          </v:shape>
        </w:pict>
      </w:r>
      <w:r>
        <w:rPr>
          <w:b/>
          <w:color w:val="231F20"/>
          <w:sz w:val="16"/>
        </w:rPr>
        <w:t>Year ended December 31, 2014, 2013, and 2012</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7"/>
        <w:rPr>
          <w:b/>
          <w:sz w:val="14"/>
        </w:rPr>
      </w:pPr>
    </w:p>
    <w:p>
      <w:pPr>
        <w:spacing w:line="556" w:lineRule="auto" w:before="0"/>
        <w:ind w:left="520" w:right="6370" w:firstLine="0"/>
        <w:jc w:val="left"/>
        <w:rPr>
          <w:sz w:val="18"/>
        </w:rPr>
      </w:pPr>
      <w:r>
        <w:rPr>
          <w:color w:val="231F20"/>
          <w:sz w:val="18"/>
        </w:rPr>
        <w:t>pursuant to Employee stock plans exercised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556" w:lineRule="auto" w:before="160"/>
        <w:ind w:left="520" w:right="6370" w:firstLine="0"/>
        <w:jc w:val="left"/>
        <w:rPr>
          <w:sz w:val="18"/>
        </w:rPr>
      </w:pPr>
      <w:r>
        <w:rPr>
          <w:color w:val="231F20"/>
          <w:sz w:val="18"/>
        </w:rPr>
        <w:t>pursuant to Employee stock plans exercised</w:t>
      </w:r>
    </w:p>
    <w:p>
      <w:pPr>
        <w:pStyle w:val="BodyText"/>
        <w:rPr>
          <w:sz w:val="20"/>
        </w:rPr>
      </w:pPr>
    </w:p>
    <w:p>
      <w:pPr>
        <w:pStyle w:val="BodyText"/>
        <w:spacing w:before="3"/>
        <w:rPr>
          <w:sz w:val="24"/>
        </w:rPr>
      </w:pPr>
      <w:r>
        <w:rPr/>
        <w:pict>
          <v:line style="position:absolute;mso-position-horizontal-relative:page;mso-position-vertical-relative:paragraph;z-index:3496;mso-wrap-distance-left:0;mso-wrap-distance-right:0" from="341.950012pt,16.158215pt" to="381.950012pt,16.158215pt" stroked="true" strokeweight=".5pt" strokecolor="#231f20">
            <v:stroke dashstyle="solid"/>
            <w10:wrap type="topAndBottom"/>
          </v:line>
        </w:pict>
      </w:r>
      <w:r>
        <w:rPr/>
        <w:pict>
          <v:line style="position:absolute;mso-position-horizontal-relative:page;mso-position-vertical-relative:paragraph;z-index:3520;mso-wrap-distance-left:0;mso-wrap-distance-right:0" from="385.950012pt,16.158215pt" to="437.000012pt,16.158215pt" stroked="true" strokeweight=".5pt" strokecolor="#231f20">
            <v:stroke dashstyle="solid"/>
            <w10:wrap type="topAndBottom"/>
          </v:line>
        </w:pict>
      </w:r>
      <w:r>
        <w:rPr/>
        <w:pict>
          <v:line style="position:absolute;mso-position-horizontal-relative:page;mso-position-vertical-relative:paragraph;z-index:3544;mso-wrap-distance-left:0;mso-wrap-distance-right:0" from="341.950012pt,30.158215pt" to="381.950012pt,30.158215pt" stroked="true" strokeweight=".5pt" strokecolor="#231f20">
            <v:stroke dashstyle="solid"/>
            <w10:wrap type="topAndBottom"/>
          </v:line>
        </w:pict>
      </w:r>
      <w:r>
        <w:rPr/>
        <w:pict>
          <v:line style="position:absolute;mso-position-horizontal-relative:page;mso-position-vertical-relative:paragraph;z-index:3568;mso-wrap-distance-left:0;mso-wrap-distance-right:0" from="385.950012pt,30.158215pt" to="437.000012pt,30.158215pt" stroked="true" strokeweight=".5pt" strokecolor="#231f20">
            <v:stroke dashstyle="solid"/>
            <w10:wrap type="topAndBottom"/>
          </v:line>
        </w:pict>
      </w:r>
    </w:p>
    <w:p>
      <w:pPr>
        <w:pStyle w:val="BodyText"/>
        <w:spacing w:before="6"/>
        <w:rPr>
          <w:sz w:val="17"/>
        </w:rPr>
      </w:pPr>
    </w:p>
    <w:p>
      <w:pPr>
        <w:pStyle w:val="BodyText"/>
        <w:rPr>
          <w:sz w:val="20"/>
        </w:rPr>
      </w:pPr>
    </w:p>
    <w:p>
      <w:pPr>
        <w:pStyle w:val="BodyText"/>
        <w:spacing w:before="11"/>
        <w:rPr>
          <w:sz w:val="21"/>
        </w:rPr>
      </w:pPr>
    </w:p>
    <w:p>
      <w:pPr>
        <w:spacing w:line="556" w:lineRule="auto" w:before="0"/>
        <w:ind w:left="520" w:right="6370" w:firstLine="0"/>
        <w:jc w:val="left"/>
        <w:rPr>
          <w:sz w:val="18"/>
        </w:rPr>
      </w:pPr>
      <w:r>
        <w:rPr>
          <w:color w:val="231F20"/>
          <w:sz w:val="18"/>
        </w:rPr>
        <w:t>pursuant to Employee stock plans exercised</w:t>
      </w:r>
    </w:p>
    <w:p>
      <w:pPr>
        <w:pStyle w:val="BodyText"/>
        <w:rPr>
          <w:sz w:val="20"/>
        </w:rPr>
      </w:pPr>
    </w:p>
    <w:p>
      <w:pPr>
        <w:pStyle w:val="BodyText"/>
        <w:spacing w:before="2"/>
        <w:rPr>
          <w:sz w:val="24"/>
        </w:rPr>
      </w:pPr>
      <w:r>
        <w:rPr/>
        <w:pict>
          <v:line style="position:absolute;mso-position-horizontal-relative:page;mso-position-vertical-relative:paragraph;z-index:3592;mso-wrap-distance-left:0;mso-wrap-distance-right:0" from="341.950012pt,16.12517pt" to="381.950012pt,16.12517pt" stroked="true" strokeweight=".5pt" strokecolor="#231f20">
            <v:stroke dashstyle="solid"/>
            <w10:wrap type="topAndBottom"/>
          </v:line>
        </w:pict>
      </w:r>
      <w:r>
        <w:rPr/>
        <w:pict>
          <v:line style="position:absolute;mso-position-horizontal-relative:page;mso-position-vertical-relative:paragraph;z-index:3616;mso-wrap-distance-left:0;mso-wrap-distance-right:0" from="385.950012pt,16.12517pt" to="437.000012pt,16.12517pt" stroked="true" strokeweight=".5pt" strokecolor="#231f20">
            <v:stroke dashstyle="solid"/>
            <w10:wrap type="topAndBottom"/>
          </v:line>
        </w:pict>
      </w:r>
      <w:r>
        <w:rPr/>
        <w:pict>
          <v:line style="position:absolute;mso-position-horizontal-relative:page;mso-position-vertical-relative:paragraph;z-index:3640;mso-wrap-distance-left:0;mso-wrap-distance-right:0" from="254.949997pt,30.12517pt" to="293.949997pt,30.12517pt" stroked="true" strokeweight=".5pt" strokecolor="#231f20">
            <v:stroke dashstyle="solid"/>
            <w10:wrap type="topAndBottom"/>
          </v:line>
        </w:pict>
      </w:r>
      <w:r>
        <w:rPr/>
        <w:pict>
          <v:line style="position:absolute;mso-position-horizontal-relative:page;mso-position-vertical-relative:paragraph;z-index:3664;mso-wrap-distance-left:0;mso-wrap-distance-right:0" from="297.950012pt,30.12517pt" to="337.950012pt,30.12517pt" stroked="true" strokeweight=".5pt" strokecolor="#231f20">
            <v:stroke dashstyle="solid"/>
            <w10:wrap type="topAndBottom"/>
          </v:line>
        </w:pict>
      </w:r>
      <w:r>
        <w:rPr/>
        <w:pict>
          <v:group style="position:absolute;margin-left:341.700012pt;margin-top:29.87517pt;width:40.5pt;height:2.5pt;mso-position-horizontal-relative:page;mso-position-vertical-relative:paragraph;z-index:3688;mso-wrap-distance-left:0;mso-wrap-distance-right:0" coordorigin="6834,598" coordsize="810,50">
            <v:line style="position:absolute" from="6839,603" to="7639,603" stroked="true" strokeweight=".5pt" strokecolor="#231f20">
              <v:stroke dashstyle="solid"/>
            </v:line>
            <v:line style="position:absolute" from="6839,643" to="7639,643" stroked="true" strokeweight=".5pt" strokecolor="#231f20">
              <v:stroke dashstyle="solid"/>
            </v:line>
            <w10:wrap type="topAndBottom"/>
          </v:group>
        </w:pict>
      </w:r>
      <w:r>
        <w:rPr/>
        <w:pict>
          <v:group style="position:absolute;margin-left:385.700012pt;margin-top:29.87517pt;width:51.55pt;height:2.5pt;mso-position-horizontal-relative:page;mso-position-vertical-relative:paragraph;z-index:3712;mso-wrap-distance-left:0;mso-wrap-distance-right:0" coordorigin="7714,598" coordsize="1031,50">
            <v:line style="position:absolute" from="7719,603" to="8740,603" stroked="true" strokeweight=".5pt" strokecolor="#231f20">
              <v:stroke dashstyle="solid"/>
            </v:line>
            <v:line style="position:absolute" from="7719,643" to="8740,643" stroked="true" strokeweight=".5pt" strokecolor="#231f20">
              <v:stroke dashstyle="solid"/>
            </v:line>
            <w10:wrap type="topAndBottom"/>
          </v:group>
        </w:pict>
      </w:r>
      <w:r>
        <w:rPr/>
        <w:pict>
          <v:line style="position:absolute;mso-position-horizontal-relative:page;mso-position-vertical-relative:paragraph;z-index:3736;mso-wrap-distance-left:0;mso-wrap-distance-right:0" from="441pt,30.12517pt" to="481pt,30.12517pt" stroked="true" strokeweight=".5pt" strokecolor="#231f20">
            <v:stroke dashstyle="solid"/>
            <w10:wrap type="topAndBottom"/>
          </v:line>
        </w:pict>
      </w:r>
      <w:r>
        <w:rPr/>
        <w:pict>
          <v:line style="position:absolute;mso-position-horizontal-relative:page;mso-position-vertical-relative:paragraph;z-index:3760;mso-wrap-distance-left:0;mso-wrap-distance-right:0" from="486pt,30.12517pt" to="525pt,30.12517pt" stroked="true" strokeweight=".5pt" strokecolor="#231f20">
            <v:stroke dashstyle="solid"/>
            <w10:wrap type="topAndBottom"/>
          </v:line>
        </w:pict>
      </w:r>
    </w:p>
    <w:p>
      <w:pPr>
        <w:pStyle w:val="BodyText"/>
        <w:spacing w:before="6"/>
        <w:rPr>
          <w:sz w:val="17"/>
        </w:rPr>
      </w:pPr>
    </w:p>
    <w:p>
      <w:pPr>
        <w:spacing w:before="143"/>
        <w:ind w:left="820" w:right="0" w:firstLine="0"/>
        <w:jc w:val="left"/>
        <w:rPr>
          <w:sz w:val="18"/>
        </w:rPr>
      </w:pP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60" w:right="179" w:firstLine="0"/>
        <w:jc w:val="center"/>
        <w:rPr>
          <w:b/>
          <w:sz w:val="18"/>
        </w:rPr>
      </w:pPr>
      <w:bookmarkStart w:name="Southwest Airlines Co. Consolidated Stat" w:id="22"/>
      <w:bookmarkEnd w:id="22"/>
      <w:r>
        <w:rPr/>
      </w:r>
      <w:r>
        <w:rPr>
          <w:b/>
          <w:color w:val="231F20"/>
          <w:sz w:val="18"/>
        </w:rPr>
        <w:t>Southwest Airlines Co.</w:t>
      </w:r>
    </w:p>
    <w:p>
      <w:pPr>
        <w:spacing w:before="13"/>
        <w:ind w:left="160" w:right="178" w:firstLine="0"/>
        <w:jc w:val="center"/>
        <w:rPr>
          <w:b/>
          <w:sz w:val="18"/>
        </w:rPr>
      </w:pPr>
      <w:r>
        <w:rPr>
          <w:b/>
          <w:color w:val="231F20"/>
          <w:sz w:val="18"/>
        </w:rPr>
        <w:t>Consolidated Statement of Cash Flows</w:t>
      </w:r>
    </w:p>
    <w:p>
      <w:pPr>
        <w:spacing w:before="13"/>
        <w:ind w:left="160" w:right="178" w:firstLine="0"/>
        <w:jc w:val="center"/>
        <w:rPr>
          <w:sz w:val="18"/>
        </w:rPr>
      </w:pPr>
      <w:r>
        <w:rPr>
          <w:color w:val="231F20"/>
          <w:sz w:val="18"/>
        </w:rPr>
        <w:t>(in millions)</w:t>
      </w:r>
    </w:p>
    <w:p>
      <w:pPr>
        <w:pStyle w:val="BodyText"/>
        <w:spacing w:before="4"/>
        <w:rPr>
          <w:sz w:val="13"/>
        </w:rPr>
      </w:pPr>
    </w:p>
    <w:p>
      <w:pPr>
        <w:tabs>
          <w:tab w:pos="7819" w:val="left" w:leader="none"/>
          <w:tab w:pos="8699" w:val="left" w:leader="none"/>
        </w:tabs>
        <w:spacing w:line="302" w:lineRule="auto" w:before="99"/>
        <w:ind w:left="6940" w:right="279" w:firstLine="70"/>
        <w:jc w:val="left"/>
        <w:rPr>
          <w:b/>
          <w:sz w:val="18"/>
        </w:rPr>
      </w:pPr>
      <w:r>
        <w:rPr/>
        <w:pict>
          <v:line style="position:absolute;mso-position-horizontal-relative:page;mso-position-vertical-relative:paragraph;z-index:-406000" from="403pt,16.852345pt" to="525pt,16.852345pt" stroked="true" strokeweight="1pt" strokecolor="#231f20">
            <v:stroke dashstyle="solid"/>
            <w10:wrap type="none"/>
          </v:line>
        </w:pict>
      </w:r>
      <w:r>
        <w:rPr/>
        <w:pict>
          <v:line style="position:absolute;mso-position-horizontal-relative:page;mso-position-vertical-relative:paragraph;z-index:-405976" from="403pt,29.852345pt" to="437pt,29.852345pt" stroked="true" strokeweight="1pt" strokecolor="#231f20">
            <v:stroke dashstyle="solid"/>
            <w10:wrap type="none"/>
          </v:line>
        </w:pict>
      </w:r>
      <w:r>
        <w:rPr/>
        <w:pict>
          <v:line style="position:absolute;mso-position-horizontal-relative:page;mso-position-vertical-relative:paragraph;z-index:-405952" from="447pt,29.852345pt" to="481pt,29.852345pt" stroked="true" strokeweight="1pt" strokecolor="#231f20">
            <v:stroke dashstyle="solid"/>
            <w10:wrap type="none"/>
          </v:line>
        </w:pict>
      </w:r>
      <w:r>
        <w:rPr/>
        <w:pict>
          <v:line style="position:absolute;mso-position-horizontal-relative:page;mso-position-vertical-relative:paragraph;z-index:-405928" from="491pt,29.852345pt" to="525pt,29.852345pt" stroked="true" strokeweight="1pt" strokecolor="#231f20">
            <v:stroke dashstyle="solid"/>
            <w10:wrap type="none"/>
          </v:line>
        </w:pict>
      </w:r>
      <w:r>
        <w:rPr/>
        <w:pict>
          <v:shape style="position:absolute;margin-left:69pt;margin-top:43.961342pt;width:456pt;height:460.9pt;mso-position-horizontal-relative:page;mso-position-vertical-relative:paragraph;z-index:395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80"/>
                    <w:gridCol w:w="680"/>
                    <w:gridCol w:w="100"/>
                    <w:gridCol w:w="100"/>
                    <w:gridCol w:w="680"/>
                    <w:gridCol w:w="100"/>
                    <w:gridCol w:w="100"/>
                    <w:gridCol w:w="680"/>
                  </w:tblGrid>
                  <w:tr>
                    <w:trPr>
                      <w:trHeight w:val="222" w:hRule="exact"/>
                    </w:trPr>
                    <w:tc>
                      <w:tcPr>
                        <w:tcW w:w="6680" w:type="dxa"/>
                      </w:tcPr>
                      <w:p>
                        <w:pPr>
                          <w:pStyle w:val="TableParagraph"/>
                          <w:spacing w:line="201" w:lineRule="exact" w:before="0"/>
                          <w:ind w:left="240"/>
                          <w:rPr>
                            <w:sz w:val="18"/>
                          </w:rPr>
                        </w:pPr>
                        <w:r>
                          <w:rPr>
                            <w:color w:val="231F20"/>
                            <w:sz w:val="18"/>
                          </w:rPr>
                          <w:t>Net income</w:t>
                        </w:r>
                      </w:p>
                    </w:tc>
                    <w:tc>
                      <w:tcPr>
                        <w:tcW w:w="780" w:type="dxa"/>
                        <w:gridSpan w:val="2"/>
                      </w:tcPr>
                      <w:p>
                        <w:pPr>
                          <w:pStyle w:val="TableParagraph"/>
                          <w:spacing w:line="201" w:lineRule="exact" w:before="0"/>
                          <w:ind w:left="-1"/>
                          <w:rPr>
                            <w:sz w:val="18"/>
                          </w:rPr>
                        </w:pPr>
                        <w:r>
                          <w:rPr>
                            <w:color w:val="231F20"/>
                            <w:sz w:val="18"/>
                          </w:rPr>
                          <w:t>$  1,136</w:t>
                        </w:r>
                      </w:p>
                    </w:tc>
                    <w:tc>
                      <w:tcPr>
                        <w:tcW w:w="100" w:type="dxa"/>
                      </w:tcPr>
                      <w:p>
                        <w:pPr/>
                      </w:p>
                    </w:tc>
                    <w:tc>
                      <w:tcPr>
                        <w:tcW w:w="780" w:type="dxa"/>
                        <w:gridSpan w:val="2"/>
                      </w:tcPr>
                      <w:p>
                        <w:pPr>
                          <w:pStyle w:val="TableParagraph"/>
                          <w:tabs>
                            <w:tab w:pos="349" w:val="left" w:leader="none"/>
                          </w:tabs>
                          <w:spacing w:line="201" w:lineRule="exact" w:before="0"/>
                          <w:rPr>
                            <w:sz w:val="18"/>
                          </w:rPr>
                        </w:pPr>
                        <w:r>
                          <w:rPr>
                            <w:color w:val="231F20"/>
                            <w:sz w:val="18"/>
                          </w:rPr>
                          <w:t>$</w:t>
                          <w:tab/>
                          <w:t>754</w:t>
                        </w:r>
                      </w:p>
                    </w:tc>
                    <w:tc>
                      <w:tcPr>
                        <w:tcW w:w="100" w:type="dxa"/>
                      </w:tcPr>
                      <w:p>
                        <w:pPr/>
                      </w:p>
                    </w:tc>
                    <w:tc>
                      <w:tcPr>
                        <w:tcW w:w="680" w:type="dxa"/>
                      </w:tcPr>
                      <w:p>
                        <w:pPr>
                          <w:pStyle w:val="TableParagraph"/>
                          <w:tabs>
                            <w:tab w:pos="349" w:val="left" w:leader="none"/>
                          </w:tabs>
                          <w:spacing w:line="201" w:lineRule="exact" w:before="0"/>
                          <w:rPr>
                            <w:sz w:val="18"/>
                          </w:rPr>
                        </w:pPr>
                        <w:r>
                          <w:rPr>
                            <w:color w:val="231F20"/>
                            <w:sz w:val="18"/>
                          </w:rPr>
                          <w:t>$</w:t>
                          <w:tab/>
                          <w:t>421</w:t>
                        </w:r>
                      </w:p>
                    </w:tc>
                  </w:tr>
                  <w:tr>
                    <w:trPr>
                      <w:trHeight w:val="238" w:hRule="exact"/>
                    </w:trPr>
                    <w:tc>
                      <w:tcPr>
                        <w:tcW w:w="6680" w:type="dxa"/>
                        <w:shd w:val="clear" w:color="auto" w:fill="CCECFC"/>
                      </w:tcPr>
                      <w:p>
                        <w:pPr>
                          <w:pStyle w:val="TableParagraph"/>
                          <w:spacing w:before="10"/>
                          <w:ind w:left="240"/>
                          <w:rPr>
                            <w:sz w:val="18"/>
                          </w:rPr>
                        </w:pPr>
                        <w:r>
                          <w:rPr>
                            <w:color w:val="231F20"/>
                            <w:sz w:val="18"/>
                          </w:rPr>
                          <w:t>Adjustments to reconcile net income to cash provided by operating activities:</w:t>
                        </w:r>
                      </w:p>
                    </w:tc>
                    <w:tc>
                      <w:tcPr>
                        <w:tcW w:w="780" w:type="dxa"/>
                        <w:gridSpan w:val="2"/>
                        <w:shd w:val="clear" w:color="auto" w:fill="CCECFC"/>
                      </w:tcPr>
                      <w:p>
                        <w:pPr/>
                      </w:p>
                    </w:tc>
                    <w:tc>
                      <w:tcPr>
                        <w:tcW w:w="100" w:type="dxa"/>
                        <w:shd w:val="clear" w:color="auto" w:fill="CCECFC"/>
                      </w:tcPr>
                      <w:p>
                        <w:pPr/>
                      </w:p>
                    </w:tc>
                    <w:tc>
                      <w:tcPr>
                        <w:tcW w:w="780" w:type="dxa"/>
                        <w:gridSpan w:val="2"/>
                        <w:shd w:val="clear" w:color="auto" w:fill="CCECFC"/>
                      </w:tcPr>
                      <w:p>
                        <w:pPr/>
                      </w:p>
                    </w:tc>
                    <w:tc>
                      <w:tcPr>
                        <w:tcW w:w="100" w:type="dxa"/>
                        <w:shd w:val="clear" w:color="auto" w:fill="CCECFC"/>
                      </w:tcPr>
                      <w:p>
                        <w:pPr/>
                      </w:p>
                    </w:tc>
                    <w:tc>
                      <w:tcPr>
                        <w:tcW w:w="680" w:type="dxa"/>
                        <w:shd w:val="clear" w:color="auto" w:fill="CCECFC"/>
                      </w:tcPr>
                      <w:p>
                        <w:pPr/>
                      </w:p>
                    </w:tc>
                  </w:tr>
                  <w:tr>
                    <w:trPr>
                      <w:trHeight w:val="238" w:hRule="exact"/>
                    </w:trPr>
                    <w:tc>
                      <w:tcPr>
                        <w:tcW w:w="6680" w:type="dxa"/>
                      </w:tcPr>
                      <w:p>
                        <w:pPr>
                          <w:pStyle w:val="TableParagraph"/>
                          <w:spacing w:before="10"/>
                          <w:ind w:left="240"/>
                          <w:rPr>
                            <w:sz w:val="18"/>
                          </w:rPr>
                        </w:pPr>
                        <w:r>
                          <w:rPr>
                            <w:color w:val="231F20"/>
                            <w:sz w:val="18"/>
                          </w:rPr>
                          <w:t>Depreciation and amortization</w:t>
                        </w:r>
                      </w:p>
                    </w:tc>
                    <w:tc>
                      <w:tcPr>
                        <w:tcW w:w="780" w:type="dxa"/>
                        <w:gridSpan w:val="2"/>
                      </w:tcPr>
                      <w:p>
                        <w:pPr>
                          <w:pStyle w:val="TableParagraph"/>
                          <w:spacing w:before="10"/>
                          <w:ind w:left="349"/>
                          <w:rPr>
                            <w:sz w:val="18"/>
                          </w:rPr>
                        </w:pPr>
                        <w:r>
                          <w:rPr>
                            <w:color w:val="231F20"/>
                            <w:sz w:val="18"/>
                          </w:rPr>
                          <w:t>938</w:t>
                        </w:r>
                      </w:p>
                    </w:tc>
                    <w:tc>
                      <w:tcPr>
                        <w:tcW w:w="100" w:type="dxa"/>
                      </w:tcPr>
                      <w:p>
                        <w:pPr/>
                      </w:p>
                    </w:tc>
                    <w:tc>
                      <w:tcPr>
                        <w:tcW w:w="780" w:type="dxa"/>
                        <w:gridSpan w:val="2"/>
                      </w:tcPr>
                      <w:p>
                        <w:pPr>
                          <w:pStyle w:val="TableParagraph"/>
                          <w:spacing w:before="10"/>
                          <w:ind w:left="350"/>
                          <w:rPr>
                            <w:sz w:val="18"/>
                          </w:rPr>
                        </w:pPr>
                        <w:r>
                          <w:rPr>
                            <w:color w:val="231F20"/>
                            <w:sz w:val="18"/>
                          </w:rPr>
                          <w:t>867</w:t>
                        </w:r>
                      </w:p>
                    </w:tc>
                    <w:tc>
                      <w:tcPr>
                        <w:tcW w:w="100" w:type="dxa"/>
                      </w:tcPr>
                      <w:p>
                        <w:pPr/>
                      </w:p>
                    </w:tc>
                    <w:tc>
                      <w:tcPr>
                        <w:tcW w:w="680" w:type="dxa"/>
                      </w:tcPr>
                      <w:p>
                        <w:pPr>
                          <w:pStyle w:val="TableParagraph"/>
                          <w:spacing w:before="10"/>
                          <w:ind w:left="350"/>
                          <w:rPr>
                            <w:sz w:val="18"/>
                          </w:rPr>
                        </w:pPr>
                        <w:r>
                          <w:rPr>
                            <w:color w:val="231F20"/>
                            <w:sz w:val="18"/>
                          </w:rPr>
                          <w:t>844</w:t>
                        </w:r>
                      </w:p>
                    </w:tc>
                  </w:tr>
                  <w:tr>
                    <w:trPr>
                      <w:trHeight w:val="238" w:hRule="exact"/>
                    </w:trPr>
                    <w:tc>
                      <w:tcPr>
                        <w:tcW w:w="6680" w:type="dxa"/>
                        <w:shd w:val="clear" w:color="auto" w:fill="CCECFC"/>
                      </w:tcPr>
                      <w:p>
                        <w:pPr>
                          <w:pStyle w:val="TableParagraph"/>
                          <w:spacing w:before="10"/>
                          <w:ind w:left="240"/>
                          <w:rPr>
                            <w:sz w:val="18"/>
                          </w:rPr>
                        </w:pPr>
                        <w:r>
                          <w:rPr>
                            <w:color w:val="231F20"/>
                            <w:sz w:val="18"/>
                          </w:rPr>
                          <w:t>Unrealized (gain) loss on fuel derivative instruments</w:t>
                        </w:r>
                      </w:p>
                    </w:tc>
                    <w:tc>
                      <w:tcPr>
                        <w:tcW w:w="780" w:type="dxa"/>
                        <w:gridSpan w:val="2"/>
                        <w:shd w:val="clear" w:color="auto" w:fill="CCECFC"/>
                      </w:tcPr>
                      <w:p>
                        <w:pPr>
                          <w:pStyle w:val="TableParagraph"/>
                          <w:spacing w:before="10"/>
                          <w:ind w:left="349"/>
                          <w:rPr>
                            <w:sz w:val="18"/>
                          </w:rPr>
                        </w:pPr>
                        <w:r>
                          <w:rPr>
                            <w:color w:val="231F20"/>
                            <w:sz w:val="18"/>
                          </w:rPr>
                          <w:t>279</w:t>
                        </w:r>
                      </w:p>
                    </w:tc>
                    <w:tc>
                      <w:tcPr>
                        <w:tcW w:w="100" w:type="dxa"/>
                        <w:shd w:val="clear" w:color="auto" w:fill="CCECFC"/>
                      </w:tcPr>
                      <w:p>
                        <w:pPr/>
                      </w:p>
                    </w:tc>
                    <w:tc>
                      <w:tcPr>
                        <w:tcW w:w="780" w:type="dxa"/>
                        <w:gridSpan w:val="2"/>
                        <w:shd w:val="clear" w:color="auto" w:fill="CCECFC"/>
                      </w:tcPr>
                      <w:p>
                        <w:pPr>
                          <w:pStyle w:val="TableParagraph"/>
                          <w:spacing w:before="10"/>
                          <w:ind w:left="469"/>
                          <w:rPr>
                            <w:sz w:val="18"/>
                          </w:rPr>
                        </w:pPr>
                        <w:r>
                          <w:rPr>
                            <w:color w:val="231F20"/>
                            <w:sz w:val="18"/>
                          </w:rPr>
                          <w:t>(5)</w:t>
                        </w:r>
                      </w:p>
                    </w:tc>
                    <w:tc>
                      <w:tcPr>
                        <w:tcW w:w="100" w:type="dxa"/>
                        <w:shd w:val="clear" w:color="auto" w:fill="CCECFC"/>
                      </w:tcPr>
                      <w:p>
                        <w:pPr/>
                      </w:p>
                    </w:tc>
                    <w:tc>
                      <w:tcPr>
                        <w:tcW w:w="680" w:type="dxa"/>
                        <w:shd w:val="clear" w:color="auto" w:fill="CCECFC"/>
                      </w:tcPr>
                      <w:p>
                        <w:pPr>
                          <w:pStyle w:val="TableParagraph"/>
                          <w:spacing w:before="10"/>
                          <w:jc w:val="right"/>
                          <w:rPr>
                            <w:sz w:val="18"/>
                          </w:rPr>
                        </w:pPr>
                        <w:r>
                          <w:rPr>
                            <w:color w:val="231F20"/>
                            <w:sz w:val="18"/>
                          </w:rPr>
                          <w:t>(189)</w:t>
                        </w:r>
                      </w:p>
                    </w:tc>
                  </w:tr>
                  <w:tr>
                    <w:trPr>
                      <w:trHeight w:val="238" w:hRule="exact"/>
                    </w:trPr>
                    <w:tc>
                      <w:tcPr>
                        <w:tcW w:w="6680" w:type="dxa"/>
                      </w:tcPr>
                      <w:p>
                        <w:pPr>
                          <w:pStyle w:val="TableParagraph"/>
                          <w:spacing w:before="10"/>
                          <w:ind w:left="240"/>
                          <w:rPr>
                            <w:sz w:val="18"/>
                          </w:rPr>
                        </w:pPr>
                        <w:r>
                          <w:rPr>
                            <w:color w:val="231F20"/>
                            <w:sz w:val="18"/>
                          </w:rPr>
                          <w:t>Deferred income taxes</w:t>
                        </w:r>
                      </w:p>
                    </w:tc>
                    <w:tc>
                      <w:tcPr>
                        <w:tcW w:w="780" w:type="dxa"/>
                        <w:gridSpan w:val="2"/>
                      </w:tcPr>
                      <w:p>
                        <w:pPr>
                          <w:pStyle w:val="TableParagraph"/>
                          <w:spacing w:before="10"/>
                          <w:ind w:left="349"/>
                          <w:rPr>
                            <w:sz w:val="18"/>
                          </w:rPr>
                        </w:pPr>
                        <w:r>
                          <w:rPr>
                            <w:color w:val="231F20"/>
                            <w:sz w:val="18"/>
                          </w:rPr>
                          <w:t>501</w:t>
                        </w:r>
                      </w:p>
                    </w:tc>
                    <w:tc>
                      <w:tcPr>
                        <w:tcW w:w="100" w:type="dxa"/>
                      </w:tcPr>
                      <w:p>
                        <w:pPr/>
                      </w:p>
                    </w:tc>
                    <w:tc>
                      <w:tcPr>
                        <w:tcW w:w="780" w:type="dxa"/>
                        <w:gridSpan w:val="2"/>
                      </w:tcPr>
                      <w:p>
                        <w:pPr>
                          <w:pStyle w:val="TableParagraph"/>
                          <w:spacing w:before="10"/>
                          <w:ind w:left="440"/>
                          <w:rPr>
                            <w:sz w:val="18"/>
                          </w:rPr>
                        </w:pPr>
                        <w:r>
                          <w:rPr>
                            <w:color w:val="231F20"/>
                            <w:sz w:val="18"/>
                          </w:rPr>
                          <w:t>50</w:t>
                        </w:r>
                      </w:p>
                    </w:tc>
                    <w:tc>
                      <w:tcPr>
                        <w:tcW w:w="100" w:type="dxa"/>
                      </w:tcPr>
                      <w:p>
                        <w:pPr/>
                      </w:p>
                    </w:tc>
                    <w:tc>
                      <w:tcPr>
                        <w:tcW w:w="680" w:type="dxa"/>
                      </w:tcPr>
                      <w:p>
                        <w:pPr>
                          <w:pStyle w:val="TableParagraph"/>
                          <w:spacing w:before="10"/>
                          <w:ind w:left="350"/>
                          <w:rPr>
                            <w:sz w:val="18"/>
                          </w:rPr>
                        </w:pPr>
                        <w:r>
                          <w:rPr>
                            <w:color w:val="231F20"/>
                            <w:sz w:val="18"/>
                          </w:rPr>
                          <w:t>251</w:t>
                        </w:r>
                      </w:p>
                    </w:tc>
                  </w:tr>
                  <w:tr>
                    <w:trPr>
                      <w:trHeight w:val="238" w:hRule="exact"/>
                    </w:trPr>
                    <w:tc>
                      <w:tcPr>
                        <w:tcW w:w="6680" w:type="dxa"/>
                        <w:shd w:val="clear" w:color="auto" w:fill="CCECFC"/>
                      </w:tcPr>
                      <w:p>
                        <w:pPr>
                          <w:pStyle w:val="TableParagraph"/>
                          <w:spacing w:before="10"/>
                          <w:ind w:left="240"/>
                          <w:rPr>
                            <w:sz w:val="18"/>
                          </w:rPr>
                        </w:pPr>
                        <w:r>
                          <w:rPr>
                            <w:color w:val="231F20"/>
                            <w:sz w:val="18"/>
                          </w:rPr>
                          <w:t>Changes in certain assets and liabilities:</w:t>
                        </w:r>
                      </w:p>
                    </w:tc>
                    <w:tc>
                      <w:tcPr>
                        <w:tcW w:w="780" w:type="dxa"/>
                        <w:gridSpan w:val="2"/>
                        <w:shd w:val="clear" w:color="auto" w:fill="CCECFC"/>
                      </w:tcPr>
                      <w:p>
                        <w:pPr/>
                      </w:p>
                    </w:tc>
                    <w:tc>
                      <w:tcPr>
                        <w:tcW w:w="100" w:type="dxa"/>
                        <w:shd w:val="clear" w:color="auto" w:fill="CCECFC"/>
                      </w:tcPr>
                      <w:p>
                        <w:pPr/>
                      </w:p>
                    </w:tc>
                    <w:tc>
                      <w:tcPr>
                        <w:tcW w:w="780" w:type="dxa"/>
                        <w:gridSpan w:val="2"/>
                        <w:shd w:val="clear" w:color="auto" w:fill="CCECFC"/>
                      </w:tcPr>
                      <w:p>
                        <w:pPr/>
                      </w:p>
                    </w:tc>
                    <w:tc>
                      <w:tcPr>
                        <w:tcW w:w="100" w:type="dxa"/>
                        <w:shd w:val="clear" w:color="auto" w:fill="CCECFC"/>
                      </w:tcPr>
                      <w:p>
                        <w:pPr/>
                      </w:p>
                    </w:tc>
                    <w:tc>
                      <w:tcPr>
                        <w:tcW w:w="680" w:type="dxa"/>
                        <w:shd w:val="clear" w:color="auto" w:fill="CCECFC"/>
                      </w:tcPr>
                      <w:p>
                        <w:pPr/>
                      </w:p>
                    </w:tc>
                  </w:tr>
                  <w:tr>
                    <w:trPr>
                      <w:trHeight w:val="238" w:hRule="exact"/>
                    </w:trPr>
                    <w:tc>
                      <w:tcPr>
                        <w:tcW w:w="6680" w:type="dxa"/>
                      </w:tcPr>
                      <w:p>
                        <w:pPr>
                          <w:pStyle w:val="TableParagraph"/>
                          <w:spacing w:before="10"/>
                          <w:ind w:left="420"/>
                          <w:rPr>
                            <w:sz w:val="18"/>
                          </w:rPr>
                        </w:pPr>
                        <w:r>
                          <w:rPr>
                            <w:color w:val="231F20"/>
                            <w:sz w:val="18"/>
                          </w:rPr>
                          <w:t>Accounts and other receivables</w:t>
                        </w:r>
                      </w:p>
                    </w:tc>
                    <w:tc>
                      <w:tcPr>
                        <w:tcW w:w="780" w:type="dxa"/>
                        <w:gridSpan w:val="2"/>
                      </w:tcPr>
                      <w:p>
                        <w:pPr>
                          <w:pStyle w:val="TableParagraph"/>
                          <w:spacing w:before="10"/>
                          <w:ind w:left="439"/>
                          <w:rPr>
                            <w:sz w:val="18"/>
                          </w:rPr>
                        </w:pPr>
                        <w:r>
                          <w:rPr>
                            <w:color w:val="231F20"/>
                            <w:sz w:val="18"/>
                          </w:rPr>
                          <w:t>54</w:t>
                        </w:r>
                      </w:p>
                    </w:tc>
                    <w:tc>
                      <w:tcPr>
                        <w:tcW w:w="100" w:type="dxa"/>
                      </w:tcPr>
                      <w:p>
                        <w:pPr/>
                      </w:p>
                    </w:tc>
                    <w:tc>
                      <w:tcPr>
                        <w:tcW w:w="780" w:type="dxa"/>
                        <w:gridSpan w:val="2"/>
                      </w:tcPr>
                      <w:p>
                        <w:pPr>
                          <w:pStyle w:val="TableParagraph"/>
                          <w:spacing w:before="10"/>
                          <w:ind w:left="379"/>
                          <w:rPr>
                            <w:sz w:val="18"/>
                          </w:rPr>
                        </w:pPr>
                        <w:r>
                          <w:rPr>
                            <w:color w:val="231F20"/>
                            <w:sz w:val="18"/>
                          </w:rPr>
                          <w:t>(17)</w:t>
                        </w:r>
                      </w:p>
                    </w:tc>
                    <w:tc>
                      <w:tcPr>
                        <w:tcW w:w="100" w:type="dxa"/>
                      </w:tcPr>
                      <w:p>
                        <w:pPr/>
                      </w:p>
                    </w:tc>
                    <w:tc>
                      <w:tcPr>
                        <w:tcW w:w="680" w:type="dxa"/>
                      </w:tcPr>
                      <w:p>
                        <w:pPr>
                          <w:pStyle w:val="TableParagraph"/>
                          <w:spacing w:before="10"/>
                          <w:jc w:val="right"/>
                          <w:rPr>
                            <w:sz w:val="18"/>
                          </w:rPr>
                        </w:pPr>
                        <w:r>
                          <w:rPr>
                            <w:color w:val="231F20"/>
                            <w:sz w:val="18"/>
                          </w:rPr>
                          <w:t>(33)</w:t>
                        </w:r>
                      </w:p>
                    </w:tc>
                  </w:tr>
                  <w:tr>
                    <w:trPr>
                      <w:trHeight w:val="238" w:hRule="exact"/>
                    </w:trPr>
                    <w:tc>
                      <w:tcPr>
                        <w:tcW w:w="6680" w:type="dxa"/>
                        <w:shd w:val="clear" w:color="auto" w:fill="CCECFC"/>
                      </w:tcPr>
                      <w:p>
                        <w:pPr>
                          <w:pStyle w:val="TableParagraph"/>
                          <w:spacing w:before="10"/>
                          <w:ind w:left="420"/>
                          <w:rPr>
                            <w:sz w:val="18"/>
                          </w:rPr>
                        </w:pPr>
                        <w:r>
                          <w:rPr>
                            <w:color w:val="231F20"/>
                            <w:sz w:val="18"/>
                          </w:rPr>
                          <w:t>Other assets</w:t>
                        </w:r>
                      </w:p>
                    </w:tc>
                    <w:tc>
                      <w:tcPr>
                        <w:tcW w:w="780" w:type="dxa"/>
                        <w:gridSpan w:val="2"/>
                        <w:shd w:val="clear" w:color="auto" w:fill="CCECFC"/>
                      </w:tcPr>
                      <w:p>
                        <w:pPr>
                          <w:pStyle w:val="TableParagraph"/>
                          <w:spacing w:before="10"/>
                          <w:ind w:left="349"/>
                          <w:rPr>
                            <w:sz w:val="18"/>
                          </w:rPr>
                        </w:pPr>
                        <w:r>
                          <w:rPr>
                            <w:color w:val="231F20"/>
                            <w:sz w:val="18"/>
                          </w:rPr>
                          <w:t>142</w:t>
                        </w:r>
                      </w:p>
                    </w:tc>
                    <w:tc>
                      <w:tcPr>
                        <w:tcW w:w="100" w:type="dxa"/>
                        <w:shd w:val="clear" w:color="auto" w:fill="CCECFC"/>
                      </w:tcPr>
                      <w:p>
                        <w:pPr/>
                      </w:p>
                    </w:tc>
                    <w:tc>
                      <w:tcPr>
                        <w:tcW w:w="780" w:type="dxa"/>
                        <w:gridSpan w:val="2"/>
                        <w:shd w:val="clear" w:color="auto" w:fill="CCECFC"/>
                      </w:tcPr>
                      <w:p>
                        <w:pPr>
                          <w:pStyle w:val="TableParagraph"/>
                          <w:spacing w:before="10"/>
                          <w:ind w:left="380"/>
                          <w:rPr>
                            <w:sz w:val="18"/>
                          </w:rPr>
                        </w:pPr>
                        <w:r>
                          <w:rPr>
                            <w:color w:val="231F20"/>
                            <w:sz w:val="18"/>
                          </w:rPr>
                          <w:t>(46)</w:t>
                        </w:r>
                      </w:p>
                    </w:tc>
                    <w:tc>
                      <w:tcPr>
                        <w:tcW w:w="100" w:type="dxa"/>
                        <w:shd w:val="clear" w:color="auto" w:fill="CCECFC"/>
                      </w:tcPr>
                      <w:p>
                        <w:pPr/>
                      </w:p>
                    </w:tc>
                    <w:tc>
                      <w:tcPr>
                        <w:tcW w:w="680" w:type="dxa"/>
                        <w:shd w:val="clear" w:color="auto" w:fill="CCECFC"/>
                      </w:tcPr>
                      <w:p>
                        <w:pPr>
                          <w:pStyle w:val="TableParagraph"/>
                          <w:spacing w:before="10"/>
                          <w:jc w:val="right"/>
                          <w:rPr>
                            <w:sz w:val="18"/>
                          </w:rPr>
                        </w:pPr>
                        <w:r>
                          <w:rPr>
                            <w:color w:val="231F20"/>
                            <w:sz w:val="18"/>
                          </w:rPr>
                          <w:t>(104)</w:t>
                        </w:r>
                      </w:p>
                    </w:tc>
                  </w:tr>
                  <w:tr>
                    <w:trPr>
                      <w:trHeight w:val="238" w:hRule="exact"/>
                    </w:trPr>
                    <w:tc>
                      <w:tcPr>
                        <w:tcW w:w="6680" w:type="dxa"/>
                      </w:tcPr>
                      <w:p>
                        <w:pPr>
                          <w:pStyle w:val="TableParagraph"/>
                          <w:spacing w:before="10"/>
                          <w:ind w:left="420"/>
                          <w:rPr>
                            <w:sz w:val="18"/>
                          </w:rPr>
                        </w:pPr>
                        <w:r>
                          <w:rPr>
                            <w:color w:val="231F20"/>
                            <w:sz w:val="18"/>
                          </w:rPr>
                          <w:t>Accounts payable and accrued liabilities</w:t>
                        </w:r>
                      </w:p>
                    </w:tc>
                    <w:tc>
                      <w:tcPr>
                        <w:tcW w:w="780" w:type="dxa"/>
                        <w:gridSpan w:val="2"/>
                      </w:tcPr>
                      <w:p>
                        <w:pPr>
                          <w:pStyle w:val="TableParagraph"/>
                          <w:spacing w:before="10"/>
                          <w:ind w:left="439"/>
                          <w:rPr>
                            <w:sz w:val="18"/>
                          </w:rPr>
                        </w:pPr>
                        <w:r>
                          <w:rPr>
                            <w:color w:val="231F20"/>
                            <w:sz w:val="18"/>
                          </w:rPr>
                          <w:t>36</w:t>
                        </w:r>
                      </w:p>
                    </w:tc>
                    <w:tc>
                      <w:tcPr>
                        <w:tcW w:w="100" w:type="dxa"/>
                      </w:tcPr>
                      <w:p>
                        <w:pPr/>
                      </w:p>
                    </w:tc>
                    <w:tc>
                      <w:tcPr>
                        <w:tcW w:w="780" w:type="dxa"/>
                        <w:gridSpan w:val="2"/>
                      </w:tcPr>
                      <w:p>
                        <w:pPr>
                          <w:pStyle w:val="TableParagraph"/>
                          <w:spacing w:before="10"/>
                          <w:ind w:left="349"/>
                          <w:rPr>
                            <w:sz w:val="18"/>
                          </w:rPr>
                        </w:pPr>
                        <w:r>
                          <w:rPr>
                            <w:color w:val="231F20"/>
                            <w:sz w:val="18"/>
                          </w:rPr>
                          <w:t>343</w:t>
                        </w:r>
                      </w:p>
                    </w:tc>
                    <w:tc>
                      <w:tcPr>
                        <w:tcW w:w="100" w:type="dxa"/>
                      </w:tcPr>
                      <w:p>
                        <w:pPr/>
                      </w:p>
                    </w:tc>
                    <w:tc>
                      <w:tcPr>
                        <w:tcW w:w="680" w:type="dxa"/>
                      </w:tcPr>
                      <w:p>
                        <w:pPr>
                          <w:pStyle w:val="TableParagraph"/>
                          <w:spacing w:before="10"/>
                          <w:ind w:left="350"/>
                          <w:rPr>
                            <w:sz w:val="18"/>
                          </w:rPr>
                        </w:pPr>
                        <w:r>
                          <w:rPr>
                            <w:color w:val="231F20"/>
                            <w:sz w:val="18"/>
                          </w:rPr>
                          <w:t>186</w:t>
                        </w:r>
                      </w:p>
                    </w:tc>
                  </w:tr>
                  <w:tr>
                    <w:trPr>
                      <w:trHeight w:val="238" w:hRule="exact"/>
                    </w:trPr>
                    <w:tc>
                      <w:tcPr>
                        <w:tcW w:w="6680" w:type="dxa"/>
                        <w:shd w:val="clear" w:color="auto" w:fill="CCECFC"/>
                      </w:tcPr>
                      <w:p>
                        <w:pPr>
                          <w:pStyle w:val="TableParagraph"/>
                          <w:spacing w:before="10"/>
                          <w:ind w:left="420"/>
                          <w:rPr>
                            <w:sz w:val="18"/>
                          </w:rPr>
                        </w:pPr>
                        <w:r>
                          <w:rPr>
                            <w:color w:val="231F20"/>
                            <w:sz w:val="18"/>
                          </w:rPr>
                          <w:t>Air traffic liability</w:t>
                        </w:r>
                      </w:p>
                    </w:tc>
                    <w:tc>
                      <w:tcPr>
                        <w:tcW w:w="780" w:type="dxa"/>
                        <w:gridSpan w:val="2"/>
                        <w:shd w:val="clear" w:color="auto" w:fill="CCECFC"/>
                      </w:tcPr>
                      <w:p>
                        <w:pPr>
                          <w:pStyle w:val="TableParagraph"/>
                          <w:spacing w:before="10"/>
                          <w:ind w:left="349"/>
                          <w:rPr>
                            <w:sz w:val="18"/>
                          </w:rPr>
                        </w:pPr>
                        <w:r>
                          <w:rPr>
                            <w:color w:val="231F20"/>
                            <w:sz w:val="18"/>
                          </w:rPr>
                          <w:t>326</w:t>
                        </w:r>
                      </w:p>
                    </w:tc>
                    <w:tc>
                      <w:tcPr>
                        <w:tcW w:w="100" w:type="dxa"/>
                        <w:shd w:val="clear" w:color="auto" w:fill="CCECFC"/>
                      </w:tcPr>
                      <w:p>
                        <w:pPr/>
                      </w:p>
                    </w:tc>
                    <w:tc>
                      <w:tcPr>
                        <w:tcW w:w="780" w:type="dxa"/>
                        <w:gridSpan w:val="2"/>
                        <w:shd w:val="clear" w:color="auto" w:fill="CCECFC"/>
                      </w:tcPr>
                      <w:p>
                        <w:pPr>
                          <w:pStyle w:val="TableParagraph"/>
                          <w:spacing w:before="10"/>
                          <w:ind w:left="350"/>
                          <w:rPr>
                            <w:sz w:val="18"/>
                          </w:rPr>
                        </w:pPr>
                        <w:r>
                          <w:rPr>
                            <w:color w:val="231F20"/>
                            <w:sz w:val="18"/>
                          </w:rPr>
                          <w:t>400</w:t>
                        </w:r>
                      </w:p>
                    </w:tc>
                    <w:tc>
                      <w:tcPr>
                        <w:tcW w:w="100" w:type="dxa"/>
                        <w:shd w:val="clear" w:color="auto" w:fill="CCECFC"/>
                      </w:tcPr>
                      <w:p>
                        <w:pPr/>
                      </w:p>
                    </w:tc>
                    <w:tc>
                      <w:tcPr>
                        <w:tcW w:w="680" w:type="dxa"/>
                        <w:shd w:val="clear" w:color="auto" w:fill="CCECFC"/>
                      </w:tcPr>
                      <w:p>
                        <w:pPr>
                          <w:pStyle w:val="TableParagraph"/>
                          <w:spacing w:before="10"/>
                          <w:ind w:left="350"/>
                          <w:rPr>
                            <w:sz w:val="18"/>
                          </w:rPr>
                        </w:pPr>
                        <w:r>
                          <w:rPr>
                            <w:color w:val="231F20"/>
                            <w:sz w:val="18"/>
                          </w:rPr>
                          <w:t>334</w:t>
                        </w:r>
                      </w:p>
                    </w:tc>
                  </w:tr>
                  <w:tr>
                    <w:trPr>
                      <w:trHeight w:val="238" w:hRule="exact"/>
                    </w:trPr>
                    <w:tc>
                      <w:tcPr>
                        <w:tcW w:w="6680" w:type="dxa"/>
                      </w:tcPr>
                      <w:p>
                        <w:pPr>
                          <w:pStyle w:val="TableParagraph"/>
                          <w:spacing w:before="10"/>
                          <w:ind w:left="420"/>
                          <w:rPr>
                            <w:sz w:val="18"/>
                          </w:rPr>
                        </w:pPr>
                        <w:r>
                          <w:rPr>
                            <w:color w:val="231F20"/>
                            <w:sz w:val="18"/>
                          </w:rPr>
                          <w:t>Cash collateral received from (provided to) derivative counterparties</w:t>
                        </w:r>
                      </w:p>
                    </w:tc>
                    <w:tc>
                      <w:tcPr>
                        <w:tcW w:w="780" w:type="dxa"/>
                        <w:gridSpan w:val="2"/>
                      </w:tcPr>
                      <w:p>
                        <w:pPr>
                          <w:pStyle w:val="TableParagraph"/>
                          <w:spacing w:before="10"/>
                          <w:ind w:left="289"/>
                          <w:rPr>
                            <w:sz w:val="18"/>
                          </w:rPr>
                        </w:pPr>
                        <w:r>
                          <w:rPr>
                            <w:color w:val="231F20"/>
                            <w:sz w:val="18"/>
                          </w:rPr>
                          <w:t>(233)</w:t>
                        </w:r>
                      </w:p>
                    </w:tc>
                    <w:tc>
                      <w:tcPr>
                        <w:tcW w:w="100" w:type="dxa"/>
                      </w:tcPr>
                      <w:p>
                        <w:pPr/>
                      </w:p>
                    </w:tc>
                    <w:tc>
                      <w:tcPr>
                        <w:tcW w:w="780" w:type="dxa"/>
                        <w:gridSpan w:val="2"/>
                      </w:tcPr>
                      <w:p>
                        <w:pPr>
                          <w:pStyle w:val="TableParagraph"/>
                          <w:spacing w:before="10"/>
                          <w:ind w:left="440"/>
                          <w:rPr>
                            <w:sz w:val="18"/>
                          </w:rPr>
                        </w:pPr>
                        <w:r>
                          <w:rPr>
                            <w:color w:val="231F20"/>
                            <w:sz w:val="18"/>
                          </w:rPr>
                          <w:t>57</w:t>
                        </w:r>
                      </w:p>
                    </w:tc>
                    <w:tc>
                      <w:tcPr>
                        <w:tcW w:w="100" w:type="dxa"/>
                      </w:tcPr>
                      <w:p>
                        <w:pPr/>
                      </w:p>
                    </w:tc>
                    <w:tc>
                      <w:tcPr>
                        <w:tcW w:w="680" w:type="dxa"/>
                      </w:tcPr>
                      <w:p>
                        <w:pPr>
                          <w:pStyle w:val="TableParagraph"/>
                          <w:spacing w:before="10"/>
                          <w:ind w:left="350"/>
                          <w:rPr>
                            <w:sz w:val="18"/>
                          </w:rPr>
                        </w:pPr>
                        <w:r>
                          <w:rPr>
                            <w:color w:val="231F20"/>
                            <w:sz w:val="18"/>
                          </w:rPr>
                          <w:t>233</w:t>
                        </w:r>
                      </w:p>
                    </w:tc>
                  </w:tr>
                  <w:tr>
                    <w:trPr>
                      <w:trHeight w:val="253" w:hRule="exact"/>
                    </w:trPr>
                    <w:tc>
                      <w:tcPr>
                        <w:tcW w:w="6680" w:type="dxa"/>
                        <w:shd w:val="clear" w:color="auto" w:fill="CCECFC"/>
                      </w:tcPr>
                      <w:p>
                        <w:pPr>
                          <w:pStyle w:val="TableParagraph"/>
                          <w:spacing w:before="10"/>
                          <w:ind w:left="420"/>
                          <w:rPr>
                            <w:sz w:val="18"/>
                          </w:rPr>
                        </w:pPr>
                        <w:r>
                          <w:rPr>
                            <w:color w:val="231F20"/>
                            <w:sz w:val="18"/>
                          </w:rPr>
                          <w:t>Other, net</w:t>
                        </w:r>
                      </w:p>
                    </w:tc>
                    <w:tc>
                      <w:tcPr>
                        <w:tcW w:w="780" w:type="dxa"/>
                        <w:gridSpan w:val="2"/>
                        <w:tcBorders>
                          <w:bottom w:val="single" w:sz="4" w:space="0" w:color="231F20"/>
                        </w:tcBorders>
                        <w:shd w:val="clear" w:color="auto" w:fill="CCECFC"/>
                      </w:tcPr>
                      <w:p>
                        <w:pPr>
                          <w:pStyle w:val="TableParagraph"/>
                          <w:spacing w:before="10"/>
                          <w:ind w:left="290"/>
                          <w:rPr>
                            <w:sz w:val="18"/>
                          </w:rPr>
                        </w:pPr>
                        <w:r>
                          <w:rPr>
                            <w:color w:val="231F20"/>
                            <w:sz w:val="18"/>
                          </w:rPr>
                          <w:t>(277)</w:t>
                        </w:r>
                      </w:p>
                    </w:tc>
                    <w:tc>
                      <w:tcPr>
                        <w:tcW w:w="100" w:type="dxa"/>
                        <w:shd w:val="clear" w:color="auto" w:fill="CCECFC"/>
                      </w:tcPr>
                      <w:p>
                        <w:pPr/>
                      </w:p>
                    </w:tc>
                    <w:tc>
                      <w:tcPr>
                        <w:tcW w:w="780" w:type="dxa"/>
                        <w:gridSpan w:val="2"/>
                        <w:tcBorders>
                          <w:bottom w:val="single" w:sz="4" w:space="0" w:color="231F20"/>
                        </w:tcBorders>
                        <w:shd w:val="clear" w:color="auto" w:fill="CCECFC"/>
                      </w:tcPr>
                      <w:p>
                        <w:pPr>
                          <w:pStyle w:val="TableParagraph"/>
                          <w:spacing w:before="10"/>
                          <w:ind w:left="440"/>
                          <w:rPr>
                            <w:sz w:val="18"/>
                          </w:rPr>
                        </w:pPr>
                        <w:r>
                          <w:rPr>
                            <w:color w:val="231F20"/>
                            <w:sz w:val="18"/>
                          </w:rPr>
                          <w:t>74</w:t>
                        </w:r>
                      </w:p>
                    </w:tc>
                    <w:tc>
                      <w:tcPr>
                        <w:tcW w:w="100" w:type="dxa"/>
                        <w:shd w:val="clear" w:color="auto" w:fill="CCECFC"/>
                      </w:tcPr>
                      <w:p>
                        <w:pPr/>
                      </w:p>
                    </w:tc>
                    <w:tc>
                      <w:tcPr>
                        <w:tcW w:w="680" w:type="dxa"/>
                        <w:tcBorders>
                          <w:bottom w:val="single" w:sz="4" w:space="0" w:color="231F20"/>
                        </w:tcBorders>
                        <w:shd w:val="clear" w:color="auto" w:fill="CCECFC"/>
                      </w:tcPr>
                      <w:p>
                        <w:pPr>
                          <w:pStyle w:val="TableParagraph"/>
                          <w:spacing w:before="10"/>
                          <w:ind w:left="350"/>
                          <w:rPr>
                            <w:sz w:val="18"/>
                          </w:rPr>
                        </w:pPr>
                        <w:r>
                          <w:rPr>
                            <w:color w:val="231F20"/>
                            <w:sz w:val="18"/>
                          </w:rPr>
                          <w:t>121</w:t>
                        </w:r>
                      </w:p>
                    </w:tc>
                  </w:tr>
                  <w:tr>
                    <w:trPr>
                      <w:trHeight w:val="222" w:hRule="exact"/>
                    </w:trPr>
                    <w:tc>
                      <w:tcPr>
                        <w:tcW w:w="6680" w:type="dxa"/>
                      </w:tcPr>
                      <w:p>
                        <w:pPr>
                          <w:pStyle w:val="TableParagraph"/>
                          <w:spacing w:before="30"/>
                          <w:ind w:left="240"/>
                          <w:rPr>
                            <w:sz w:val="18"/>
                          </w:rPr>
                        </w:pPr>
                        <w:r>
                          <w:rPr>
                            <w:color w:val="231F20"/>
                            <w:sz w:val="18"/>
                          </w:rPr>
                          <w:t>Net cash provided by operating activities</w:t>
                        </w:r>
                      </w:p>
                    </w:tc>
                    <w:tc>
                      <w:tcPr>
                        <w:tcW w:w="780" w:type="dxa"/>
                        <w:gridSpan w:val="2"/>
                        <w:tcBorders>
                          <w:top w:val="single" w:sz="4" w:space="0" w:color="231F20"/>
                        </w:tcBorders>
                      </w:tcPr>
                      <w:p>
                        <w:pPr>
                          <w:pStyle w:val="TableParagraph"/>
                          <w:spacing w:before="10"/>
                          <w:ind w:left="214"/>
                          <w:rPr>
                            <w:sz w:val="18"/>
                          </w:rPr>
                        </w:pPr>
                        <w:r>
                          <w:rPr>
                            <w:color w:val="231F20"/>
                            <w:sz w:val="18"/>
                          </w:rPr>
                          <w:t>2,902</w:t>
                        </w:r>
                      </w:p>
                    </w:tc>
                    <w:tc>
                      <w:tcPr>
                        <w:tcW w:w="100" w:type="dxa"/>
                      </w:tcPr>
                      <w:p>
                        <w:pPr/>
                      </w:p>
                    </w:tc>
                    <w:tc>
                      <w:tcPr>
                        <w:tcW w:w="780" w:type="dxa"/>
                        <w:gridSpan w:val="2"/>
                        <w:tcBorders>
                          <w:top w:val="single" w:sz="4" w:space="0" w:color="231F20"/>
                        </w:tcBorders>
                      </w:tcPr>
                      <w:p>
                        <w:pPr>
                          <w:pStyle w:val="TableParagraph"/>
                          <w:spacing w:before="10"/>
                          <w:ind w:left="214"/>
                          <w:rPr>
                            <w:sz w:val="18"/>
                          </w:rPr>
                        </w:pPr>
                        <w:r>
                          <w:rPr>
                            <w:color w:val="231F20"/>
                            <w:sz w:val="18"/>
                          </w:rPr>
                          <w:t>2,477</w:t>
                        </w:r>
                      </w:p>
                    </w:tc>
                    <w:tc>
                      <w:tcPr>
                        <w:tcW w:w="100" w:type="dxa"/>
                      </w:tcPr>
                      <w:p>
                        <w:pPr/>
                      </w:p>
                    </w:tc>
                    <w:tc>
                      <w:tcPr>
                        <w:tcW w:w="680" w:type="dxa"/>
                        <w:tcBorders>
                          <w:top w:val="single" w:sz="4" w:space="0" w:color="231F20"/>
                        </w:tcBorders>
                      </w:tcPr>
                      <w:p>
                        <w:pPr>
                          <w:pStyle w:val="TableParagraph"/>
                          <w:spacing w:before="10"/>
                          <w:ind w:left="215"/>
                          <w:rPr>
                            <w:sz w:val="18"/>
                          </w:rPr>
                        </w:pPr>
                        <w:r>
                          <w:rPr>
                            <w:color w:val="231F20"/>
                            <w:sz w:val="18"/>
                          </w:rPr>
                          <w:t>2,064</w:t>
                        </w:r>
                      </w:p>
                    </w:tc>
                  </w:tr>
                  <w:tr>
                    <w:trPr>
                      <w:trHeight w:val="301" w:hRule="exact"/>
                    </w:trPr>
                    <w:tc>
                      <w:tcPr>
                        <w:tcW w:w="9120" w:type="dxa"/>
                        <w:gridSpan w:val="8"/>
                      </w:tcPr>
                      <w:p>
                        <w:pPr>
                          <w:pStyle w:val="TableParagraph"/>
                          <w:tabs>
                            <w:tab w:pos="9119" w:val="left" w:leader="none"/>
                          </w:tabs>
                          <w:spacing w:before="60"/>
                          <w:rPr>
                            <w:b/>
                            <w:sz w:val="18"/>
                          </w:rPr>
                        </w:pPr>
                        <w:r>
                          <w:rPr>
                            <w:b/>
                            <w:color w:val="231F20"/>
                            <w:spacing w:val="15"/>
                            <w:sz w:val="18"/>
                            <w:shd w:fill="CCECFC" w:color="auto" w:val="clear"/>
                          </w:rPr>
                          <w:t> </w:t>
                        </w:r>
                        <w:r>
                          <w:rPr>
                            <w:b/>
                            <w:color w:val="231F20"/>
                            <w:sz w:val="18"/>
                            <w:shd w:fill="CCECFC" w:color="auto" w:val="clear"/>
                          </w:rPr>
                          <w:t>CASH FLOWS FROM INVESTING</w:t>
                        </w:r>
                        <w:r>
                          <w:rPr>
                            <w:b/>
                            <w:color w:val="231F20"/>
                            <w:spacing w:val="-4"/>
                            <w:sz w:val="18"/>
                            <w:shd w:fill="CCECFC" w:color="auto" w:val="clear"/>
                          </w:rPr>
                          <w:t> </w:t>
                        </w:r>
                        <w:r>
                          <w:rPr>
                            <w:b/>
                            <w:color w:val="231F20"/>
                            <w:sz w:val="18"/>
                            <w:shd w:fill="CCECFC" w:color="auto" w:val="clear"/>
                          </w:rPr>
                          <w:t>ACTIVITIES:</w:t>
                          <w:tab/>
                        </w:r>
                      </w:p>
                    </w:tc>
                  </w:tr>
                  <w:tr>
                    <w:trPr>
                      <w:trHeight w:val="255" w:hRule="exact"/>
                    </w:trPr>
                    <w:tc>
                      <w:tcPr>
                        <w:tcW w:w="6680" w:type="dxa"/>
                      </w:tcPr>
                      <w:p>
                        <w:pPr>
                          <w:pStyle w:val="TableParagraph"/>
                          <w:spacing w:before="27"/>
                          <w:ind w:left="240"/>
                          <w:rPr>
                            <w:sz w:val="18"/>
                          </w:rPr>
                        </w:pPr>
                        <w:r>
                          <w:rPr>
                            <w:color w:val="231F20"/>
                            <w:sz w:val="18"/>
                          </w:rPr>
                          <w:t>Capital expenditures</w:t>
                        </w:r>
                      </w:p>
                    </w:tc>
                    <w:tc>
                      <w:tcPr>
                        <w:tcW w:w="680" w:type="dxa"/>
                      </w:tcPr>
                      <w:p>
                        <w:pPr>
                          <w:pStyle w:val="TableParagraph"/>
                          <w:spacing w:before="27"/>
                          <w:jc w:val="right"/>
                          <w:rPr>
                            <w:sz w:val="18"/>
                          </w:rPr>
                        </w:pPr>
                        <w:r>
                          <w:rPr>
                            <w:color w:val="231F20"/>
                            <w:sz w:val="18"/>
                          </w:rPr>
                          <w:t>(1,748)</w:t>
                        </w:r>
                      </w:p>
                    </w:tc>
                    <w:tc>
                      <w:tcPr>
                        <w:tcW w:w="200" w:type="dxa"/>
                        <w:gridSpan w:val="2"/>
                      </w:tcPr>
                      <w:p>
                        <w:pPr/>
                      </w:p>
                    </w:tc>
                    <w:tc>
                      <w:tcPr>
                        <w:tcW w:w="680" w:type="dxa"/>
                      </w:tcPr>
                      <w:p>
                        <w:pPr>
                          <w:pStyle w:val="TableParagraph"/>
                          <w:spacing w:before="27"/>
                          <w:jc w:val="right"/>
                          <w:rPr>
                            <w:sz w:val="18"/>
                          </w:rPr>
                        </w:pPr>
                        <w:r>
                          <w:rPr>
                            <w:color w:val="231F20"/>
                            <w:sz w:val="18"/>
                          </w:rPr>
                          <w:t>(1,433)</w:t>
                        </w:r>
                      </w:p>
                    </w:tc>
                    <w:tc>
                      <w:tcPr>
                        <w:tcW w:w="200" w:type="dxa"/>
                        <w:gridSpan w:val="2"/>
                      </w:tcPr>
                      <w:p>
                        <w:pPr/>
                      </w:p>
                    </w:tc>
                    <w:tc>
                      <w:tcPr>
                        <w:tcW w:w="680" w:type="dxa"/>
                      </w:tcPr>
                      <w:p>
                        <w:pPr>
                          <w:pStyle w:val="TableParagraph"/>
                          <w:spacing w:before="27"/>
                          <w:jc w:val="right"/>
                          <w:rPr>
                            <w:sz w:val="18"/>
                          </w:rPr>
                        </w:pPr>
                        <w:r>
                          <w:rPr>
                            <w:color w:val="231F20"/>
                            <w:sz w:val="18"/>
                          </w:rPr>
                          <w:t>(1,348)</w:t>
                        </w:r>
                      </w:p>
                    </w:tc>
                  </w:tr>
                  <w:tr>
                    <w:trPr>
                      <w:trHeight w:val="238" w:hRule="exact"/>
                    </w:trPr>
                    <w:tc>
                      <w:tcPr>
                        <w:tcW w:w="6680" w:type="dxa"/>
                        <w:shd w:val="clear" w:color="auto" w:fill="CCECFC"/>
                      </w:tcPr>
                      <w:p>
                        <w:pPr>
                          <w:pStyle w:val="TableParagraph"/>
                          <w:spacing w:before="10"/>
                          <w:ind w:left="240"/>
                          <w:rPr>
                            <w:sz w:val="18"/>
                          </w:rPr>
                        </w:pPr>
                        <w:r>
                          <w:rPr>
                            <w:color w:val="231F20"/>
                            <w:sz w:val="18"/>
                          </w:rPr>
                          <w:t>Assets constructed for others</w:t>
                        </w:r>
                      </w:p>
                    </w:tc>
                    <w:tc>
                      <w:tcPr>
                        <w:tcW w:w="680" w:type="dxa"/>
                        <w:shd w:val="clear" w:color="auto" w:fill="CCECFC"/>
                      </w:tcPr>
                      <w:p>
                        <w:pPr>
                          <w:pStyle w:val="TableParagraph"/>
                          <w:spacing w:before="10"/>
                          <w:jc w:val="right"/>
                          <w:rPr>
                            <w:sz w:val="18"/>
                          </w:rPr>
                        </w:pPr>
                        <w:r>
                          <w:rPr>
                            <w:color w:val="231F20"/>
                            <w:sz w:val="18"/>
                          </w:rPr>
                          <w:t>(80)</w:t>
                        </w:r>
                      </w:p>
                    </w:tc>
                    <w:tc>
                      <w:tcPr>
                        <w:tcW w:w="200" w:type="dxa"/>
                        <w:gridSpan w:val="2"/>
                        <w:shd w:val="clear" w:color="auto" w:fill="CCECFC"/>
                      </w:tcPr>
                      <w:p>
                        <w:pPr/>
                      </w:p>
                    </w:tc>
                    <w:tc>
                      <w:tcPr>
                        <w:tcW w:w="680" w:type="dxa"/>
                        <w:shd w:val="clear" w:color="auto" w:fill="CCECFC"/>
                      </w:tcPr>
                      <w:p>
                        <w:pPr>
                          <w:pStyle w:val="TableParagraph"/>
                          <w:spacing w:before="10"/>
                          <w:jc w:val="right"/>
                          <w:rPr>
                            <w:sz w:val="18"/>
                          </w:rPr>
                        </w:pPr>
                        <w:r>
                          <w:rPr>
                            <w:color w:val="231F20"/>
                            <w:sz w:val="18"/>
                          </w:rPr>
                          <w:t>(14)</w:t>
                        </w:r>
                      </w:p>
                    </w:tc>
                    <w:tc>
                      <w:tcPr>
                        <w:tcW w:w="200" w:type="dxa"/>
                        <w:gridSpan w:val="2"/>
                        <w:shd w:val="clear" w:color="auto" w:fill="CCECFC"/>
                      </w:tcPr>
                      <w:p>
                        <w:pPr/>
                      </w:p>
                    </w:tc>
                    <w:tc>
                      <w:tcPr>
                        <w:tcW w:w="680" w:type="dxa"/>
                        <w:shd w:val="clear" w:color="auto" w:fill="CCECFC"/>
                      </w:tcPr>
                      <w:p>
                        <w:pPr>
                          <w:pStyle w:val="TableParagraph"/>
                          <w:spacing w:before="10"/>
                          <w:ind w:right="59"/>
                          <w:jc w:val="right"/>
                          <w:rPr>
                            <w:sz w:val="18"/>
                          </w:rPr>
                        </w:pPr>
                        <w:r>
                          <w:rPr>
                            <w:color w:val="231F20"/>
                            <w:sz w:val="18"/>
                          </w:rPr>
                          <w:t>—</w:t>
                        </w:r>
                      </w:p>
                    </w:tc>
                  </w:tr>
                  <w:tr>
                    <w:trPr>
                      <w:trHeight w:val="238" w:hRule="exact"/>
                    </w:trPr>
                    <w:tc>
                      <w:tcPr>
                        <w:tcW w:w="6680" w:type="dxa"/>
                      </w:tcPr>
                      <w:p>
                        <w:pPr>
                          <w:pStyle w:val="TableParagraph"/>
                          <w:spacing w:before="10"/>
                          <w:ind w:left="240"/>
                          <w:rPr>
                            <w:sz w:val="18"/>
                          </w:rPr>
                        </w:pPr>
                        <w:r>
                          <w:rPr>
                            <w:color w:val="231F20"/>
                            <w:sz w:val="18"/>
                          </w:rPr>
                          <w:t>Purchases of short-term investments</w:t>
                        </w:r>
                      </w:p>
                    </w:tc>
                    <w:tc>
                      <w:tcPr>
                        <w:tcW w:w="680" w:type="dxa"/>
                      </w:tcPr>
                      <w:p>
                        <w:pPr>
                          <w:pStyle w:val="TableParagraph"/>
                          <w:spacing w:before="10"/>
                          <w:jc w:val="right"/>
                          <w:rPr>
                            <w:sz w:val="18"/>
                          </w:rPr>
                        </w:pPr>
                        <w:r>
                          <w:rPr>
                            <w:color w:val="231F20"/>
                            <w:sz w:val="18"/>
                          </w:rPr>
                          <w:t>(3,080)</w:t>
                        </w:r>
                      </w:p>
                    </w:tc>
                    <w:tc>
                      <w:tcPr>
                        <w:tcW w:w="200" w:type="dxa"/>
                        <w:gridSpan w:val="2"/>
                      </w:tcPr>
                      <w:p>
                        <w:pPr/>
                      </w:p>
                    </w:tc>
                    <w:tc>
                      <w:tcPr>
                        <w:tcW w:w="680" w:type="dxa"/>
                      </w:tcPr>
                      <w:p>
                        <w:pPr>
                          <w:pStyle w:val="TableParagraph"/>
                          <w:spacing w:before="10"/>
                          <w:jc w:val="right"/>
                          <w:rPr>
                            <w:sz w:val="18"/>
                          </w:rPr>
                        </w:pPr>
                        <w:r>
                          <w:rPr>
                            <w:color w:val="231F20"/>
                            <w:sz w:val="18"/>
                          </w:rPr>
                          <w:t>(3,135)</w:t>
                        </w:r>
                      </w:p>
                    </w:tc>
                    <w:tc>
                      <w:tcPr>
                        <w:tcW w:w="200" w:type="dxa"/>
                        <w:gridSpan w:val="2"/>
                      </w:tcPr>
                      <w:p>
                        <w:pPr/>
                      </w:p>
                    </w:tc>
                    <w:tc>
                      <w:tcPr>
                        <w:tcW w:w="680" w:type="dxa"/>
                      </w:tcPr>
                      <w:p>
                        <w:pPr>
                          <w:pStyle w:val="TableParagraph"/>
                          <w:spacing w:before="10"/>
                          <w:jc w:val="right"/>
                          <w:rPr>
                            <w:sz w:val="18"/>
                          </w:rPr>
                        </w:pPr>
                        <w:r>
                          <w:rPr>
                            <w:color w:val="231F20"/>
                            <w:sz w:val="18"/>
                          </w:rPr>
                          <w:t>(2,481)</w:t>
                        </w:r>
                      </w:p>
                    </w:tc>
                  </w:tr>
                  <w:tr>
                    <w:trPr>
                      <w:trHeight w:val="238" w:hRule="exact"/>
                    </w:trPr>
                    <w:tc>
                      <w:tcPr>
                        <w:tcW w:w="6680" w:type="dxa"/>
                        <w:shd w:val="clear" w:color="auto" w:fill="CCECFC"/>
                      </w:tcPr>
                      <w:p>
                        <w:pPr>
                          <w:pStyle w:val="TableParagraph"/>
                          <w:spacing w:before="10"/>
                          <w:ind w:left="240"/>
                          <w:rPr>
                            <w:sz w:val="18"/>
                          </w:rPr>
                        </w:pPr>
                        <w:r>
                          <w:rPr>
                            <w:color w:val="231F20"/>
                            <w:sz w:val="18"/>
                          </w:rPr>
                          <w:t>Proceeds from sales of short-term and other investments</w:t>
                        </w:r>
                      </w:p>
                    </w:tc>
                    <w:tc>
                      <w:tcPr>
                        <w:tcW w:w="680" w:type="dxa"/>
                        <w:shd w:val="clear" w:color="auto" w:fill="CCECFC"/>
                      </w:tcPr>
                      <w:p>
                        <w:pPr>
                          <w:pStyle w:val="TableParagraph"/>
                          <w:spacing w:before="10"/>
                          <w:ind w:left="214"/>
                          <w:rPr>
                            <w:sz w:val="18"/>
                          </w:rPr>
                        </w:pPr>
                        <w:r>
                          <w:rPr>
                            <w:color w:val="231F20"/>
                            <w:sz w:val="18"/>
                          </w:rPr>
                          <w:t>3,185</w:t>
                        </w:r>
                      </w:p>
                    </w:tc>
                    <w:tc>
                      <w:tcPr>
                        <w:tcW w:w="200" w:type="dxa"/>
                        <w:gridSpan w:val="2"/>
                        <w:shd w:val="clear" w:color="auto" w:fill="CCECFC"/>
                      </w:tcPr>
                      <w:p>
                        <w:pPr/>
                      </w:p>
                    </w:tc>
                    <w:tc>
                      <w:tcPr>
                        <w:tcW w:w="680" w:type="dxa"/>
                        <w:shd w:val="clear" w:color="auto" w:fill="CCECFC"/>
                      </w:tcPr>
                      <w:p>
                        <w:pPr>
                          <w:pStyle w:val="TableParagraph"/>
                          <w:spacing w:before="10"/>
                          <w:ind w:left="214"/>
                          <w:rPr>
                            <w:sz w:val="18"/>
                          </w:rPr>
                        </w:pPr>
                        <w:r>
                          <w:rPr>
                            <w:color w:val="231F20"/>
                            <w:sz w:val="18"/>
                          </w:rPr>
                          <w:t>3,198</w:t>
                        </w:r>
                      </w:p>
                    </w:tc>
                    <w:tc>
                      <w:tcPr>
                        <w:tcW w:w="200" w:type="dxa"/>
                        <w:gridSpan w:val="2"/>
                        <w:shd w:val="clear" w:color="auto" w:fill="CCECFC"/>
                      </w:tcPr>
                      <w:p>
                        <w:pPr/>
                      </w:p>
                    </w:tc>
                    <w:tc>
                      <w:tcPr>
                        <w:tcW w:w="680" w:type="dxa"/>
                        <w:shd w:val="clear" w:color="auto" w:fill="CCECFC"/>
                      </w:tcPr>
                      <w:p>
                        <w:pPr>
                          <w:pStyle w:val="TableParagraph"/>
                          <w:spacing w:before="10"/>
                          <w:ind w:left="214"/>
                          <w:rPr>
                            <w:sz w:val="18"/>
                          </w:rPr>
                        </w:pPr>
                        <w:r>
                          <w:rPr>
                            <w:color w:val="231F20"/>
                            <w:sz w:val="18"/>
                          </w:rPr>
                          <w:t>2,996</w:t>
                        </w:r>
                      </w:p>
                    </w:tc>
                  </w:tr>
                  <w:tr>
                    <w:trPr>
                      <w:trHeight w:val="253" w:hRule="exact"/>
                    </w:trPr>
                    <w:tc>
                      <w:tcPr>
                        <w:tcW w:w="6680" w:type="dxa"/>
                      </w:tcPr>
                      <w:p>
                        <w:pPr>
                          <w:pStyle w:val="TableParagraph"/>
                          <w:spacing w:before="10"/>
                          <w:ind w:left="240"/>
                          <w:rPr>
                            <w:sz w:val="18"/>
                          </w:rPr>
                        </w:pPr>
                        <w:r>
                          <w:rPr>
                            <w:color w:val="231F20"/>
                            <w:sz w:val="18"/>
                          </w:rPr>
                          <w:t>Other, net</w:t>
                        </w:r>
                      </w:p>
                    </w:tc>
                    <w:tc>
                      <w:tcPr>
                        <w:tcW w:w="680" w:type="dxa"/>
                        <w:tcBorders>
                          <w:bottom w:val="single" w:sz="4" w:space="0" w:color="231F20"/>
                        </w:tcBorders>
                      </w:tcPr>
                      <w:p>
                        <w:pPr>
                          <w:pStyle w:val="TableParagraph"/>
                          <w:spacing w:before="10"/>
                          <w:jc w:val="right"/>
                          <w:rPr>
                            <w:sz w:val="18"/>
                          </w:rPr>
                        </w:pPr>
                        <w:r>
                          <w:rPr>
                            <w:color w:val="231F20"/>
                            <w:sz w:val="18"/>
                          </w:rPr>
                          <w:t>(4)</w:t>
                        </w:r>
                      </w:p>
                    </w:tc>
                    <w:tc>
                      <w:tcPr>
                        <w:tcW w:w="200" w:type="dxa"/>
                        <w:gridSpan w:val="2"/>
                      </w:tcPr>
                      <w:p>
                        <w:pPr/>
                      </w:p>
                    </w:tc>
                    <w:tc>
                      <w:tcPr>
                        <w:tcW w:w="680" w:type="dxa"/>
                        <w:tcBorders>
                          <w:bottom w:val="single" w:sz="4" w:space="0" w:color="231F20"/>
                        </w:tcBorders>
                      </w:tcPr>
                      <w:p>
                        <w:pPr>
                          <w:pStyle w:val="TableParagraph"/>
                          <w:spacing w:before="10"/>
                          <w:ind w:right="58"/>
                          <w:jc w:val="right"/>
                          <w:rPr>
                            <w:sz w:val="18"/>
                          </w:rPr>
                        </w:pPr>
                        <w:r>
                          <w:rPr>
                            <w:color w:val="231F20"/>
                            <w:sz w:val="18"/>
                          </w:rPr>
                          <w:t>—</w:t>
                        </w:r>
                      </w:p>
                    </w:tc>
                    <w:tc>
                      <w:tcPr>
                        <w:tcW w:w="200" w:type="dxa"/>
                        <w:gridSpan w:val="2"/>
                      </w:tcPr>
                      <w:p>
                        <w:pPr/>
                      </w:p>
                    </w:tc>
                    <w:tc>
                      <w:tcPr>
                        <w:tcW w:w="680" w:type="dxa"/>
                        <w:tcBorders>
                          <w:bottom w:val="single" w:sz="4" w:space="0" w:color="231F20"/>
                        </w:tcBorders>
                      </w:tcPr>
                      <w:p>
                        <w:pPr>
                          <w:pStyle w:val="TableParagraph"/>
                          <w:spacing w:before="10"/>
                          <w:ind w:right="59"/>
                          <w:jc w:val="right"/>
                          <w:rPr>
                            <w:sz w:val="18"/>
                          </w:rPr>
                        </w:pPr>
                        <w:r>
                          <w:rPr>
                            <w:color w:val="231F20"/>
                            <w:sz w:val="18"/>
                          </w:rPr>
                          <w:t>—</w:t>
                        </w:r>
                      </w:p>
                    </w:tc>
                  </w:tr>
                  <w:tr>
                    <w:trPr>
                      <w:trHeight w:val="243" w:hRule="exact"/>
                    </w:trPr>
                    <w:tc>
                      <w:tcPr>
                        <w:tcW w:w="6680" w:type="dxa"/>
                        <w:shd w:val="clear" w:color="auto" w:fill="CCECFC"/>
                      </w:tcPr>
                      <w:p>
                        <w:pPr>
                          <w:pStyle w:val="TableParagraph"/>
                          <w:spacing w:before="10"/>
                          <w:ind w:left="240"/>
                          <w:rPr>
                            <w:sz w:val="18"/>
                          </w:rPr>
                        </w:pPr>
                        <w:r>
                          <w:rPr>
                            <w:color w:val="231F20"/>
                            <w:sz w:val="18"/>
                          </w:rPr>
                          <w:t>Net cash used in investing activities</w:t>
                        </w:r>
                      </w:p>
                    </w:tc>
                    <w:tc>
                      <w:tcPr>
                        <w:tcW w:w="680" w:type="dxa"/>
                        <w:tcBorders>
                          <w:top w:val="single" w:sz="4" w:space="0" w:color="231F20"/>
                        </w:tcBorders>
                        <w:shd w:val="clear" w:color="auto" w:fill="CCECFC"/>
                      </w:tcPr>
                      <w:p>
                        <w:pPr>
                          <w:pStyle w:val="TableParagraph"/>
                          <w:spacing w:before="10"/>
                          <w:jc w:val="right"/>
                          <w:rPr>
                            <w:sz w:val="18"/>
                          </w:rPr>
                        </w:pPr>
                        <w:r>
                          <w:rPr>
                            <w:color w:val="231F20"/>
                            <w:sz w:val="18"/>
                          </w:rPr>
                          <w:t>(1,727)</w:t>
                        </w:r>
                      </w:p>
                    </w:tc>
                    <w:tc>
                      <w:tcPr>
                        <w:tcW w:w="200" w:type="dxa"/>
                        <w:gridSpan w:val="2"/>
                        <w:shd w:val="clear" w:color="auto" w:fill="CCECFC"/>
                      </w:tcPr>
                      <w:p>
                        <w:pPr/>
                      </w:p>
                    </w:tc>
                    <w:tc>
                      <w:tcPr>
                        <w:tcW w:w="680" w:type="dxa"/>
                        <w:tcBorders>
                          <w:top w:val="single" w:sz="4" w:space="0" w:color="231F20"/>
                        </w:tcBorders>
                        <w:shd w:val="clear" w:color="auto" w:fill="CCECFC"/>
                      </w:tcPr>
                      <w:p>
                        <w:pPr>
                          <w:pStyle w:val="TableParagraph"/>
                          <w:spacing w:before="10"/>
                          <w:jc w:val="right"/>
                          <w:rPr>
                            <w:sz w:val="18"/>
                          </w:rPr>
                        </w:pPr>
                        <w:r>
                          <w:rPr>
                            <w:color w:val="231F20"/>
                            <w:sz w:val="18"/>
                          </w:rPr>
                          <w:t>(1,384)</w:t>
                        </w:r>
                      </w:p>
                    </w:tc>
                    <w:tc>
                      <w:tcPr>
                        <w:tcW w:w="200" w:type="dxa"/>
                        <w:gridSpan w:val="2"/>
                        <w:shd w:val="clear" w:color="auto" w:fill="CCECFC"/>
                      </w:tcPr>
                      <w:p>
                        <w:pPr/>
                      </w:p>
                    </w:tc>
                    <w:tc>
                      <w:tcPr>
                        <w:tcW w:w="680" w:type="dxa"/>
                        <w:tcBorders>
                          <w:top w:val="single" w:sz="4" w:space="0" w:color="231F20"/>
                        </w:tcBorders>
                        <w:shd w:val="clear" w:color="auto" w:fill="CCECFC"/>
                      </w:tcPr>
                      <w:p>
                        <w:pPr>
                          <w:pStyle w:val="TableParagraph"/>
                          <w:spacing w:before="10"/>
                          <w:jc w:val="right"/>
                          <w:rPr>
                            <w:sz w:val="18"/>
                          </w:rPr>
                        </w:pPr>
                        <w:r>
                          <w:rPr>
                            <w:color w:val="231F20"/>
                            <w:sz w:val="18"/>
                          </w:rPr>
                          <w:t>(833)</w:t>
                        </w:r>
                      </w:p>
                    </w:tc>
                  </w:tr>
                  <w:tr>
                    <w:trPr>
                      <w:trHeight w:val="238" w:hRule="exact"/>
                    </w:trPr>
                    <w:tc>
                      <w:tcPr>
                        <w:tcW w:w="6680" w:type="dxa"/>
                      </w:tcPr>
                      <w:p>
                        <w:pPr>
                          <w:pStyle w:val="TableParagraph"/>
                          <w:spacing w:before="10"/>
                          <w:ind w:left="60"/>
                          <w:rPr>
                            <w:b/>
                            <w:sz w:val="18"/>
                          </w:rPr>
                        </w:pPr>
                        <w:r>
                          <w:rPr>
                            <w:b/>
                            <w:color w:val="231F20"/>
                            <w:sz w:val="18"/>
                          </w:rPr>
                          <w:t>CASH FLOWS FROM FINANCING ACTIVITIES:</w:t>
                        </w:r>
                      </w:p>
                    </w:tc>
                    <w:tc>
                      <w:tcPr>
                        <w:tcW w:w="680" w:type="dxa"/>
                      </w:tcPr>
                      <w:p>
                        <w:pPr/>
                      </w:p>
                    </w:tc>
                    <w:tc>
                      <w:tcPr>
                        <w:tcW w:w="100" w:type="dxa"/>
                      </w:tcPr>
                      <w:p>
                        <w:pPr/>
                      </w:p>
                    </w:tc>
                    <w:tc>
                      <w:tcPr>
                        <w:tcW w:w="100" w:type="dxa"/>
                      </w:tcPr>
                      <w:p>
                        <w:pPr/>
                      </w:p>
                    </w:tc>
                    <w:tc>
                      <w:tcPr>
                        <w:tcW w:w="680" w:type="dxa"/>
                      </w:tcPr>
                      <w:p>
                        <w:pPr/>
                      </w:p>
                    </w:tc>
                    <w:tc>
                      <w:tcPr>
                        <w:tcW w:w="100" w:type="dxa"/>
                      </w:tcPr>
                      <w:p>
                        <w:pPr/>
                      </w:p>
                    </w:tc>
                    <w:tc>
                      <w:tcPr>
                        <w:tcW w:w="100" w:type="dxa"/>
                      </w:tcPr>
                      <w:p>
                        <w:pPr/>
                      </w:p>
                    </w:tc>
                    <w:tc>
                      <w:tcPr>
                        <w:tcW w:w="680" w:type="dxa"/>
                      </w:tcPr>
                      <w:p>
                        <w:pPr/>
                      </w:p>
                    </w:tc>
                  </w:tr>
                  <w:tr>
                    <w:trPr>
                      <w:trHeight w:val="238" w:hRule="exact"/>
                    </w:trPr>
                    <w:tc>
                      <w:tcPr>
                        <w:tcW w:w="6680" w:type="dxa"/>
                        <w:shd w:val="clear" w:color="auto" w:fill="CCECFC"/>
                      </w:tcPr>
                      <w:p>
                        <w:pPr>
                          <w:pStyle w:val="TableParagraph"/>
                          <w:spacing w:before="10"/>
                          <w:ind w:left="240"/>
                          <w:rPr>
                            <w:sz w:val="18"/>
                          </w:rPr>
                        </w:pPr>
                        <w:r>
                          <w:rPr>
                            <w:color w:val="231F20"/>
                            <w:sz w:val="18"/>
                          </w:rPr>
                          <w:t>Proceeds from issuance of long-term debt</w:t>
                        </w:r>
                      </w:p>
                    </w:tc>
                    <w:tc>
                      <w:tcPr>
                        <w:tcW w:w="680" w:type="dxa"/>
                        <w:shd w:val="clear" w:color="auto" w:fill="CCECFC"/>
                      </w:tcPr>
                      <w:p>
                        <w:pPr>
                          <w:pStyle w:val="TableParagraph"/>
                          <w:spacing w:before="10"/>
                          <w:ind w:left="349"/>
                          <w:rPr>
                            <w:sz w:val="18"/>
                          </w:rPr>
                        </w:pPr>
                        <w:r>
                          <w:rPr>
                            <w:color w:val="231F20"/>
                            <w:sz w:val="18"/>
                          </w:rPr>
                          <w:t>300</w:t>
                        </w:r>
                      </w:p>
                    </w:tc>
                    <w:tc>
                      <w:tcPr>
                        <w:tcW w:w="200" w:type="dxa"/>
                        <w:gridSpan w:val="2"/>
                        <w:shd w:val="clear" w:color="auto" w:fill="CCECFC"/>
                      </w:tcPr>
                      <w:p>
                        <w:pPr/>
                      </w:p>
                    </w:tc>
                    <w:tc>
                      <w:tcPr>
                        <w:tcW w:w="680" w:type="dxa"/>
                        <w:shd w:val="clear" w:color="auto" w:fill="CCECFC"/>
                      </w:tcPr>
                      <w:p>
                        <w:pPr>
                          <w:pStyle w:val="TableParagraph"/>
                          <w:spacing w:before="10"/>
                          <w:ind w:right="58"/>
                          <w:jc w:val="right"/>
                          <w:rPr>
                            <w:sz w:val="18"/>
                          </w:rPr>
                        </w:pPr>
                        <w:r>
                          <w:rPr>
                            <w:color w:val="231F20"/>
                            <w:sz w:val="18"/>
                          </w:rPr>
                          <w:t>—</w:t>
                        </w:r>
                      </w:p>
                    </w:tc>
                    <w:tc>
                      <w:tcPr>
                        <w:tcW w:w="200" w:type="dxa"/>
                        <w:gridSpan w:val="2"/>
                        <w:shd w:val="clear" w:color="auto" w:fill="CCECFC"/>
                      </w:tcPr>
                      <w:p>
                        <w:pPr/>
                      </w:p>
                    </w:tc>
                    <w:tc>
                      <w:tcPr>
                        <w:tcW w:w="680" w:type="dxa"/>
                        <w:shd w:val="clear" w:color="auto" w:fill="CCECFC"/>
                      </w:tcPr>
                      <w:p>
                        <w:pPr>
                          <w:pStyle w:val="TableParagraph"/>
                          <w:spacing w:before="10"/>
                          <w:ind w:right="58"/>
                          <w:jc w:val="right"/>
                          <w:rPr>
                            <w:sz w:val="18"/>
                          </w:rPr>
                        </w:pPr>
                        <w:r>
                          <w:rPr>
                            <w:color w:val="231F20"/>
                            <w:sz w:val="18"/>
                          </w:rPr>
                          <w:t>—</w:t>
                        </w:r>
                      </w:p>
                    </w:tc>
                  </w:tr>
                  <w:tr>
                    <w:trPr>
                      <w:trHeight w:val="238" w:hRule="exact"/>
                    </w:trPr>
                    <w:tc>
                      <w:tcPr>
                        <w:tcW w:w="6680" w:type="dxa"/>
                      </w:tcPr>
                      <w:p>
                        <w:pPr>
                          <w:pStyle w:val="TableParagraph"/>
                          <w:spacing w:before="10"/>
                          <w:ind w:left="240"/>
                          <w:rPr>
                            <w:sz w:val="18"/>
                          </w:rPr>
                        </w:pPr>
                        <w:r>
                          <w:rPr>
                            <w:color w:val="231F20"/>
                            <w:sz w:val="18"/>
                          </w:rPr>
                          <w:t>Proceeds from Employee stock plans</w:t>
                        </w:r>
                      </w:p>
                    </w:tc>
                    <w:tc>
                      <w:tcPr>
                        <w:tcW w:w="680" w:type="dxa"/>
                      </w:tcPr>
                      <w:p>
                        <w:pPr>
                          <w:pStyle w:val="TableParagraph"/>
                          <w:spacing w:before="10"/>
                          <w:ind w:left="349"/>
                          <w:rPr>
                            <w:sz w:val="18"/>
                          </w:rPr>
                        </w:pPr>
                        <w:r>
                          <w:rPr>
                            <w:color w:val="231F20"/>
                            <w:sz w:val="18"/>
                          </w:rPr>
                          <w:t>110</w:t>
                        </w:r>
                      </w:p>
                    </w:tc>
                    <w:tc>
                      <w:tcPr>
                        <w:tcW w:w="200" w:type="dxa"/>
                        <w:gridSpan w:val="2"/>
                      </w:tcPr>
                      <w:p>
                        <w:pPr/>
                      </w:p>
                    </w:tc>
                    <w:tc>
                      <w:tcPr>
                        <w:tcW w:w="680" w:type="dxa"/>
                      </w:tcPr>
                      <w:p>
                        <w:pPr>
                          <w:pStyle w:val="TableParagraph"/>
                          <w:spacing w:before="10"/>
                          <w:ind w:right="58"/>
                          <w:jc w:val="right"/>
                          <w:rPr>
                            <w:sz w:val="18"/>
                          </w:rPr>
                        </w:pPr>
                        <w:r>
                          <w:rPr>
                            <w:color w:val="231F20"/>
                            <w:sz w:val="18"/>
                          </w:rPr>
                          <w:t>96</w:t>
                        </w:r>
                      </w:p>
                    </w:tc>
                    <w:tc>
                      <w:tcPr>
                        <w:tcW w:w="200" w:type="dxa"/>
                        <w:gridSpan w:val="2"/>
                      </w:tcPr>
                      <w:p>
                        <w:pPr/>
                      </w:p>
                    </w:tc>
                    <w:tc>
                      <w:tcPr>
                        <w:tcW w:w="680" w:type="dxa"/>
                      </w:tcPr>
                      <w:p>
                        <w:pPr>
                          <w:pStyle w:val="TableParagraph"/>
                          <w:spacing w:before="10"/>
                          <w:ind w:right="58"/>
                          <w:jc w:val="right"/>
                          <w:rPr>
                            <w:sz w:val="18"/>
                          </w:rPr>
                        </w:pPr>
                        <w:r>
                          <w:rPr>
                            <w:color w:val="231F20"/>
                            <w:sz w:val="18"/>
                          </w:rPr>
                          <w:t>27</w:t>
                        </w:r>
                      </w:p>
                    </w:tc>
                  </w:tr>
                  <w:tr>
                    <w:trPr>
                      <w:trHeight w:val="238" w:hRule="exact"/>
                    </w:trPr>
                    <w:tc>
                      <w:tcPr>
                        <w:tcW w:w="6680" w:type="dxa"/>
                        <w:shd w:val="clear" w:color="auto" w:fill="CCECFC"/>
                      </w:tcPr>
                      <w:p>
                        <w:pPr>
                          <w:pStyle w:val="TableParagraph"/>
                          <w:spacing w:before="10"/>
                          <w:ind w:left="240"/>
                          <w:rPr>
                            <w:sz w:val="18"/>
                          </w:rPr>
                        </w:pPr>
                        <w:r>
                          <w:rPr>
                            <w:color w:val="231F20"/>
                            <w:sz w:val="18"/>
                          </w:rPr>
                          <w:t>Reimbursement for assets constructed for others</w:t>
                        </w:r>
                      </w:p>
                    </w:tc>
                    <w:tc>
                      <w:tcPr>
                        <w:tcW w:w="680" w:type="dxa"/>
                        <w:shd w:val="clear" w:color="auto" w:fill="CCECFC"/>
                      </w:tcPr>
                      <w:p>
                        <w:pPr>
                          <w:pStyle w:val="TableParagraph"/>
                          <w:spacing w:before="10"/>
                          <w:ind w:right="58"/>
                          <w:jc w:val="right"/>
                          <w:rPr>
                            <w:sz w:val="18"/>
                          </w:rPr>
                        </w:pPr>
                        <w:r>
                          <w:rPr>
                            <w:color w:val="231F20"/>
                            <w:sz w:val="18"/>
                          </w:rPr>
                          <w:t>27</w:t>
                        </w:r>
                      </w:p>
                    </w:tc>
                    <w:tc>
                      <w:tcPr>
                        <w:tcW w:w="200" w:type="dxa"/>
                        <w:gridSpan w:val="2"/>
                        <w:shd w:val="clear" w:color="auto" w:fill="CCECFC"/>
                      </w:tcPr>
                      <w:p>
                        <w:pPr/>
                      </w:p>
                    </w:tc>
                    <w:tc>
                      <w:tcPr>
                        <w:tcW w:w="680" w:type="dxa"/>
                        <w:shd w:val="clear" w:color="auto" w:fill="CCECFC"/>
                      </w:tcPr>
                      <w:p>
                        <w:pPr>
                          <w:pStyle w:val="TableParagraph"/>
                          <w:spacing w:before="10"/>
                          <w:ind w:right="58"/>
                          <w:jc w:val="right"/>
                          <w:rPr>
                            <w:sz w:val="18"/>
                          </w:rPr>
                        </w:pPr>
                        <w:r>
                          <w:rPr>
                            <w:color w:val="231F20"/>
                            <w:sz w:val="18"/>
                          </w:rPr>
                          <w:t>—</w:t>
                        </w:r>
                      </w:p>
                    </w:tc>
                    <w:tc>
                      <w:tcPr>
                        <w:tcW w:w="200" w:type="dxa"/>
                        <w:gridSpan w:val="2"/>
                        <w:shd w:val="clear" w:color="auto" w:fill="CCECFC"/>
                      </w:tcPr>
                      <w:p>
                        <w:pPr/>
                      </w:p>
                    </w:tc>
                    <w:tc>
                      <w:tcPr>
                        <w:tcW w:w="680" w:type="dxa"/>
                        <w:shd w:val="clear" w:color="auto" w:fill="CCECFC"/>
                      </w:tcPr>
                      <w:p>
                        <w:pPr>
                          <w:pStyle w:val="TableParagraph"/>
                          <w:spacing w:before="10"/>
                          <w:ind w:right="59"/>
                          <w:jc w:val="right"/>
                          <w:rPr>
                            <w:sz w:val="18"/>
                          </w:rPr>
                        </w:pPr>
                        <w:r>
                          <w:rPr>
                            <w:color w:val="231F20"/>
                            <w:sz w:val="18"/>
                          </w:rPr>
                          <w:t>—</w:t>
                        </w:r>
                      </w:p>
                    </w:tc>
                  </w:tr>
                  <w:tr>
                    <w:trPr>
                      <w:trHeight w:val="238" w:hRule="exact"/>
                    </w:trPr>
                    <w:tc>
                      <w:tcPr>
                        <w:tcW w:w="6680" w:type="dxa"/>
                      </w:tcPr>
                      <w:p>
                        <w:pPr>
                          <w:pStyle w:val="TableParagraph"/>
                          <w:spacing w:before="10"/>
                          <w:ind w:left="240"/>
                          <w:rPr>
                            <w:sz w:val="18"/>
                          </w:rPr>
                        </w:pPr>
                        <w:r>
                          <w:rPr>
                            <w:color w:val="231F20"/>
                            <w:sz w:val="18"/>
                          </w:rPr>
                          <w:t>Proceeds from termination of interest rate derivative instrument</w:t>
                        </w:r>
                      </w:p>
                    </w:tc>
                    <w:tc>
                      <w:tcPr>
                        <w:tcW w:w="680" w:type="dxa"/>
                      </w:tcPr>
                      <w:p>
                        <w:pPr>
                          <w:pStyle w:val="TableParagraph"/>
                          <w:spacing w:before="10"/>
                          <w:ind w:right="58"/>
                          <w:jc w:val="right"/>
                          <w:rPr>
                            <w:sz w:val="18"/>
                          </w:rPr>
                        </w:pPr>
                        <w:r>
                          <w:rPr>
                            <w:color w:val="231F20"/>
                            <w:sz w:val="18"/>
                          </w:rPr>
                          <w:t>—</w:t>
                        </w:r>
                      </w:p>
                    </w:tc>
                    <w:tc>
                      <w:tcPr>
                        <w:tcW w:w="200" w:type="dxa"/>
                        <w:gridSpan w:val="2"/>
                      </w:tcPr>
                      <w:p>
                        <w:pPr/>
                      </w:p>
                    </w:tc>
                    <w:tc>
                      <w:tcPr>
                        <w:tcW w:w="680" w:type="dxa"/>
                      </w:tcPr>
                      <w:p>
                        <w:pPr>
                          <w:pStyle w:val="TableParagraph"/>
                          <w:spacing w:before="10"/>
                          <w:ind w:right="58"/>
                          <w:jc w:val="right"/>
                          <w:rPr>
                            <w:sz w:val="18"/>
                          </w:rPr>
                        </w:pPr>
                        <w:r>
                          <w:rPr>
                            <w:color w:val="231F20"/>
                            <w:sz w:val="18"/>
                          </w:rPr>
                          <w:t>—</w:t>
                        </w:r>
                      </w:p>
                    </w:tc>
                    <w:tc>
                      <w:tcPr>
                        <w:tcW w:w="200" w:type="dxa"/>
                        <w:gridSpan w:val="2"/>
                      </w:tcPr>
                      <w:p>
                        <w:pPr/>
                      </w:p>
                    </w:tc>
                    <w:tc>
                      <w:tcPr>
                        <w:tcW w:w="680" w:type="dxa"/>
                      </w:tcPr>
                      <w:p>
                        <w:pPr>
                          <w:pStyle w:val="TableParagraph"/>
                          <w:spacing w:before="10"/>
                          <w:ind w:right="58"/>
                          <w:jc w:val="right"/>
                          <w:rPr>
                            <w:sz w:val="18"/>
                          </w:rPr>
                        </w:pPr>
                        <w:r>
                          <w:rPr>
                            <w:color w:val="231F20"/>
                            <w:sz w:val="18"/>
                          </w:rPr>
                          <w:t>38</w:t>
                        </w:r>
                      </w:p>
                    </w:tc>
                  </w:tr>
                  <w:tr>
                    <w:trPr>
                      <w:trHeight w:val="238" w:hRule="exact"/>
                    </w:trPr>
                    <w:tc>
                      <w:tcPr>
                        <w:tcW w:w="6680" w:type="dxa"/>
                        <w:shd w:val="clear" w:color="auto" w:fill="CCECFC"/>
                      </w:tcPr>
                      <w:p>
                        <w:pPr>
                          <w:pStyle w:val="TableParagraph"/>
                          <w:spacing w:before="10"/>
                          <w:ind w:left="240"/>
                          <w:rPr>
                            <w:sz w:val="18"/>
                          </w:rPr>
                        </w:pPr>
                        <w:r>
                          <w:rPr>
                            <w:color w:val="231F20"/>
                            <w:sz w:val="18"/>
                          </w:rPr>
                          <w:t>Payments of long-term debt and capital lease obligations</w:t>
                        </w:r>
                      </w:p>
                    </w:tc>
                    <w:tc>
                      <w:tcPr>
                        <w:tcW w:w="680" w:type="dxa"/>
                        <w:shd w:val="clear" w:color="auto" w:fill="CCECFC"/>
                      </w:tcPr>
                      <w:p>
                        <w:pPr>
                          <w:pStyle w:val="TableParagraph"/>
                          <w:spacing w:before="10"/>
                          <w:jc w:val="right"/>
                          <w:rPr>
                            <w:sz w:val="18"/>
                          </w:rPr>
                        </w:pPr>
                        <w:r>
                          <w:rPr>
                            <w:color w:val="231F20"/>
                            <w:sz w:val="18"/>
                          </w:rPr>
                          <w:t>(561)</w:t>
                        </w:r>
                      </w:p>
                    </w:tc>
                    <w:tc>
                      <w:tcPr>
                        <w:tcW w:w="200" w:type="dxa"/>
                        <w:gridSpan w:val="2"/>
                        <w:shd w:val="clear" w:color="auto" w:fill="CCECFC"/>
                      </w:tcPr>
                      <w:p>
                        <w:pPr/>
                      </w:p>
                    </w:tc>
                    <w:tc>
                      <w:tcPr>
                        <w:tcW w:w="680" w:type="dxa"/>
                        <w:shd w:val="clear" w:color="auto" w:fill="CCECFC"/>
                      </w:tcPr>
                      <w:p>
                        <w:pPr>
                          <w:pStyle w:val="TableParagraph"/>
                          <w:spacing w:before="10"/>
                          <w:jc w:val="right"/>
                          <w:rPr>
                            <w:sz w:val="18"/>
                          </w:rPr>
                        </w:pPr>
                        <w:r>
                          <w:rPr>
                            <w:color w:val="231F20"/>
                            <w:sz w:val="18"/>
                          </w:rPr>
                          <w:t>(313)</w:t>
                        </w:r>
                      </w:p>
                    </w:tc>
                    <w:tc>
                      <w:tcPr>
                        <w:tcW w:w="200" w:type="dxa"/>
                        <w:gridSpan w:val="2"/>
                        <w:shd w:val="clear" w:color="auto" w:fill="CCECFC"/>
                      </w:tcPr>
                      <w:p>
                        <w:pPr/>
                      </w:p>
                    </w:tc>
                    <w:tc>
                      <w:tcPr>
                        <w:tcW w:w="680" w:type="dxa"/>
                        <w:shd w:val="clear" w:color="auto" w:fill="CCECFC"/>
                      </w:tcPr>
                      <w:p>
                        <w:pPr>
                          <w:pStyle w:val="TableParagraph"/>
                          <w:spacing w:before="10"/>
                          <w:jc w:val="right"/>
                          <w:rPr>
                            <w:sz w:val="18"/>
                          </w:rPr>
                        </w:pPr>
                        <w:r>
                          <w:rPr>
                            <w:color w:val="231F20"/>
                            <w:sz w:val="18"/>
                          </w:rPr>
                          <w:t>(578)</w:t>
                        </w:r>
                      </w:p>
                    </w:tc>
                  </w:tr>
                  <w:tr>
                    <w:trPr>
                      <w:trHeight w:val="238" w:hRule="exact"/>
                    </w:trPr>
                    <w:tc>
                      <w:tcPr>
                        <w:tcW w:w="6680" w:type="dxa"/>
                      </w:tcPr>
                      <w:p>
                        <w:pPr>
                          <w:pStyle w:val="TableParagraph"/>
                          <w:spacing w:before="10"/>
                          <w:ind w:left="240"/>
                          <w:rPr>
                            <w:sz w:val="18"/>
                          </w:rPr>
                        </w:pPr>
                        <w:r>
                          <w:rPr>
                            <w:color w:val="231F20"/>
                            <w:sz w:val="18"/>
                          </w:rPr>
                          <w:t>Payments of cash dividends</w:t>
                        </w:r>
                      </w:p>
                    </w:tc>
                    <w:tc>
                      <w:tcPr>
                        <w:tcW w:w="680" w:type="dxa"/>
                      </w:tcPr>
                      <w:p>
                        <w:pPr>
                          <w:pStyle w:val="TableParagraph"/>
                          <w:spacing w:before="10"/>
                          <w:jc w:val="right"/>
                          <w:rPr>
                            <w:sz w:val="18"/>
                          </w:rPr>
                        </w:pPr>
                        <w:r>
                          <w:rPr>
                            <w:color w:val="231F20"/>
                            <w:sz w:val="18"/>
                          </w:rPr>
                          <w:t>(139)</w:t>
                        </w:r>
                      </w:p>
                    </w:tc>
                    <w:tc>
                      <w:tcPr>
                        <w:tcW w:w="200" w:type="dxa"/>
                        <w:gridSpan w:val="2"/>
                      </w:tcPr>
                      <w:p>
                        <w:pPr/>
                      </w:p>
                    </w:tc>
                    <w:tc>
                      <w:tcPr>
                        <w:tcW w:w="680" w:type="dxa"/>
                      </w:tcPr>
                      <w:p>
                        <w:pPr>
                          <w:pStyle w:val="TableParagraph"/>
                          <w:spacing w:before="10"/>
                          <w:jc w:val="right"/>
                          <w:rPr>
                            <w:sz w:val="18"/>
                          </w:rPr>
                        </w:pPr>
                        <w:r>
                          <w:rPr>
                            <w:color w:val="231F20"/>
                            <w:sz w:val="18"/>
                          </w:rPr>
                          <w:t>(71)</w:t>
                        </w:r>
                      </w:p>
                    </w:tc>
                    <w:tc>
                      <w:tcPr>
                        <w:tcW w:w="200" w:type="dxa"/>
                        <w:gridSpan w:val="2"/>
                      </w:tcPr>
                      <w:p>
                        <w:pPr/>
                      </w:p>
                    </w:tc>
                    <w:tc>
                      <w:tcPr>
                        <w:tcW w:w="680" w:type="dxa"/>
                      </w:tcPr>
                      <w:p>
                        <w:pPr>
                          <w:pStyle w:val="TableParagraph"/>
                          <w:spacing w:before="10"/>
                          <w:jc w:val="right"/>
                          <w:rPr>
                            <w:sz w:val="18"/>
                          </w:rPr>
                        </w:pPr>
                        <w:r>
                          <w:rPr>
                            <w:color w:val="231F20"/>
                            <w:sz w:val="18"/>
                          </w:rPr>
                          <w:t>(22)</w:t>
                        </w:r>
                      </w:p>
                    </w:tc>
                  </w:tr>
                  <w:tr>
                    <w:trPr>
                      <w:trHeight w:val="238" w:hRule="exact"/>
                    </w:trPr>
                    <w:tc>
                      <w:tcPr>
                        <w:tcW w:w="6680" w:type="dxa"/>
                        <w:shd w:val="clear" w:color="auto" w:fill="CCECFC"/>
                      </w:tcPr>
                      <w:p>
                        <w:pPr>
                          <w:pStyle w:val="TableParagraph"/>
                          <w:spacing w:before="10"/>
                          <w:ind w:left="240"/>
                          <w:rPr>
                            <w:sz w:val="18"/>
                          </w:rPr>
                        </w:pPr>
                        <w:r>
                          <w:rPr>
                            <w:color w:val="231F20"/>
                            <w:sz w:val="18"/>
                          </w:rPr>
                          <w:t>Repayment of construction obligation</w:t>
                        </w:r>
                      </w:p>
                    </w:tc>
                    <w:tc>
                      <w:tcPr>
                        <w:tcW w:w="680" w:type="dxa"/>
                        <w:shd w:val="clear" w:color="auto" w:fill="CCECFC"/>
                      </w:tcPr>
                      <w:p>
                        <w:pPr>
                          <w:pStyle w:val="TableParagraph"/>
                          <w:spacing w:before="10"/>
                          <w:jc w:val="right"/>
                          <w:rPr>
                            <w:sz w:val="18"/>
                          </w:rPr>
                        </w:pPr>
                        <w:r>
                          <w:rPr>
                            <w:color w:val="231F20"/>
                            <w:sz w:val="18"/>
                          </w:rPr>
                          <w:t>(11)</w:t>
                        </w:r>
                      </w:p>
                    </w:tc>
                    <w:tc>
                      <w:tcPr>
                        <w:tcW w:w="200" w:type="dxa"/>
                        <w:gridSpan w:val="2"/>
                        <w:shd w:val="clear" w:color="auto" w:fill="CCECFC"/>
                      </w:tcPr>
                      <w:p>
                        <w:pPr/>
                      </w:p>
                    </w:tc>
                    <w:tc>
                      <w:tcPr>
                        <w:tcW w:w="680" w:type="dxa"/>
                        <w:shd w:val="clear" w:color="auto" w:fill="CCECFC"/>
                      </w:tcPr>
                      <w:p>
                        <w:pPr>
                          <w:pStyle w:val="TableParagraph"/>
                          <w:spacing w:before="10"/>
                          <w:jc w:val="right"/>
                          <w:rPr>
                            <w:sz w:val="18"/>
                          </w:rPr>
                        </w:pPr>
                        <w:r>
                          <w:rPr>
                            <w:color w:val="231F20"/>
                            <w:sz w:val="18"/>
                          </w:rPr>
                          <w:t>(5)</w:t>
                        </w:r>
                      </w:p>
                    </w:tc>
                    <w:tc>
                      <w:tcPr>
                        <w:tcW w:w="200" w:type="dxa"/>
                        <w:gridSpan w:val="2"/>
                        <w:shd w:val="clear" w:color="auto" w:fill="CCECFC"/>
                      </w:tcPr>
                      <w:p>
                        <w:pPr/>
                      </w:p>
                    </w:tc>
                    <w:tc>
                      <w:tcPr>
                        <w:tcW w:w="680" w:type="dxa"/>
                        <w:shd w:val="clear" w:color="auto" w:fill="CCECFC"/>
                      </w:tcPr>
                      <w:p>
                        <w:pPr>
                          <w:pStyle w:val="TableParagraph"/>
                          <w:spacing w:before="10"/>
                          <w:ind w:right="58"/>
                          <w:jc w:val="right"/>
                          <w:rPr>
                            <w:sz w:val="18"/>
                          </w:rPr>
                        </w:pPr>
                        <w:r>
                          <w:rPr>
                            <w:color w:val="231F20"/>
                            <w:sz w:val="18"/>
                          </w:rPr>
                          <w:t>—</w:t>
                        </w:r>
                      </w:p>
                    </w:tc>
                  </w:tr>
                  <w:tr>
                    <w:trPr>
                      <w:trHeight w:val="238" w:hRule="exact"/>
                    </w:trPr>
                    <w:tc>
                      <w:tcPr>
                        <w:tcW w:w="6680" w:type="dxa"/>
                      </w:tcPr>
                      <w:p>
                        <w:pPr>
                          <w:pStyle w:val="TableParagraph"/>
                          <w:spacing w:before="10"/>
                          <w:ind w:left="240"/>
                          <w:rPr>
                            <w:sz w:val="18"/>
                          </w:rPr>
                        </w:pPr>
                        <w:r>
                          <w:rPr>
                            <w:color w:val="231F20"/>
                            <w:sz w:val="18"/>
                          </w:rPr>
                          <w:t>Repurchase of common stock</w:t>
                        </w:r>
                      </w:p>
                    </w:tc>
                    <w:tc>
                      <w:tcPr>
                        <w:tcW w:w="680" w:type="dxa"/>
                      </w:tcPr>
                      <w:p>
                        <w:pPr>
                          <w:pStyle w:val="TableParagraph"/>
                          <w:spacing w:before="10"/>
                          <w:jc w:val="right"/>
                          <w:rPr>
                            <w:sz w:val="18"/>
                          </w:rPr>
                        </w:pPr>
                        <w:r>
                          <w:rPr>
                            <w:color w:val="231F20"/>
                            <w:sz w:val="18"/>
                          </w:rPr>
                          <w:t>(955)</w:t>
                        </w:r>
                      </w:p>
                    </w:tc>
                    <w:tc>
                      <w:tcPr>
                        <w:tcW w:w="200" w:type="dxa"/>
                        <w:gridSpan w:val="2"/>
                      </w:tcPr>
                      <w:p>
                        <w:pPr/>
                      </w:p>
                    </w:tc>
                    <w:tc>
                      <w:tcPr>
                        <w:tcW w:w="680" w:type="dxa"/>
                      </w:tcPr>
                      <w:p>
                        <w:pPr>
                          <w:pStyle w:val="TableParagraph"/>
                          <w:spacing w:before="10"/>
                          <w:jc w:val="right"/>
                          <w:rPr>
                            <w:sz w:val="18"/>
                          </w:rPr>
                        </w:pPr>
                        <w:r>
                          <w:rPr>
                            <w:color w:val="231F20"/>
                            <w:sz w:val="18"/>
                          </w:rPr>
                          <w:t>(540)</w:t>
                        </w:r>
                      </w:p>
                    </w:tc>
                    <w:tc>
                      <w:tcPr>
                        <w:tcW w:w="200" w:type="dxa"/>
                        <w:gridSpan w:val="2"/>
                      </w:tcPr>
                      <w:p>
                        <w:pPr/>
                      </w:p>
                    </w:tc>
                    <w:tc>
                      <w:tcPr>
                        <w:tcW w:w="680" w:type="dxa"/>
                      </w:tcPr>
                      <w:p>
                        <w:pPr>
                          <w:pStyle w:val="TableParagraph"/>
                          <w:spacing w:before="10"/>
                          <w:jc w:val="right"/>
                          <w:rPr>
                            <w:sz w:val="18"/>
                          </w:rPr>
                        </w:pPr>
                        <w:r>
                          <w:rPr>
                            <w:color w:val="231F20"/>
                            <w:sz w:val="18"/>
                          </w:rPr>
                          <w:t>(400)</w:t>
                        </w:r>
                      </w:p>
                    </w:tc>
                  </w:tr>
                  <w:tr>
                    <w:trPr>
                      <w:trHeight w:val="253" w:hRule="exact"/>
                    </w:trPr>
                    <w:tc>
                      <w:tcPr>
                        <w:tcW w:w="6680" w:type="dxa"/>
                        <w:shd w:val="clear" w:color="auto" w:fill="CCECFC"/>
                      </w:tcPr>
                      <w:p>
                        <w:pPr>
                          <w:pStyle w:val="TableParagraph"/>
                          <w:spacing w:before="10"/>
                          <w:ind w:left="240"/>
                          <w:rPr>
                            <w:sz w:val="18"/>
                          </w:rPr>
                        </w:pPr>
                        <w:r>
                          <w:rPr>
                            <w:color w:val="231F20"/>
                            <w:sz w:val="18"/>
                          </w:rPr>
                          <w:t>Other, net</w:t>
                        </w:r>
                      </w:p>
                    </w:tc>
                    <w:tc>
                      <w:tcPr>
                        <w:tcW w:w="680" w:type="dxa"/>
                        <w:tcBorders>
                          <w:bottom w:val="single" w:sz="4" w:space="0" w:color="231F20"/>
                        </w:tcBorders>
                        <w:shd w:val="clear" w:color="auto" w:fill="CCECFC"/>
                      </w:tcPr>
                      <w:p>
                        <w:pPr>
                          <w:pStyle w:val="TableParagraph"/>
                          <w:spacing w:before="10"/>
                          <w:jc w:val="right"/>
                          <w:rPr>
                            <w:sz w:val="18"/>
                          </w:rPr>
                        </w:pPr>
                        <w:r>
                          <w:rPr>
                            <w:color w:val="231F20"/>
                            <w:sz w:val="18"/>
                          </w:rPr>
                          <w:t>(19)</w:t>
                        </w:r>
                      </w:p>
                    </w:tc>
                    <w:tc>
                      <w:tcPr>
                        <w:tcW w:w="200" w:type="dxa"/>
                        <w:gridSpan w:val="2"/>
                        <w:shd w:val="clear" w:color="auto" w:fill="CCECFC"/>
                      </w:tcPr>
                      <w:p>
                        <w:pPr/>
                      </w:p>
                    </w:tc>
                    <w:tc>
                      <w:tcPr>
                        <w:tcW w:w="680" w:type="dxa"/>
                        <w:tcBorders>
                          <w:bottom w:val="single" w:sz="4" w:space="0" w:color="231F20"/>
                        </w:tcBorders>
                        <w:shd w:val="clear" w:color="auto" w:fill="CCECFC"/>
                      </w:tcPr>
                      <w:p>
                        <w:pPr>
                          <w:pStyle w:val="TableParagraph"/>
                          <w:spacing w:before="10"/>
                          <w:jc w:val="right"/>
                          <w:rPr>
                            <w:sz w:val="18"/>
                          </w:rPr>
                        </w:pPr>
                        <w:r>
                          <w:rPr>
                            <w:color w:val="231F20"/>
                            <w:sz w:val="18"/>
                          </w:rPr>
                          <w:t>(18)</w:t>
                        </w:r>
                      </w:p>
                    </w:tc>
                    <w:tc>
                      <w:tcPr>
                        <w:tcW w:w="200" w:type="dxa"/>
                        <w:gridSpan w:val="2"/>
                        <w:shd w:val="clear" w:color="auto" w:fill="CCECFC"/>
                      </w:tcPr>
                      <w:p>
                        <w:pPr/>
                      </w:p>
                    </w:tc>
                    <w:tc>
                      <w:tcPr>
                        <w:tcW w:w="680" w:type="dxa"/>
                        <w:tcBorders>
                          <w:bottom w:val="single" w:sz="4" w:space="0" w:color="231F20"/>
                        </w:tcBorders>
                        <w:shd w:val="clear" w:color="auto" w:fill="CCECFC"/>
                      </w:tcPr>
                      <w:p>
                        <w:pPr>
                          <w:pStyle w:val="TableParagraph"/>
                          <w:spacing w:before="10"/>
                          <w:jc w:val="right"/>
                          <w:rPr>
                            <w:sz w:val="18"/>
                          </w:rPr>
                        </w:pPr>
                        <w:r>
                          <w:rPr>
                            <w:color w:val="231F20"/>
                            <w:sz w:val="18"/>
                          </w:rPr>
                          <w:t>(12)</w:t>
                        </w:r>
                      </w:p>
                    </w:tc>
                  </w:tr>
                  <w:tr>
                    <w:trPr>
                      <w:trHeight w:val="243" w:hRule="exact"/>
                    </w:trPr>
                    <w:tc>
                      <w:tcPr>
                        <w:tcW w:w="6680" w:type="dxa"/>
                      </w:tcPr>
                      <w:p>
                        <w:pPr>
                          <w:pStyle w:val="TableParagraph"/>
                          <w:spacing w:before="30"/>
                          <w:ind w:left="240"/>
                          <w:rPr>
                            <w:sz w:val="18"/>
                          </w:rPr>
                        </w:pPr>
                        <w:r>
                          <w:rPr>
                            <w:color w:val="231F20"/>
                            <w:sz w:val="18"/>
                          </w:rPr>
                          <w:t>Net cash used in financing activities</w:t>
                        </w:r>
                      </w:p>
                    </w:tc>
                    <w:tc>
                      <w:tcPr>
                        <w:tcW w:w="680" w:type="dxa"/>
                        <w:tcBorders>
                          <w:top w:val="single" w:sz="4" w:space="0" w:color="231F20"/>
                        </w:tcBorders>
                      </w:tcPr>
                      <w:p>
                        <w:pPr>
                          <w:pStyle w:val="TableParagraph"/>
                          <w:spacing w:before="10"/>
                          <w:jc w:val="right"/>
                          <w:rPr>
                            <w:sz w:val="18"/>
                          </w:rPr>
                        </w:pPr>
                        <w:r>
                          <w:rPr>
                            <w:color w:val="231F20"/>
                            <w:sz w:val="18"/>
                          </w:rPr>
                          <w:t>(1,248)</w:t>
                        </w:r>
                      </w:p>
                    </w:tc>
                    <w:tc>
                      <w:tcPr>
                        <w:tcW w:w="200" w:type="dxa"/>
                        <w:gridSpan w:val="2"/>
                      </w:tcPr>
                      <w:p>
                        <w:pPr/>
                      </w:p>
                    </w:tc>
                    <w:tc>
                      <w:tcPr>
                        <w:tcW w:w="680" w:type="dxa"/>
                        <w:tcBorders>
                          <w:top w:val="single" w:sz="4" w:space="0" w:color="231F20"/>
                        </w:tcBorders>
                      </w:tcPr>
                      <w:p>
                        <w:pPr>
                          <w:pStyle w:val="TableParagraph"/>
                          <w:spacing w:before="10"/>
                          <w:jc w:val="right"/>
                          <w:rPr>
                            <w:sz w:val="18"/>
                          </w:rPr>
                        </w:pPr>
                        <w:r>
                          <w:rPr>
                            <w:color w:val="231F20"/>
                            <w:sz w:val="18"/>
                          </w:rPr>
                          <w:t>(851)</w:t>
                        </w:r>
                      </w:p>
                    </w:tc>
                    <w:tc>
                      <w:tcPr>
                        <w:tcW w:w="200" w:type="dxa"/>
                        <w:gridSpan w:val="2"/>
                      </w:tcPr>
                      <w:p>
                        <w:pPr/>
                      </w:p>
                    </w:tc>
                    <w:tc>
                      <w:tcPr>
                        <w:tcW w:w="680" w:type="dxa"/>
                        <w:tcBorders>
                          <w:top w:val="single" w:sz="4" w:space="0" w:color="231F20"/>
                        </w:tcBorders>
                      </w:tcPr>
                      <w:p>
                        <w:pPr>
                          <w:pStyle w:val="TableParagraph"/>
                          <w:spacing w:before="10"/>
                          <w:jc w:val="right"/>
                          <w:rPr>
                            <w:sz w:val="18"/>
                          </w:rPr>
                        </w:pPr>
                        <w:r>
                          <w:rPr>
                            <w:color w:val="231F20"/>
                            <w:sz w:val="18"/>
                          </w:rPr>
                          <w:t>(947)</w:t>
                        </w:r>
                      </w:p>
                    </w:tc>
                  </w:tr>
                  <w:tr>
                    <w:trPr>
                      <w:trHeight w:val="308" w:hRule="exact"/>
                    </w:trPr>
                    <w:tc>
                      <w:tcPr>
                        <w:tcW w:w="6680" w:type="dxa"/>
                        <w:shd w:val="clear" w:color="auto" w:fill="CCECFC"/>
                      </w:tcPr>
                      <w:p>
                        <w:pPr/>
                      </w:p>
                    </w:tc>
                    <w:tc>
                      <w:tcPr>
                        <w:tcW w:w="680" w:type="dxa"/>
                        <w:shd w:val="clear" w:color="auto" w:fill="CCECFC"/>
                      </w:tcPr>
                      <w:p>
                        <w:pPr/>
                      </w:p>
                    </w:tc>
                    <w:tc>
                      <w:tcPr>
                        <w:tcW w:w="200" w:type="dxa"/>
                        <w:gridSpan w:val="2"/>
                        <w:shd w:val="clear" w:color="auto" w:fill="CCECFC"/>
                      </w:tcPr>
                      <w:p>
                        <w:pPr/>
                      </w:p>
                    </w:tc>
                    <w:tc>
                      <w:tcPr>
                        <w:tcW w:w="680" w:type="dxa"/>
                        <w:shd w:val="clear" w:color="auto" w:fill="CCECFC"/>
                      </w:tcPr>
                      <w:p>
                        <w:pPr/>
                      </w:p>
                    </w:tc>
                    <w:tc>
                      <w:tcPr>
                        <w:tcW w:w="200" w:type="dxa"/>
                        <w:gridSpan w:val="2"/>
                        <w:shd w:val="clear" w:color="auto" w:fill="CCECFC"/>
                      </w:tcPr>
                      <w:p>
                        <w:pPr/>
                      </w:p>
                    </w:tc>
                    <w:tc>
                      <w:tcPr>
                        <w:tcW w:w="680" w:type="dxa"/>
                        <w:shd w:val="clear" w:color="auto" w:fill="CCECFC"/>
                      </w:tcPr>
                      <w:p>
                        <w:pPr/>
                      </w:p>
                    </w:tc>
                  </w:tr>
                  <w:tr>
                    <w:trPr>
                      <w:trHeight w:val="238" w:hRule="exact"/>
                    </w:trPr>
                    <w:tc>
                      <w:tcPr>
                        <w:tcW w:w="6680" w:type="dxa"/>
                      </w:tcPr>
                      <w:p>
                        <w:pPr>
                          <w:pStyle w:val="TableParagraph"/>
                          <w:spacing w:before="10"/>
                          <w:ind w:left="60"/>
                          <w:rPr>
                            <w:b/>
                            <w:sz w:val="18"/>
                          </w:rPr>
                        </w:pPr>
                        <w:r>
                          <w:rPr>
                            <w:b/>
                            <w:color w:val="231F20"/>
                            <w:sz w:val="18"/>
                          </w:rPr>
                          <w:t>NET CHANGE IN CASH AND CASH EQUIVALENTS</w:t>
                        </w:r>
                      </w:p>
                    </w:tc>
                    <w:tc>
                      <w:tcPr>
                        <w:tcW w:w="680" w:type="dxa"/>
                      </w:tcPr>
                      <w:p>
                        <w:pPr>
                          <w:pStyle w:val="TableParagraph"/>
                          <w:spacing w:before="10"/>
                          <w:jc w:val="right"/>
                          <w:rPr>
                            <w:sz w:val="18"/>
                          </w:rPr>
                        </w:pPr>
                        <w:r>
                          <w:rPr>
                            <w:color w:val="231F20"/>
                            <w:sz w:val="18"/>
                          </w:rPr>
                          <w:t>(73)</w:t>
                        </w:r>
                      </w:p>
                    </w:tc>
                    <w:tc>
                      <w:tcPr>
                        <w:tcW w:w="880" w:type="dxa"/>
                        <w:gridSpan w:val="3"/>
                      </w:tcPr>
                      <w:p>
                        <w:pPr>
                          <w:pStyle w:val="TableParagraph"/>
                          <w:spacing w:before="10"/>
                          <w:ind w:left="549"/>
                          <w:rPr>
                            <w:sz w:val="18"/>
                          </w:rPr>
                        </w:pPr>
                        <w:r>
                          <w:rPr>
                            <w:color w:val="231F20"/>
                            <w:sz w:val="18"/>
                          </w:rPr>
                          <w:t>242</w:t>
                        </w:r>
                      </w:p>
                    </w:tc>
                    <w:tc>
                      <w:tcPr>
                        <w:tcW w:w="880" w:type="dxa"/>
                        <w:gridSpan w:val="3"/>
                      </w:tcPr>
                      <w:p>
                        <w:pPr>
                          <w:pStyle w:val="TableParagraph"/>
                          <w:spacing w:before="10"/>
                          <w:ind w:left="550"/>
                          <w:rPr>
                            <w:sz w:val="18"/>
                          </w:rPr>
                        </w:pPr>
                        <w:r>
                          <w:rPr>
                            <w:color w:val="231F20"/>
                            <w:sz w:val="18"/>
                          </w:rPr>
                          <w:t>284</w:t>
                        </w:r>
                      </w:p>
                    </w:tc>
                  </w:tr>
                  <w:tr>
                    <w:trPr>
                      <w:trHeight w:val="238" w:hRule="exact"/>
                    </w:trPr>
                    <w:tc>
                      <w:tcPr>
                        <w:tcW w:w="6680" w:type="dxa"/>
                        <w:shd w:val="clear" w:color="auto" w:fill="CCECFC"/>
                      </w:tcPr>
                      <w:p>
                        <w:pPr>
                          <w:pStyle w:val="TableParagraph"/>
                          <w:spacing w:before="10"/>
                          <w:ind w:left="60"/>
                          <w:rPr>
                            <w:b/>
                            <w:sz w:val="18"/>
                          </w:rPr>
                        </w:pPr>
                        <w:r>
                          <w:rPr>
                            <w:b/>
                            <w:color w:val="231F20"/>
                            <w:sz w:val="18"/>
                          </w:rPr>
                          <w:t>CASH AND CASH EQUIVALENTS AT BEGINNING OF PERIOD</w:t>
                        </w:r>
                      </w:p>
                    </w:tc>
                    <w:tc>
                      <w:tcPr>
                        <w:tcW w:w="680" w:type="dxa"/>
                        <w:shd w:val="clear" w:color="auto" w:fill="CCECFC"/>
                      </w:tcPr>
                      <w:p>
                        <w:pPr>
                          <w:pStyle w:val="TableParagraph"/>
                          <w:spacing w:before="10"/>
                          <w:ind w:left="214"/>
                          <w:rPr>
                            <w:sz w:val="18"/>
                          </w:rPr>
                        </w:pPr>
                        <w:r>
                          <w:rPr>
                            <w:color w:val="231F20"/>
                            <w:sz w:val="18"/>
                          </w:rPr>
                          <w:t>1,355</w:t>
                        </w:r>
                      </w:p>
                    </w:tc>
                    <w:tc>
                      <w:tcPr>
                        <w:tcW w:w="880" w:type="dxa"/>
                        <w:gridSpan w:val="3"/>
                        <w:shd w:val="clear" w:color="auto" w:fill="CCECFC"/>
                      </w:tcPr>
                      <w:p>
                        <w:pPr>
                          <w:pStyle w:val="TableParagraph"/>
                          <w:spacing w:before="10"/>
                          <w:ind w:left="414"/>
                          <w:rPr>
                            <w:sz w:val="18"/>
                          </w:rPr>
                        </w:pPr>
                        <w:r>
                          <w:rPr>
                            <w:color w:val="231F20"/>
                            <w:sz w:val="18"/>
                          </w:rPr>
                          <w:t>1,113</w:t>
                        </w:r>
                      </w:p>
                    </w:tc>
                    <w:tc>
                      <w:tcPr>
                        <w:tcW w:w="880" w:type="dxa"/>
                        <w:gridSpan w:val="3"/>
                        <w:shd w:val="clear" w:color="auto" w:fill="CCECFC"/>
                      </w:tcPr>
                      <w:p>
                        <w:pPr>
                          <w:pStyle w:val="TableParagraph"/>
                          <w:spacing w:before="10"/>
                          <w:ind w:left="550"/>
                          <w:rPr>
                            <w:sz w:val="18"/>
                          </w:rPr>
                        </w:pPr>
                        <w:r>
                          <w:rPr>
                            <w:color w:val="231F20"/>
                            <w:sz w:val="18"/>
                          </w:rPr>
                          <w:t>829</w:t>
                        </w:r>
                      </w:p>
                    </w:tc>
                  </w:tr>
                  <w:tr>
                    <w:trPr>
                      <w:trHeight w:val="238" w:hRule="exact"/>
                    </w:trPr>
                    <w:tc>
                      <w:tcPr>
                        <w:tcW w:w="6680" w:type="dxa"/>
                      </w:tcPr>
                      <w:p>
                        <w:pPr>
                          <w:pStyle w:val="TableParagraph"/>
                          <w:spacing w:before="10"/>
                          <w:ind w:left="60"/>
                          <w:rPr>
                            <w:b/>
                            <w:sz w:val="18"/>
                          </w:rPr>
                        </w:pPr>
                        <w:r>
                          <w:rPr>
                            <w:b/>
                            <w:color w:val="231F20"/>
                            <w:sz w:val="18"/>
                          </w:rPr>
                          <w:t>CASH AND CASH EQUIVALENTS AT END OF PERIOD</w:t>
                        </w:r>
                      </w:p>
                    </w:tc>
                    <w:tc>
                      <w:tcPr>
                        <w:tcW w:w="680" w:type="dxa"/>
                      </w:tcPr>
                      <w:p>
                        <w:pPr>
                          <w:pStyle w:val="TableParagraph"/>
                          <w:spacing w:before="10"/>
                          <w:rPr>
                            <w:sz w:val="18"/>
                          </w:rPr>
                        </w:pPr>
                        <w:r>
                          <w:rPr>
                            <w:color w:val="231F20"/>
                            <w:sz w:val="18"/>
                          </w:rPr>
                          <w:t>$  1,282</w:t>
                        </w:r>
                      </w:p>
                    </w:tc>
                    <w:tc>
                      <w:tcPr>
                        <w:tcW w:w="880" w:type="dxa"/>
                        <w:gridSpan w:val="3"/>
                      </w:tcPr>
                      <w:p>
                        <w:pPr>
                          <w:pStyle w:val="TableParagraph"/>
                          <w:spacing w:before="10"/>
                          <w:ind w:left="199"/>
                          <w:rPr>
                            <w:sz w:val="18"/>
                          </w:rPr>
                        </w:pPr>
                        <w:r>
                          <w:rPr>
                            <w:color w:val="231F20"/>
                            <w:sz w:val="18"/>
                          </w:rPr>
                          <w:t>$  1,355</w:t>
                        </w:r>
                      </w:p>
                    </w:tc>
                    <w:tc>
                      <w:tcPr>
                        <w:tcW w:w="880" w:type="dxa"/>
                        <w:gridSpan w:val="3"/>
                      </w:tcPr>
                      <w:p>
                        <w:pPr>
                          <w:pStyle w:val="TableParagraph"/>
                          <w:spacing w:before="10"/>
                          <w:ind w:left="199"/>
                          <w:rPr>
                            <w:sz w:val="18"/>
                          </w:rPr>
                        </w:pPr>
                        <w:r>
                          <w:rPr>
                            <w:color w:val="231F20"/>
                            <w:sz w:val="18"/>
                          </w:rPr>
                          <w:t>$  1,113</w:t>
                        </w:r>
                      </w:p>
                    </w:tc>
                  </w:tr>
                  <w:tr>
                    <w:trPr>
                      <w:trHeight w:val="238" w:hRule="exact"/>
                    </w:trPr>
                    <w:tc>
                      <w:tcPr>
                        <w:tcW w:w="6680" w:type="dxa"/>
                        <w:shd w:val="clear" w:color="auto" w:fill="CCECFC"/>
                      </w:tcPr>
                      <w:p>
                        <w:pPr>
                          <w:pStyle w:val="TableParagraph"/>
                          <w:spacing w:before="10"/>
                          <w:ind w:left="60"/>
                          <w:rPr>
                            <w:b/>
                            <w:sz w:val="18"/>
                          </w:rPr>
                        </w:pPr>
                        <w:r>
                          <w:rPr>
                            <w:b/>
                            <w:color w:val="231F20"/>
                            <w:sz w:val="18"/>
                          </w:rPr>
                          <w:t>CASH PAYMENTS FOR:</w:t>
                        </w:r>
                      </w:p>
                    </w:tc>
                    <w:tc>
                      <w:tcPr>
                        <w:tcW w:w="680" w:type="dxa"/>
                        <w:shd w:val="clear" w:color="auto" w:fill="CCECFC"/>
                      </w:tcPr>
                      <w:p>
                        <w:pPr/>
                      </w:p>
                    </w:tc>
                    <w:tc>
                      <w:tcPr>
                        <w:tcW w:w="880" w:type="dxa"/>
                        <w:gridSpan w:val="3"/>
                        <w:shd w:val="clear" w:color="auto" w:fill="CCECFC"/>
                      </w:tcPr>
                      <w:p>
                        <w:pPr/>
                      </w:p>
                    </w:tc>
                    <w:tc>
                      <w:tcPr>
                        <w:tcW w:w="880" w:type="dxa"/>
                        <w:gridSpan w:val="3"/>
                        <w:shd w:val="clear" w:color="auto" w:fill="CCECFC"/>
                      </w:tcPr>
                      <w:p>
                        <w:pPr/>
                      </w:p>
                    </w:tc>
                  </w:tr>
                  <w:tr>
                    <w:trPr>
                      <w:trHeight w:val="238" w:hRule="exact"/>
                    </w:trPr>
                    <w:tc>
                      <w:tcPr>
                        <w:tcW w:w="6680" w:type="dxa"/>
                      </w:tcPr>
                      <w:p>
                        <w:pPr>
                          <w:pStyle w:val="TableParagraph"/>
                          <w:spacing w:before="10"/>
                          <w:ind w:left="240"/>
                          <w:rPr>
                            <w:sz w:val="18"/>
                          </w:rPr>
                        </w:pPr>
                        <w:r>
                          <w:rPr>
                            <w:color w:val="231F20"/>
                            <w:sz w:val="18"/>
                          </w:rPr>
                          <w:t>Interest</w:t>
                        </w:r>
                      </w:p>
                    </w:tc>
                    <w:tc>
                      <w:tcPr>
                        <w:tcW w:w="680" w:type="dxa"/>
                      </w:tcPr>
                      <w:p>
                        <w:pPr>
                          <w:pStyle w:val="TableParagraph"/>
                          <w:tabs>
                            <w:tab w:pos="349" w:val="left" w:leader="none"/>
                          </w:tabs>
                          <w:spacing w:before="10"/>
                          <w:rPr>
                            <w:sz w:val="18"/>
                          </w:rPr>
                        </w:pPr>
                        <w:r>
                          <w:rPr>
                            <w:color w:val="231F20"/>
                            <w:sz w:val="18"/>
                          </w:rPr>
                          <w:t>$</w:t>
                          <w:tab/>
                          <w:t>128</w:t>
                        </w:r>
                      </w:p>
                    </w:tc>
                    <w:tc>
                      <w:tcPr>
                        <w:tcW w:w="880" w:type="dxa"/>
                        <w:gridSpan w:val="3"/>
                      </w:tcPr>
                      <w:p>
                        <w:pPr>
                          <w:pStyle w:val="TableParagraph"/>
                          <w:tabs>
                            <w:tab w:pos="549" w:val="left" w:leader="none"/>
                          </w:tabs>
                          <w:spacing w:before="10"/>
                          <w:ind w:left="199"/>
                          <w:rPr>
                            <w:sz w:val="18"/>
                          </w:rPr>
                        </w:pPr>
                        <w:r>
                          <w:rPr>
                            <w:color w:val="231F20"/>
                            <w:sz w:val="18"/>
                          </w:rPr>
                          <w:t>$</w:t>
                          <w:tab/>
                          <w:t>133</w:t>
                        </w:r>
                      </w:p>
                    </w:tc>
                    <w:tc>
                      <w:tcPr>
                        <w:tcW w:w="880" w:type="dxa"/>
                        <w:gridSpan w:val="3"/>
                      </w:tcPr>
                      <w:p>
                        <w:pPr>
                          <w:pStyle w:val="TableParagraph"/>
                          <w:tabs>
                            <w:tab w:pos="549" w:val="left" w:leader="none"/>
                          </w:tabs>
                          <w:spacing w:before="10"/>
                          <w:ind w:left="199"/>
                          <w:rPr>
                            <w:sz w:val="18"/>
                          </w:rPr>
                        </w:pPr>
                        <w:r>
                          <w:rPr>
                            <w:color w:val="231F20"/>
                            <w:sz w:val="18"/>
                          </w:rPr>
                          <w:t>$</w:t>
                          <w:tab/>
                          <w:t>153</w:t>
                        </w:r>
                      </w:p>
                    </w:tc>
                  </w:tr>
                  <w:tr>
                    <w:trPr>
                      <w:trHeight w:val="238" w:hRule="exact"/>
                    </w:trPr>
                    <w:tc>
                      <w:tcPr>
                        <w:tcW w:w="6680" w:type="dxa"/>
                        <w:shd w:val="clear" w:color="auto" w:fill="CCECFC"/>
                      </w:tcPr>
                      <w:p>
                        <w:pPr>
                          <w:pStyle w:val="TableParagraph"/>
                          <w:spacing w:before="10"/>
                          <w:ind w:left="240"/>
                          <w:rPr>
                            <w:sz w:val="18"/>
                          </w:rPr>
                        </w:pPr>
                        <w:r>
                          <w:rPr>
                            <w:color w:val="231F20"/>
                            <w:sz w:val="18"/>
                          </w:rPr>
                          <w:t>Income taxes</w:t>
                        </w:r>
                      </w:p>
                    </w:tc>
                    <w:tc>
                      <w:tcPr>
                        <w:tcW w:w="680" w:type="dxa"/>
                        <w:shd w:val="clear" w:color="auto" w:fill="CCECFC"/>
                      </w:tcPr>
                      <w:p>
                        <w:pPr>
                          <w:pStyle w:val="TableParagraph"/>
                          <w:tabs>
                            <w:tab w:pos="349" w:val="left" w:leader="none"/>
                          </w:tabs>
                          <w:spacing w:before="10"/>
                          <w:rPr>
                            <w:sz w:val="18"/>
                          </w:rPr>
                        </w:pPr>
                        <w:r>
                          <w:rPr>
                            <w:color w:val="231F20"/>
                            <w:sz w:val="18"/>
                          </w:rPr>
                          <w:t>$</w:t>
                          <w:tab/>
                          <w:t>155</w:t>
                        </w:r>
                      </w:p>
                    </w:tc>
                    <w:tc>
                      <w:tcPr>
                        <w:tcW w:w="880" w:type="dxa"/>
                        <w:gridSpan w:val="3"/>
                        <w:shd w:val="clear" w:color="auto" w:fill="CCECFC"/>
                      </w:tcPr>
                      <w:p>
                        <w:pPr>
                          <w:pStyle w:val="TableParagraph"/>
                          <w:tabs>
                            <w:tab w:pos="549" w:val="left" w:leader="none"/>
                          </w:tabs>
                          <w:spacing w:before="10"/>
                          <w:ind w:left="199"/>
                          <w:rPr>
                            <w:sz w:val="18"/>
                          </w:rPr>
                        </w:pPr>
                        <w:r>
                          <w:rPr>
                            <w:color w:val="231F20"/>
                            <w:sz w:val="18"/>
                          </w:rPr>
                          <w:t>$</w:t>
                          <w:tab/>
                          <w:t>346</w:t>
                        </w:r>
                      </w:p>
                    </w:tc>
                    <w:tc>
                      <w:tcPr>
                        <w:tcW w:w="880" w:type="dxa"/>
                        <w:gridSpan w:val="3"/>
                        <w:shd w:val="clear" w:color="auto" w:fill="CCECFC"/>
                      </w:tcPr>
                      <w:p>
                        <w:pPr>
                          <w:pStyle w:val="TableParagraph"/>
                          <w:tabs>
                            <w:tab w:pos="549" w:val="left" w:leader="none"/>
                          </w:tabs>
                          <w:spacing w:before="10"/>
                          <w:ind w:left="199"/>
                          <w:rPr>
                            <w:sz w:val="18"/>
                          </w:rPr>
                        </w:pPr>
                        <w:r>
                          <w:rPr>
                            <w:color w:val="231F20"/>
                            <w:sz w:val="18"/>
                          </w:rPr>
                          <w:t>$</w:t>
                          <w:tab/>
                          <w:t>100</w:t>
                        </w:r>
                      </w:p>
                    </w:tc>
                  </w:tr>
                </w:tbl>
                <w:p>
                  <w:pPr>
                    <w:pStyle w:val="BodyText"/>
                  </w:pPr>
                </w:p>
              </w:txbxContent>
            </v:textbox>
            <w10:wrap type="none"/>
          </v:shape>
        </w:pict>
      </w:r>
      <w:r>
        <w:rPr>
          <w:b/>
          <w:color w:val="231F20"/>
          <w:sz w:val="18"/>
        </w:rPr>
        <w:t>Year ended December 31, 2014</w:t>
        <w:tab/>
        <w:t>2013</w:t>
        <w:tab/>
        <w:t>2012</w:t>
      </w:r>
    </w:p>
    <w:p>
      <w:pPr>
        <w:pStyle w:val="BodyText"/>
        <w:ind w:left="100"/>
        <w:rPr>
          <w:sz w:val="20"/>
        </w:rPr>
      </w:pPr>
      <w:r>
        <w:rPr>
          <w:sz w:val="20"/>
        </w:rPr>
        <w:pict>
          <v:shape style="width:456pt;height:12.8pt;mso-position-horizontal-relative:char;mso-position-vertical-relative:line" type="#_x0000_t202" filled="true" fillcolor="#ccecfc" stroked="false">
            <w10:anchorlock/>
            <v:textbox inset="0,0,0,0">
              <w:txbxContent>
                <w:p>
                  <w:pPr>
                    <w:spacing w:before="9"/>
                    <w:ind w:left="60" w:right="0" w:firstLine="0"/>
                    <w:jc w:val="left"/>
                    <w:rPr>
                      <w:b/>
                      <w:sz w:val="20"/>
                    </w:rPr>
                  </w:pPr>
                  <w:r>
                    <w:rPr>
                      <w:b/>
                      <w:color w:val="231F20"/>
                      <w:sz w:val="20"/>
                    </w:rPr>
                    <w:t>CASH FLOWS FROM OPERATING ACTIVITIES:</w:t>
                  </w:r>
                </w:p>
              </w:txbxContent>
            </v:textbox>
            <v:fill type="solid"/>
          </v:shape>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0"/>
        </w:rPr>
      </w:pPr>
    </w:p>
    <w:p>
      <w:pPr>
        <w:spacing w:before="0"/>
        <w:ind w:left="160" w:right="0" w:firstLine="0"/>
        <w:jc w:val="left"/>
        <w:rPr>
          <w:b/>
          <w:sz w:val="18"/>
        </w:rPr>
      </w:pPr>
      <w:r>
        <w:rPr/>
        <w:pict>
          <v:shape style="position:absolute;margin-left:69pt;margin-top:11.403845pt;width:456pt;height:11.9pt;mso-position-horizontal-relative:page;mso-position-vertical-relative:paragraph;z-index:3832;mso-wrap-distance-left:0;mso-wrap-distance-right:0" type="#_x0000_t202" filled="true" fillcolor="#ccecfc" stroked="false">
            <v:textbox inset="0,0,0,0">
              <w:txbxContent>
                <w:p>
                  <w:pPr>
                    <w:tabs>
                      <w:tab w:pos="6679" w:val="left" w:leader="none"/>
                      <w:tab w:pos="7119" w:val="left" w:leader="none"/>
                      <w:tab w:pos="7559" w:val="left" w:leader="none"/>
                      <w:tab w:pos="7909" w:val="left" w:leader="none"/>
                      <w:tab w:pos="8439" w:val="left" w:leader="none"/>
                      <w:tab w:pos="8789" w:val="left" w:leader="none"/>
                    </w:tabs>
                    <w:spacing w:before="10"/>
                    <w:ind w:left="240" w:right="0" w:firstLine="0"/>
                    <w:jc w:val="left"/>
                    <w:rPr>
                      <w:sz w:val="18"/>
                    </w:rPr>
                  </w:pPr>
                  <w:r>
                    <w:rPr>
                      <w:color w:val="231F20"/>
                      <w:sz w:val="18"/>
                    </w:rPr>
                    <w:t>Assets constructed for others</w:t>
                    <w:tab/>
                    <w:t>$</w:t>
                    <w:tab/>
                    <w:t>88</w:t>
                    <w:tab/>
                    <w:t>$</w:t>
                    <w:tab/>
                    <w:t>105</w:t>
                    <w:tab/>
                    <w:t>$</w:t>
                    <w:tab/>
                    <w:t>129</w:t>
                  </w:r>
                </w:p>
              </w:txbxContent>
            </v:textbox>
            <v:fill type="solid"/>
            <w10:wrap type="topAndBottom"/>
          </v:shape>
        </w:pict>
      </w:r>
      <w:r>
        <w:rPr>
          <w:b/>
          <w:color w:val="231F20"/>
          <w:sz w:val="18"/>
        </w:rPr>
        <w:t>SUPPLEMENTAL DISCLOSURE OF NONCASH TRANSACTIONS:</w:t>
      </w:r>
    </w:p>
    <w:p>
      <w:pPr>
        <w:spacing w:before="157"/>
        <w:ind w:left="820" w:right="0" w:firstLine="0"/>
        <w:jc w:val="left"/>
        <w:rPr>
          <w:sz w:val="18"/>
        </w:rPr>
      </w:pPr>
      <w:r>
        <w:rPr>
          <w:color w:val="231F20"/>
          <w:sz w:val="18"/>
        </w:rPr>
        <w:t>See accompanying notes.</w:t>
      </w:r>
    </w:p>
    <w:p>
      <w:pPr>
        <w:spacing w:after="0"/>
        <w:jc w:val="left"/>
        <w:rPr>
          <w:sz w:val="18"/>
        </w:rPr>
        <w:sectPr>
          <w:pgSz w:w="11880" w:h="15480"/>
          <w:pgMar w:header="0" w:footer="1240" w:top="1240" w:bottom="1420" w:left="1280" w:right="1260"/>
        </w:sectPr>
      </w:pPr>
    </w:p>
    <w:p>
      <w:pPr>
        <w:pStyle w:val="Heading1"/>
        <w:ind w:left="216" w:right="217"/>
        <w:jc w:val="center"/>
      </w:pPr>
      <w:r>
        <w:rPr>
          <w:color w:val="231F20"/>
        </w:rPr>
        <w:t>Southwest Airlines Co.</w:t>
      </w:r>
    </w:p>
    <w:p>
      <w:pPr>
        <w:spacing w:before="6"/>
        <w:ind w:left="0" w:right="0" w:firstLine="0"/>
        <w:jc w:val="center"/>
        <w:rPr>
          <w:b/>
          <w:sz w:val="22"/>
        </w:rPr>
      </w:pPr>
      <w:bookmarkStart w:name="Notes to Consolidated Financial Statemen" w:id="23"/>
      <w:bookmarkEnd w:id="23"/>
      <w:r>
        <w:rPr/>
      </w:r>
      <w:r>
        <w:rPr>
          <w:b/>
          <w:color w:val="231F20"/>
          <w:sz w:val="22"/>
        </w:rPr>
        <w:t>Notes to Consolidated Financial Statements</w:t>
      </w:r>
    </w:p>
    <w:p>
      <w:pPr>
        <w:pStyle w:val="BodyText"/>
        <w:spacing w:before="10"/>
        <w:rPr>
          <w:b/>
          <w:sz w:val="31"/>
        </w:rPr>
      </w:pPr>
    </w:p>
    <w:p>
      <w:pPr>
        <w:pStyle w:val="ListParagraph"/>
        <w:numPr>
          <w:ilvl w:val="0"/>
          <w:numId w:val="13"/>
        </w:numPr>
        <w:tabs>
          <w:tab w:pos="340" w:val="left" w:leader="none"/>
        </w:tabs>
        <w:spacing w:line="240" w:lineRule="auto" w:before="0" w:after="0"/>
        <w:ind w:left="340" w:right="0" w:hanging="220"/>
        <w:jc w:val="left"/>
        <w:rPr>
          <w:b/>
          <w:sz w:val="22"/>
        </w:rPr>
      </w:pPr>
      <w:r>
        <w:rPr>
          <w:b/>
          <w:color w:val="231F20"/>
          <w:sz w:val="22"/>
        </w:rPr>
        <w:t>SUMMARY OF SIGNIFICANT ACCOUNTING POLICIES</w:t>
      </w:r>
    </w:p>
    <w:p>
      <w:pPr>
        <w:pStyle w:val="BodyText"/>
        <w:spacing w:before="5"/>
        <w:rPr>
          <w:b/>
          <w:sz w:val="21"/>
        </w:rPr>
      </w:pPr>
    </w:p>
    <w:p>
      <w:pPr>
        <w:pStyle w:val="Heading2"/>
        <w:ind w:left="339"/>
        <w:rPr>
          <w:i/>
        </w:rPr>
      </w:pPr>
      <w:r>
        <w:rPr>
          <w:i/>
          <w:color w:val="231F20"/>
        </w:rPr>
        <w:t>Basis of Presentation</w:t>
      </w:r>
    </w:p>
    <w:p>
      <w:pPr>
        <w:pStyle w:val="BodyText"/>
        <w:spacing w:before="5"/>
        <w:rPr>
          <w:b/>
          <w:i/>
          <w:sz w:val="21"/>
        </w:rPr>
      </w:pPr>
    </w:p>
    <w:p>
      <w:pPr>
        <w:pStyle w:val="BodyText"/>
        <w:spacing w:line="247" w:lineRule="auto"/>
        <w:ind w:left="120" w:right="117" w:firstLine="720"/>
        <w:jc w:val="both"/>
      </w:pPr>
      <w:r>
        <w:rPr>
          <w:color w:val="231F20"/>
        </w:rPr>
        <w:t>Southwest Airlines Co. (the “Company”) operates Southwest Airlines, a major domestic airline. The Consolidated Financial Statements include the accounts of the Company and its wholly owned subsidiaries, which include AirTran Holdings, LLC. On May 2, 2011 (the “acquisition date”), the Company acquired all of the outstanding equity of AirTran Holdings, Inc. (“AirTran Holdings”), the former parent company of AirTran Airways, Inc. (“AirTran Airways”). Throughout these Notes,  the Company makes reference to AirTran, which is meant to be inclusive of the following: (i) for periods prior to the acquisition date, AirTran Holdings and its subsidiaries, including, among others, AirTran Airways; and (ii) for periods on and after the acquisition date, AirTran Holdings, LLC, the successor to AirTran Holdings, and its subsidiaries, including among others, AirTran Airways. The accompanying Consolidated Financial Statements include the results of operations and cash flows for all periods presented and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 estimates.</w:t>
      </w:r>
    </w:p>
    <w:p>
      <w:pPr>
        <w:pStyle w:val="BodyText"/>
        <w:spacing w:before="9"/>
        <w:rPr>
          <w:sz w:val="20"/>
        </w:rPr>
      </w:pPr>
    </w:p>
    <w:p>
      <w:pPr>
        <w:pStyle w:val="BodyText"/>
        <w:spacing w:line="247" w:lineRule="auto"/>
        <w:ind w:left="120" w:right="117" w:firstLine="720"/>
        <w:jc w:val="both"/>
      </w:pPr>
      <w:r>
        <w:rPr>
          <w:color w:val="231F20"/>
        </w:rPr>
        <w:t>Certain prior period amounts have been reclassified to conform to the current presentation. In the Consolidated Statement of Cash Flows for the year ended December 31, 2013, the Company has reclassified $14 million from Capital expenditures to Assets constructed for others. See Note 4 for further information.</w:t>
      </w:r>
    </w:p>
    <w:p>
      <w:pPr>
        <w:pStyle w:val="BodyText"/>
        <w:spacing w:before="9"/>
        <w:rPr>
          <w:sz w:val="20"/>
        </w:rPr>
      </w:pPr>
    </w:p>
    <w:p>
      <w:pPr>
        <w:pStyle w:val="Heading2"/>
        <w:ind w:left="340"/>
        <w:rPr>
          <w:i/>
        </w:rPr>
      </w:pPr>
      <w:r>
        <w:rPr>
          <w:i/>
          <w:color w:val="231F20"/>
        </w:rPr>
        <w:t>Cash and cash equivalents</w:t>
      </w:r>
    </w:p>
    <w:p>
      <w:pPr>
        <w:pStyle w:val="BodyText"/>
        <w:spacing w:before="5"/>
        <w:rPr>
          <w:b/>
          <w:i/>
          <w:sz w:val="21"/>
        </w:rPr>
      </w:pPr>
    </w:p>
    <w:p>
      <w:pPr>
        <w:pStyle w:val="BodyText"/>
        <w:spacing w:line="247" w:lineRule="auto"/>
        <w:ind w:left="120" w:right="117" w:firstLine="720"/>
        <w:jc w:val="both"/>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w:t>
      </w:r>
      <w:r>
        <w:rPr>
          <w:color w:val="231F20"/>
          <w:spacing w:val="1"/>
        </w:rPr>
        <w:t> </w:t>
      </w:r>
      <w:r>
        <w:rPr>
          <w:color w:val="231F20"/>
        </w:rPr>
        <w:t>value.</w:t>
      </w:r>
    </w:p>
    <w:p>
      <w:pPr>
        <w:pStyle w:val="BodyText"/>
        <w:spacing w:before="9"/>
        <w:rPr>
          <w:sz w:val="20"/>
        </w:rPr>
      </w:pPr>
    </w:p>
    <w:p>
      <w:pPr>
        <w:pStyle w:val="BodyText"/>
        <w:spacing w:line="247" w:lineRule="auto"/>
        <w:ind w:left="120" w:right="117" w:firstLine="720"/>
        <w:jc w:val="both"/>
      </w:pPr>
      <w:r>
        <w:rPr>
          <w:color w:val="231F20"/>
        </w:rPr>
        <w:t>As of December 31, 2014, $266 million in cash collateral deposits were provided by the Company to its fuel hedge counterparties and no cash collateral deposits were held by or provided by the Company to its interest rate hedge counterparties. As of December 31, 2013, the Company had no cash collateral deposits held by or provided by the Company to its fuel hedge counterparties and the Company had provided cash collateral deposits totaling $32 million to its interest rate hedge counterparties. Cash collateral amounts provided or held associated with fuel and interest rate derivative instruments are not restricted in any way and earn interest income at an agreed upon rate that approximates the rates earned on short-term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w:t>
      </w:r>
      <w:r>
        <w:rPr>
          <w:color w:val="231F20"/>
          <w:spacing w:val="-2"/>
        </w:rPr>
        <w:t> </w:t>
      </w:r>
      <w:r>
        <w:rPr>
          <w:color w:val="231F20"/>
        </w:rPr>
        <w:t>instruments.</w:t>
      </w:r>
    </w:p>
    <w:p>
      <w:pPr>
        <w:spacing w:after="0" w:line="247" w:lineRule="auto"/>
        <w:jc w:val="both"/>
        <w:sectPr>
          <w:pgSz w:w="11880" w:h="15480"/>
          <w:pgMar w:header="0" w:footer="1240" w:top="1240" w:bottom="1420" w:left="1260" w:right="1260"/>
        </w:sectPr>
      </w:pPr>
    </w:p>
    <w:p>
      <w:pPr>
        <w:pStyle w:val="Heading2"/>
        <w:spacing w:before="74"/>
        <w:ind w:left="320"/>
        <w:rPr>
          <w:i/>
        </w:rPr>
      </w:pPr>
      <w:r>
        <w:rPr>
          <w:i/>
          <w:color w:val="231F20"/>
        </w:rPr>
        <w:t>Short-term and noncurrent investments</w:t>
      </w:r>
    </w:p>
    <w:p>
      <w:pPr>
        <w:pStyle w:val="BodyText"/>
        <w:spacing w:before="4"/>
        <w:rPr>
          <w:b/>
          <w:i/>
          <w:sz w:val="21"/>
        </w:rPr>
      </w:pPr>
    </w:p>
    <w:p>
      <w:pPr>
        <w:pStyle w:val="BodyText"/>
        <w:spacing w:line="247" w:lineRule="auto" w:before="1"/>
        <w:ind w:left="100" w:right="117" w:firstLine="720"/>
        <w:jc w:val="both"/>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 as available-for-sale 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 losses associated with investments were immaterial for all years</w:t>
      </w:r>
      <w:r>
        <w:rPr>
          <w:color w:val="231F20"/>
          <w:spacing w:val="-2"/>
        </w:rPr>
        <w:t> </w:t>
      </w:r>
      <w:r>
        <w:rPr>
          <w:color w:val="231F20"/>
        </w:rPr>
        <w:t>presented.</w:t>
      </w:r>
    </w:p>
    <w:p>
      <w:pPr>
        <w:pStyle w:val="BodyText"/>
        <w:spacing w:before="9"/>
        <w:rPr>
          <w:sz w:val="20"/>
        </w:rPr>
      </w:pPr>
    </w:p>
    <w:p>
      <w:pPr>
        <w:pStyle w:val="BodyText"/>
        <w:spacing w:line="247" w:lineRule="auto"/>
        <w:ind w:left="100" w:right="118" w:firstLine="720"/>
        <w:jc w:val="both"/>
      </w:pPr>
      <w:r>
        <w:rPr>
          <w:color w:val="231F20"/>
        </w:rPr>
        <w:t>Noncurrent investments consist of investments with maturities of greater than twelve months. At December 31, 2014, these primarily consisted of the Company’s auction rate security instruments that it expects will not be redeemed during 2015. See Note 11 for further information. Noncurrent investments are included as a component of Other assets in the Consolidated Balance Sheet.</w:t>
      </w:r>
    </w:p>
    <w:p>
      <w:pPr>
        <w:pStyle w:val="BodyText"/>
        <w:spacing w:before="8"/>
        <w:rPr>
          <w:sz w:val="20"/>
        </w:rPr>
      </w:pPr>
    </w:p>
    <w:p>
      <w:pPr>
        <w:pStyle w:val="Heading2"/>
        <w:spacing w:before="1"/>
        <w:ind w:left="320"/>
        <w:rPr>
          <w:i/>
        </w:rPr>
      </w:pPr>
      <w:r>
        <w:rPr>
          <w:i/>
          <w:color w:val="231F20"/>
        </w:rPr>
        <w:t>Accounts and other receivables</w:t>
      </w:r>
    </w:p>
    <w:p>
      <w:pPr>
        <w:pStyle w:val="BodyText"/>
        <w:spacing w:before="5"/>
        <w:rPr>
          <w:b/>
          <w:i/>
          <w:sz w:val="21"/>
        </w:rPr>
      </w:pPr>
    </w:p>
    <w:p>
      <w:pPr>
        <w:pStyle w:val="BodyText"/>
        <w:spacing w:line="247" w:lineRule="auto"/>
        <w:ind w:left="100" w:right="117" w:firstLine="720"/>
        <w:jc w:val="both"/>
      </w:pPr>
      <w:r>
        <w:rPr>
          <w:color w:val="231F20"/>
        </w:rPr>
        <w:t>Accounts and other receivables are carried at cost. They primarily consist of amounts due from credit card companies associated with sales of tickets for future travel, amounts due from business partners in the Company’s frequent flyer program, and amounts due from counterparties associated with fuel derivative instruments that have settled. The allowance for doubtful accounts was immaterial at December 31, 2014 and 2013. In addition, the provision for doubtful accounts and write-offs for 2014 and 2013 were each immaterial.</w:t>
      </w:r>
    </w:p>
    <w:p>
      <w:pPr>
        <w:pStyle w:val="BodyText"/>
        <w:spacing w:before="9"/>
        <w:rPr>
          <w:sz w:val="20"/>
        </w:rPr>
      </w:pPr>
    </w:p>
    <w:p>
      <w:pPr>
        <w:pStyle w:val="Heading2"/>
        <w:ind w:left="320"/>
        <w:rPr>
          <w:i/>
        </w:rPr>
      </w:pPr>
      <w:r>
        <w:rPr>
          <w:i/>
          <w:color w:val="231F20"/>
        </w:rPr>
        <w:t>Inventories</w:t>
      </w:r>
    </w:p>
    <w:p>
      <w:pPr>
        <w:pStyle w:val="BodyText"/>
        <w:spacing w:before="5"/>
        <w:rPr>
          <w:b/>
          <w:i/>
          <w:sz w:val="21"/>
        </w:rPr>
      </w:pPr>
    </w:p>
    <w:p>
      <w:pPr>
        <w:pStyle w:val="BodyText"/>
        <w:spacing w:line="247" w:lineRule="auto"/>
        <w:ind w:left="100" w:right="117" w:firstLine="720"/>
        <w:jc w:val="both"/>
      </w:pPr>
      <w:r>
        <w:rPr>
          <w:color w:val="231F20"/>
        </w:rPr>
        <w:t>Inventories consist primarily of aircraft fuel, flight equipment expendable parts, materials, and supplies. All of these items are carried at average cost, less an allowance for obsolescence. These items are generally charged to expense when issued for use. The reserve for obsolescence was $46 million and $36 million at December 31, 2014, and 2013, respectively. In addition, the Company’s provision for obsolescence and write-offs for 2014, 2013, and 2012 were each immaterial.</w:t>
      </w:r>
    </w:p>
    <w:p>
      <w:pPr>
        <w:pStyle w:val="BodyText"/>
        <w:spacing w:before="9"/>
        <w:rPr>
          <w:sz w:val="20"/>
        </w:rPr>
      </w:pPr>
    </w:p>
    <w:p>
      <w:pPr>
        <w:pStyle w:val="Heading2"/>
        <w:ind w:left="320"/>
        <w:rPr>
          <w:i/>
        </w:rPr>
      </w:pPr>
      <w:r>
        <w:rPr>
          <w:i/>
          <w:color w:val="231F20"/>
        </w:rPr>
        <w:t>Property and equipment</w:t>
      </w:r>
    </w:p>
    <w:p>
      <w:pPr>
        <w:pStyle w:val="BodyText"/>
        <w:spacing w:before="5"/>
        <w:rPr>
          <w:b/>
          <w:i/>
          <w:sz w:val="21"/>
        </w:rPr>
      </w:pPr>
    </w:p>
    <w:p>
      <w:pPr>
        <w:pStyle w:val="BodyText"/>
        <w:spacing w:line="247" w:lineRule="auto"/>
        <w:ind w:left="100" w:right="117" w:firstLine="720"/>
        <w:jc w:val="both"/>
      </w:pPr>
      <w:r>
        <w:rPr>
          <w:color w:val="231F20"/>
        </w:rPr>
        <w:t>Property and equipment is stated at cost. Capital expenditures includes payments made for aircraft, other flight equipment, purchase deposits related to future aircraft deliveries, and ground and other property and equipment. Depreciation is provided by the straight-line method to estimated residual values over periods generally ranging from 23 to 25 years for flight equipment and 5 to 30 years for ground property and equipment once the asset is placed in service. Residual values estimated for aircraft generally range from 2 to 20 percent and for ground property and equipment generally  range from 0 to 10 percent. Property under capital leases and related obligations are initially recorded  at an amount equal to the present value of future minimum lease payments computed on the basis of  the  Company’s  incremental  borrowing rate  or, when  known,  the  interest  rate  implicit in the</w:t>
      </w:r>
      <w:r>
        <w:rPr>
          <w:color w:val="231F20"/>
          <w:spacing w:val="47"/>
        </w:rPr>
        <w:t> </w:t>
      </w:r>
      <w:r>
        <w:rPr>
          <w:color w:val="231F20"/>
        </w:rPr>
        <w:t>lease.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 lease. Assets constructed for others primarily consists of airport improvement projects, once placed into service, in which the Company is considered the accounting owner of the facilities, and such assets are amortized to estimated residual value over the term of the Company’s lease or the expected life of the asset. See Note 4 for further</w:t>
      </w:r>
      <w:r>
        <w:rPr>
          <w:color w:val="231F20"/>
          <w:spacing w:val="-2"/>
        </w:rPr>
        <w:t> </w:t>
      </w:r>
      <w:r>
        <w:rPr>
          <w:color w:val="231F20"/>
        </w:rPr>
        <w:t>information.</w:t>
      </w:r>
    </w:p>
    <w:p>
      <w:pPr>
        <w:pStyle w:val="BodyText"/>
        <w:spacing w:before="9"/>
        <w:rPr>
          <w:sz w:val="20"/>
        </w:rPr>
      </w:pPr>
    </w:p>
    <w:p>
      <w:pPr>
        <w:pStyle w:val="BodyText"/>
        <w:spacing w:line="247" w:lineRule="auto"/>
        <w:ind w:left="100" w:right="117" w:firstLine="720"/>
        <w:jc w:val="right"/>
      </w:pPr>
      <w:r>
        <w:rPr>
          <w:color w:val="231F20"/>
        </w:rPr>
        <w:t>The Company evaluates its long-lived assets used in operations for impairment when events</w:t>
      </w:r>
      <w:r>
        <w:rPr>
          <w:color w:val="231F20"/>
          <w:w w:val="100"/>
        </w:rPr>
        <w:t> </w:t>
      </w:r>
      <w:r>
        <w:rPr>
          <w:color w:val="231F20"/>
        </w:rPr>
        <w:t>and circumstances indicate that the undiscounted cash flows to be generated by that asset are less than</w:t>
      </w:r>
      <w:r>
        <w:rPr>
          <w:color w:val="231F20"/>
          <w:w w:val="100"/>
        </w:rPr>
        <w:t> </w:t>
      </w:r>
      <w:r>
        <w:rPr>
          <w:color w:val="231F20"/>
        </w:rPr>
        <w:t>the carrying amounts of the asset and may not be recoverable. Factors that would indicate potential</w:t>
      </w:r>
      <w:r>
        <w:rPr>
          <w:color w:val="231F20"/>
          <w:w w:val="100"/>
        </w:rPr>
        <w:t> </w:t>
      </w:r>
      <w:r>
        <w:rPr>
          <w:color w:val="231F20"/>
        </w:rPr>
        <w:t>impairment include, but are not limited to, significant decreases in the market value of the long-lived</w:t>
      </w:r>
      <w:r>
        <w:rPr>
          <w:color w:val="231F20"/>
          <w:w w:val="100"/>
        </w:rPr>
        <w:t> </w:t>
      </w:r>
      <w:r>
        <w:rPr>
          <w:color w:val="231F20"/>
        </w:rPr>
        <w:t>asset(s), a significant change in the long-lived asset’s physical condition, and operating or cash flow</w:t>
      </w:r>
      <w:r>
        <w:rPr>
          <w:color w:val="231F20"/>
          <w:w w:val="99"/>
        </w:rPr>
        <w:t> </w:t>
      </w:r>
      <w:r>
        <w:rPr>
          <w:color w:val="231F20"/>
        </w:rPr>
        <w:t>losses associated with the use of the long-lived asset. If an asset is deemed to be impaired,</w:t>
      </w:r>
      <w:r>
        <w:rPr>
          <w:color w:val="231F20"/>
          <w:spacing w:val="53"/>
        </w:rPr>
        <w:t> </w:t>
      </w:r>
      <w:r>
        <w:rPr>
          <w:color w:val="231F20"/>
        </w:rPr>
        <w:t>an</w:t>
      </w:r>
      <w:r>
        <w:rPr>
          <w:color w:val="231F20"/>
          <w:w w:val="100"/>
        </w:rPr>
        <w:t> </w:t>
      </w:r>
      <w:r>
        <w:rPr>
          <w:color w:val="231F20"/>
        </w:rPr>
        <w:t>impairment loss is recorded for the excess of the asset book value in relation to its estimated fair value.</w:t>
      </w:r>
    </w:p>
    <w:p>
      <w:pPr>
        <w:pStyle w:val="BodyText"/>
        <w:spacing w:before="9"/>
        <w:rPr>
          <w:sz w:val="20"/>
        </w:rPr>
      </w:pPr>
    </w:p>
    <w:p>
      <w:pPr>
        <w:pStyle w:val="BodyText"/>
        <w:spacing w:line="247" w:lineRule="auto"/>
        <w:ind w:left="100" w:right="117" w:firstLine="720"/>
        <w:jc w:val="both"/>
      </w:pPr>
      <w:r>
        <w:rPr>
          <w:color w:val="231F20"/>
        </w:rPr>
        <w:t>During first quarter 2012 the Company changed the estimated retirement dates of several 737-300 and 737-500 aircraft based on revisions in the Company’s fleet plan. This change, which was accounted for on a prospective basis, resulted in an acceleration of depreciation expense, since the majority of these aircraft had previously been expected to retire in periods beyond 2012, but were subsequently expected to be retired during 2012. The impact of this change on the year ended December 31, 2012 was an increase to Depreciation expense of $12 million. Excluding the impact of Profitsharing and income taxes, the change resulted a $6 million decrease to Net income and a $0.01 decrease to Basic and Diluted Net income per share for the year ended December 31, 2012.</w:t>
      </w:r>
    </w:p>
    <w:p>
      <w:pPr>
        <w:pStyle w:val="BodyText"/>
        <w:spacing w:before="9"/>
        <w:rPr>
          <w:sz w:val="20"/>
        </w:rPr>
      </w:pPr>
    </w:p>
    <w:p>
      <w:pPr>
        <w:pStyle w:val="BodyText"/>
        <w:spacing w:line="247" w:lineRule="auto"/>
        <w:ind w:left="100" w:right="117" w:firstLine="720"/>
        <w:jc w:val="both"/>
      </w:pPr>
      <w:r>
        <w:rPr>
          <w:color w:val="231F20"/>
        </w:rPr>
        <w:t>During third quarter 2012 the Company changed the estimated residual values of its entire fleet of owned 737-300 and 737-500 aircraft. This change was based on an agreement entered into during July 2012, pursuant to which the Company will lease or sublease certain aircraft to Delta Air Lines, Inc., and the resulting impact this transaction will have on how the Company manages the ultimate retirement of its owned 737-300 and 737-500 aircraft. See Note 7 for further information on the lease/ sublease transaction. Based on the expected retirement dates and then current and expected future market conditions related to its owned 737-300 and 737-500 aircraft, the Company reduced  the residual values of these aircraft from approximately ten percent of original cost to approximately two percent of original cost. As this reduction in residual value was considered a change in estimate, it was accounted for on a prospective basis, and thus the Company will record additional  depreciation expense over the remainder of the useful lives for each aircraft. The impact of this change on the year ended December 31, 2012 was an increase to Depreciation expense of $34 million. Excluding the impact of Profitsharing and income taxes, the change resulted an $18 million decrease to Net income and a $0.02 decrease to Basic and Diluted Net income per share for the year ended December 31,</w:t>
      </w:r>
      <w:r>
        <w:rPr>
          <w:color w:val="231F20"/>
          <w:spacing w:val="1"/>
        </w:rPr>
        <w:t> </w:t>
      </w:r>
      <w:r>
        <w:rPr>
          <w:color w:val="231F20"/>
        </w:rPr>
        <w:t>2012.</w:t>
      </w:r>
    </w:p>
    <w:p>
      <w:pPr>
        <w:pStyle w:val="BodyText"/>
        <w:spacing w:before="9"/>
        <w:rPr>
          <w:sz w:val="20"/>
        </w:rPr>
      </w:pPr>
    </w:p>
    <w:p>
      <w:pPr>
        <w:pStyle w:val="Heading2"/>
        <w:ind w:left="320"/>
        <w:rPr>
          <w:i/>
        </w:rPr>
      </w:pPr>
      <w:r>
        <w:rPr>
          <w:i/>
          <w:color w:val="231F20"/>
        </w:rPr>
        <w:t>Aircraft and engine maintenance</w:t>
      </w:r>
    </w:p>
    <w:p>
      <w:pPr>
        <w:pStyle w:val="BodyText"/>
        <w:spacing w:before="4"/>
        <w:rPr>
          <w:b/>
          <w:i/>
          <w:sz w:val="21"/>
        </w:rPr>
      </w:pPr>
    </w:p>
    <w:p>
      <w:pPr>
        <w:pStyle w:val="BodyText"/>
        <w:spacing w:line="247" w:lineRule="auto" w:before="1"/>
        <w:ind w:left="100" w:right="118" w:firstLine="720"/>
        <w:jc w:val="both"/>
      </w:pPr>
      <w:r>
        <w:rPr>
          <w:color w:val="231F20"/>
        </w:rPr>
        <w:t>The cost of scheduled inspections and repairs and routine maintenance costs for all aircraft and engines are charged to Maintenance materials and repairs expense as incurred. The Company also has “power-by-the-hour” agreements related to certain of its aircraft engines with external service providers. Under these agreements, which the Company has determined effectively transfers the risk and creates an obligation associated with the maintenance on such engines to the counterparty, expense is recorded commensurate with each hour flown on an engine. In situations where the payments to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counterparty do not sufficiently match the level of services received during the period, expense is recorded on a straight-line basis over the term of the agreement based on our best estimate of expected future aircraft utilization. For its engine maintenance contracts that do not transfer risk to the service provider, the Company records expense on a time and materials basis when an engine repair event takes place. Modifications that significantly enhance the operating performance or extend the useful lives of aircraft or engines are capitalized and amortized over the remaining life of the</w:t>
      </w:r>
      <w:r>
        <w:rPr>
          <w:color w:val="231F20"/>
          <w:spacing w:val="-5"/>
        </w:rPr>
        <w:t> </w:t>
      </w:r>
      <w:r>
        <w:rPr>
          <w:color w:val="231F20"/>
        </w:rPr>
        <w:t>asset.</w:t>
      </w:r>
    </w:p>
    <w:p>
      <w:pPr>
        <w:pStyle w:val="BodyText"/>
        <w:spacing w:before="9"/>
        <w:rPr>
          <w:sz w:val="20"/>
        </w:rPr>
      </w:pPr>
    </w:p>
    <w:p>
      <w:pPr>
        <w:pStyle w:val="Heading2"/>
        <w:rPr>
          <w:i/>
        </w:rPr>
      </w:pPr>
      <w:r>
        <w:rPr>
          <w:i/>
          <w:color w:val="231F20"/>
        </w:rPr>
        <w:t>Goodwill and intangible assets</w:t>
      </w:r>
    </w:p>
    <w:p>
      <w:pPr>
        <w:pStyle w:val="BodyText"/>
        <w:spacing w:before="5"/>
        <w:rPr>
          <w:b/>
          <w:i/>
          <w:sz w:val="21"/>
        </w:rPr>
      </w:pPr>
    </w:p>
    <w:p>
      <w:pPr>
        <w:pStyle w:val="BodyText"/>
        <w:spacing w:line="247" w:lineRule="auto"/>
        <w:ind w:left="100" w:right="117" w:firstLine="720"/>
        <w:jc w:val="both"/>
      </w:pPr>
      <w:r>
        <w:rPr>
          <w:color w:val="231F20"/>
        </w:rPr>
        <w:t>The Company applies a fair value based impairment test to the carrying value of goodwill and indefinite-lived intangible assets on an annual basis (as of October 1), or more frequently if certain events or circumstances indicate that an impairment loss may have been incurred. The FASB standard “Testing Indefinite-Lived Intangible Assets for Impairment” gives companies the option to perform a qualitative assessment to determine whether it is more likely than not that an indefinite-lived intangible asset is impaired rather than calculating the fair value of the indefinite-lived intangible asset. The Company adopted this standard and has applied the provisions to its annual indefinite-lived intangible asset impairment test for 2014.</w:t>
      </w:r>
    </w:p>
    <w:p>
      <w:pPr>
        <w:pStyle w:val="BodyText"/>
        <w:spacing w:before="9"/>
        <w:rPr>
          <w:sz w:val="20"/>
        </w:rPr>
      </w:pPr>
    </w:p>
    <w:p>
      <w:pPr>
        <w:pStyle w:val="BodyText"/>
        <w:spacing w:line="247" w:lineRule="auto"/>
        <w:ind w:left="100" w:right="117" w:firstLine="720"/>
        <w:jc w:val="both"/>
      </w:pPr>
      <w:r>
        <w:rPr>
          <w:color w:val="231F20"/>
        </w:rPr>
        <w:t>The Company first utilizes a qualitative approach and analyzes various factors to determine if events and circumstances have affected the fair value of the goodwill and indefinite-lived intangible assets. If the Company determines it is more likely than not that the asset value may be impaired, the Company then uses the quantitative approach to assess the asset’s fair value and amount of  impairment. As a result of the Company’s qualitative analyses performed during 2014 the Company concluded it was more likely than not that the fair values of its Goodwill and Indefinite-lived intangible assets was greater than the carrying value and; therefore, a quantitative assessment was not</w:t>
      </w:r>
      <w:r>
        <w:rPr>
          <w:color w:val="231F20"/>
          <w:spacing w:val="1"/>
        </w:rPr>
        <w:t> </w:t>
      </w:r>
      <w:r>
        <w:rPr>
          <w:color w:val="231F20"/>
        </w:rPr>
        <w:t>necessary.</w:t>
      </w:r>
    </w:p>
    <w:p>
      <w:pPr>
        <w:pStyle w:val="BodyText"/>
        <w:spacing w:before="9"/>
        <w:rPr>
          <w:sz w:val="20"/>
        </w:rPr>
      </w:pPr>
    </w:p>
    <w:p>
      <w:pPr>
        <w:pStyle w:val="BodyText"/>
        <w:spacing w:line="247" w:lineRule="auto"/>
        <w:ind w:left="100" w:right="117" w:firstLine="720"/>
        <w:jc w:val="both"/>
      </w:pPr>
      <w:r>
        <w:rPr>
          <w:color w:val="231F20"/>
        </w:rPr>
        <w:t>Intangible assets primarily consist of acquired leasehold rights to certain airport owned gates at Chicago’s Midway International Airport, take-off and landing slots at certain domestic slot-controlled airports, and certain intangible assets recognized from the AirTran acquisition. The following table is a summary of the Company’s intangible assets, which are included as a component of Other assets in the Company’s Consolidated Balance Sheet, as of December 31, 2014 and 2013:</w:t>
      </w:r>
    </w:p>
    <w:p>
      <w:pPr>
        <w:spacing w:before="198"/>
        <w:ind w:left="3842" w:right="0" w:firstLine="0"/>
        <w:jc w:val="left"/>
        <w:rPr>
          <w:b/>
          <w:sz w:val="20"/>
        </w:rPr>
      </w:pPr>
      <w:r>
        <w:rPr/>
        <w:pict>
          <v:group style="position:absolute;margin-left:255.600006pt;margin-top:22.235937pt;width:269.9pt;height:1pt;mso-position-horizontal-relative:page;mso-position-vertical-relative:paragraph;z-index:3976" coordorigin="5112,445" coordsize="5398,20">
            <v:line style="position:absolute" from="5122,455" to="7771,455" stroked="true" strokeweight="1pt" strokecolor="#231f20">
              <v:stroke dashstyle="solid"/>
            </v:line>
            <v:line style="position:absolute" from="7851,455" to="10500,455" stroked="true" strokeweight="1pt" strokecolor="#231f20">
              <v:stroke dashstyle="solid"/>
            </v:line>
            <w10:wrap type="none"/>
          </v:group>
        </w:pict>
      </w:r>
      <w:r>
        <w:rPr>
          <w:b/>
          <w:color w:val="231F20"/>
          <w:sz w:val="20"/>
        </w:rPr>
        <w:t>Year ended December 31, 2014  Year ended December 31, 2013</w:t>
      </w:r>
    </w:p>
    <w:p>
      <w:pPr>
        <w:spacing w:after="0"/>
        <w:jc w:val="left"/>
        <w:rPr>
          <w:sz w:val="20"/>
        </w:rPr>
        <w:sectPr>
          <w:pgSz w:w="11880" w:h="15480"/>
          <w:pgMar w:header="0" w:footer="1240" w:top="1240" w:bottom="1420" w:left="1280" w:right="1260"/>
        </w:sectPr>
      </w:pPr>
    </w:p>
    <w:p>
      <w:pPr>
        <w:pStyle w:val="BodyText"/>
        <w:rPr>
          <w:b/>
        </w:rPr>
      </w:pPr>
    </w:p>
    <w:p>
      <w:pPr>
        <w:spacing w:before="197"/>
        <w:ind w:left="160" w:right="0" w:firstLine="0"/>
        <w:jc w:val="left"/>
        <w:rPr>
          <w:b/>
          <w:sz w:val="20"/>
        </w:rPr>
      </w:pPr>
      <w:r>
        <w:rPr>
          <w:b/>
          <w:color w:val="231F20"/>
          <w:sz w:val="20"/>
        </w:rPr>
        <w:t>(in millions)</w:t>
      </w:r>
    </w:p>
    <w:p>
      <w:pPr>
        <w:spacing w:line="200" w:lineRule="exact" w:before="76"/>
        <w:ind w:left="160" w:right="0" w:firstLine="66"/>
        <w:jc w:val="center"/>
        <w:rPr>
          <w:b/>
          <w:sz w:val="20"/>
        </w:rPr>
      </w:pPr>
      <w:r>
        <w:rPr/>
        <w:br w:type="column"/>
      </w:r>
      <w:r>
        <w:rPr>
          <w:b/>
          <w:color w:val="231F20"/>
          <w:sz w:val="20"/>
        </w:rPr>
        <w:t>Weighted- average useful life (in years)</w:t>
      </w:r>
    </w:p>
    <w:p>
      <w:pPr>
        <w:pStyle w:val="BodyText"/>
        <w:rPr>
          <w:b/>
          <w:sz w:val="24"/>
        </w:rPr>
      </w:pPr>
      <w:r>
        <w:rPr/>
        <w:br w:type="column"/>
      </w:r>
      <w:r>
        <w:rPr>
          <w:b/>
          <w:sz w:val="24"/>
        </w:rPr>
      </w:r>
    </w:p>
    <w:p>
      <w:pPr>
        <w:spacing w:line="200" w:lineRule="exact" w:before="0"/>
        <w:ind w:left="392" w:right="-18" w:hanging="315"/>
        <w:jc w:val="left"/>
        <w:rPr>
          <w:b/>
          <w:sz w:val="20"/>
        </w:rPr>
      </w:pPr>
      <w:r>
        <w:rPr>
          <w:b/>
          <w:color w:val="231F20"/>
          <w:sz w:val="20"/>
        </w:rPr>
        <w:t>Gross carrying</w:t>
      </w:r>
      <w:r>
        <w:rPr>
          <w:b/>
          <w:color w:val="231F20"/>
          <w:w w:val="100"/>
          <w:sz w:val="20"/>
        </w:rPr>
        <w:t> </w:t>
      </w:r>
      <w:r>
        <w:rPr>
          <w:b/>
          <w:color w:val="231F20"/>
          <w:sz w:val="20"/>
        </w:rPr>
        <w:t>amount</w:t>
      </w:r>
    </w:p>
    <w:p>
      <w:pPr>
        <w:pStyle w:val="BodyText"/>
        <w:rPr>
          <w:b/>
          <w:sz w:val="24"/>
        </w:rPr>
      </w:pPr>
      <w:r>
        <w:rPr/>
        <w:br w:type="column"/>
      </w:r>
      <w:r>
        <w:rPr>
          <w:b/>
          <w:sz w:val="24"/>
        </w:rPr>
      </w:r>
    </w:p>
    <w:p>
      <w:pPr>
        <w:spacing w:line="200" w:lineRule="exact" w:before="0"/>
        <w:ind w:left="131" w:right="-20" w:hanging="16"/>
        <w:jc w:val="left"/>
        <w:rPr>
          <w:b/>
          <w:sz w:val="20"/>
        </w:rPr>
      </w:pPr>
      <w:r>
        <w:rPr>
          <w:b/>
          <w:color w:val="231F20"/>
          <w:sz w:val="20"/>
        </w:rPr>
        <w:t>Accumulated</w:t>
      </w:r>
      <w:r>
        <w:rPr>
          <w:b/>
          <w:color w:val="231F20"/>
          <w:w w:val="99"/>
          <w:sz w:val="20"/>
        </w:rPr>
        <w:t> </w:t>
      </w:r>
      <w:r>
        <w:rPr>
          <w:b/>
          <w:color w:val="231F20"/>
          <w:sz w:val="20"/>
        </w:rPr>
        <w:t>amortization</w:t>
      </w:r>
    </w:p>
    <w:p>
      <w:pPr>
        <w:pStyle w:val="BodyText"/>
        <w:rPr>
          <w:b/>
          <w:sz w:val="24"/>
        </w:rPr>
      </w:pPr>
      <w:r>
        <w:rPr/>
        <w:br w:type="column"/>
      </w:r>
      <w:r>
        <w:rPr>
          <w:b/>
          <w:sz w:val="24"/>
        </w:rPr>
      </w:r>
    </w:p>
    <w:p>
      <w:pPr>
        <w:spacing w:line="200" w:lineRule="exact" w:before="0"/>
        <w:ind w:left="427" w:right="-18" w:hanging="315"/>
        <w:jc w:val="left"/>
        <w:rPr>
          <w:b/>
          <w:sz w:val="20"/>
        </w:rPr>
      </w:pPr>
      <w:r>
        <w:rPr>
          <w:b/>
          <w:color w:val="231F20"/>
          <w:sz w:val="20"/>
        </w:rPr>
        <w:t>Gross carrying</w:t>
      </w:r>
      <w:r>
        <w:rPr>
          <w:b/>
          <w:color w:val="231F20"/>
          <w:w w:val="100"/>
          <w:sz w:val="20"/>
        </w:rPr>
        <w:t> </w:t>
      </w:r>
      <w:r>
        <w:rPr>
          <w:b/>
          <w:color w:val="231F20"/>
          <w:sz w:val="20"/>
        </w:rPr>
        <w:t>amount</w:t>
      </w:r>
    </w:p>
    <w:p>
      <w:pPr>
        <w:pStyle w:val="BodyText"/>
        <w:rPr>
          <w:b/>
          <w:sz w:val="24"/>
        </w:rPr>
      </w:pPr>
      <w:r>
        <w:rPr/>
        <w:br w:type="column"/>
      </w:r>
      <w:r>
        <w:rPr>
          <w:b/>
          <w:sz w:val="24"/>
        </w:rPr>
      </w:r>
    </w:p>
    <w:p>
      <w:pPr>
        <w:spacing w:line="200" w:lineRule="exact" w:before="0"/>
        <w:ind w:left="109" w:right="134" w:firstLine="6"/>
        <w:jc w:val="left"/>
        <w:rPr>
          <w:b/>
          <w:sz w:val="20"/>
        </w:rPr>
      </w:pPr>
      <w:r>
        <w:rPr>
          <w:b/>
          <w:color w:val="231F20"/>
          <w:sz w:val="20"/>
        </w:rPr>
        <w:t>Accumulated Amortization</w:t>
      </w:r>
    </w:p>
    <w:p>
      <w:pPr>
        <w:spacing w:after="0" w:line="200" w:lineRule="exact"/>
        <w:jc w:val="left"/>
        <w:rPr>
          <w:sz w:val="20"/>
        </w:rPr>
        <w:sectPr>
          <w:type w:val="continuous"/>
          <w:pgSz w:w="11880" w:h="15480"/>
          <w:pgMar w:top="1260" w:bottom="280" w:left="1280" w:right="1260"/>
          <w:cols w:num="6" w:equalWidth="0">
            <w:col w:w="1189" w:space="1184"/>
            <w:col w:w="1389" w:space="40"/>
            <w:col w:w="1363" w:space="40"/>
            <w:col w:w="1249" w:space="40"/>
            <w:col w:w="1398" w:space="40"/>
            <w:col w:w="1408"/>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24"/>
        <w:gridCol w:w="1141"/>
        <w:gridCol w:w="1440"/>
        <w:gridCol w:w="1289"/>
        <w:gridCol w:w="1434"/>
        <w:gridCol w:w="1292"/>
      </w:tblGrid>
      <w:tr>
        <w:trPr>
          <w:trHeight w:val="585" w:hRule="exact"/>
        </w:trPr>
        <w:tc>
          <w:tcPr>
            <w:tcW w:w="2524" w:type="dxa"/>
            <w:tcBorders>
              <w:top w:val="single" w:sz="8" w:space="0" w:color="231F20"/>
            </w:tcBorders>
          </w:tcPr>
          <w:p>
            <w:pPr>
              <w:pStyle w:val="TableParagraph"/>
              <w:spacing w:line="247" w:lineRule="auto" w:before="54"/>
              <w:ind w:left="60" w:right="458"/>
              <w:rPr>
                <w:sz w:val="22"/>
              </w:rPr>
            </w:pPr>
            <w:r>
              <w:rPr>
                <w:color w:val="231F20"/>
                <w:sz w:val="22"/>
              </w:rPr>
              <w:t>Customer </w:t>
            </w:r>
            <w:r>
              <w:rPr>
                <w:color w:val="231F20"/>
                <w:spacing w:val="-4"/>
                <w:sz w:val="22"/>
              </w:rPr>
              <w:t>relationships/marketing</w:t>
            </w:r>
          </w:p>
        </w:tc>
        <w:tc>
          <w:tcPr>
            <w:tcW w:w="6596" w:type="dxa"/>
            <w:gridSpan w:val="5"/>
            <w:tcBorders>
              <w:top w:val="single" w:sz="8" w:space="0" w:color="231F20"/>
            </w:tcBorders>
          </w:tcPr>
          <w:p>
            <w:pPr/>
          </w:p>
        </w:tc>
      </w:tr>
      <w:tr>
        <w:trPr>
          <w:trHeight w:val="253" w:hRule="exact"/>
        </w:trPr>
        <w:tc>
          <w:tcPr>
            <w:tcW w:w="2524" w:type="dxa"/>
          </w:tcPr>
          <w:p>
            <w:pPr>
              <w:pStyle w:val="TableParagraph"/>
              <w:spacing w:line="252" w:lineRule="exact" w:before="0"/>
              <w:ind w:left="60"/>
              <w:rPr>
                <w:sz w:val="22"/>
              </w:rPr>
            </w:pPr>
            <w:r>
              <w:rPr>
                <w:color w:val="231F20"/>
                <w:sz w:val="22"/>
              </w:rPr>
              <w:t>agreements</w:t>
            </w:r>
          </w:p>
        </w:tc>
        <w:tc>
          <w:tcPr>
            <w:tcW w:w="1141" w:type="dxa"/>
          </w:tcPr>
          <w:p>
            <w:pPr>
              <w:pStyle w:val="TableParagraph"/>
              <w:spacing w:line="252" w:lineRule="exact" w:before="0"/>
              <w:ind w:right="74"/>
              <w:jc w:val="right"/>
              <w:rPr>
                <w:sz w:val="22"/>
              </w:rPr>
            </w:pPr>
            <w:r>
              <w:rPr>
                <w:color w:val="231F20"/>
                <w:sz w:val="22"/>
              </w:rPr>
              <w:t>9</w:t>
            </w:r>
          </w:p>
        </w:tc>
        <w:tc>
          <w:tcPr>
            <w:tcW w:w="1440" w:type="dxa"/>
          </w:tcPr>
          <w:p>
            <w:pPr>
              <w:pStyle w:val="TableParagraph"/>
              <w:tabs>
                <w:tab w:pos="1143" w:val="left" w:leader="none"/>
              </w:tabs>
              <w:spacing w:line="252" w:lineRule="exact" w:before="0"/>
              <w:ind w:left="76"/>
              <w:rPr>
                <w:sz w:val="22"/>
              </w:rPr>
            </w:pPr>
            <w:r>
              <w:rPr>
                <w:color w:val="231F20"/>
                <w:sz w:val="22"/>
              </w:rPr>
              <w:t>$</w:t>
              <w:tab/>
              <w:t>38</w:t>
            </w:r>
          </w:p>
        </w:tc>
        <w:tc>
          <w:tcPr>
            <w:tcW w:w="1289" w:type="dxa"/>
          </w:tcPr>
          <w:p>
            <w:pPr>
              <w:pStyle w:val="TableParagraph"/>
              <w:tabs>
                <w:tab w:pos="992" w:val="left" w:leader="none"/>
              </w:tabs>
              <w:spacing w:line="252" w:lineRule="exact" w:before="0"/>
              <w:ind w:left="76"/>
              <w:rPr>
                <w:sz w:val="22"/>
              </w:rPr>
            </w:pPr>
            <w:r>
              <w:rPr>
                <w:color w:val="231F20"/>
                <w:sz w:val="22"/>
              </w:rPr>
              <w:t>$</w:t>
              <w:tab/>
              <w:t>26</w:t>
            </w:r>
          </w:p>
        </w:tc>
        <w:tc>
          <w:tcPr>
            <w:tcW w:w="1434" w:type="dxa"/>
          </w:tcPr>
          <w:p>
            <w:pPr>
              <w:pStyle w:val="TableParagraph"/>
              <w:tabs>
                <w:tab w:pos="1137" w:val="left" w:leader="none"/>
              </w:tabs>
              <w:spacing w:line="252" w:lineRule="exact" w:before="0"/>
              <w:ind w:left="76"/>
              <w:rPr>
                <w:sz w:val="22"/>
              </w:rPr>
            </w:pPr>
            <w:r>
              <w:rPr>
                <w:color w:val="231F20"/>
                <w:sz w:val="22"/>
              </w:rPr>
              <w:t>$</w:t>
              <w:tab/>
              <w:t>39</w:t>
            </w:r>
          </w:p>
        </w:tc>
        <w:tc>
          <w:tcPr>
            <w:tcW w:w="1292" w:type="dxa"/>
          </w:tcPr>
          <w:p>
            <w:pPr>
              <w:pStyle w:val="TableParagraph"/>
              <w:tabs>
                <w:tab w:pos="998" w:val="left" w:leader="none"/>
              </w:tabs>
              <w:spacing w:line="252" w:lineRule="exact" w:before="0"/>
              <w:ind w:left="76"/>
              <w:rPr>
                <w:sz w:val="22"/>
              </w:rPr>
            </w:pPr>
            <w:r>
              <w:rPr>
                <w:color w:val="231F20"/>
                <w:sz w:val="22"/>
              </w:rPr>
              <w:t>$</w:t>
              <w:tab/>
              <w:t>23</w:t>
            </w:r>
          </w:p>
        </w:tc>
      </w:tr>
      <w:tr>
        <w:trPr>
          <w:trHeight w:val="300" w:hRule="exact"/>
        </w:trPr>
        <w:tc>
          <w:tcPr>
            <w:tcW w:w="2524" w:type="dxa"/>
            <w:shd w:val="clear" w:color="auto" w:fill="CCECFC"/>
          </w:tcPr>
          <w:p>
            <w:pPr>
              <w:pStyle w:val="TableParagraph"/>
              <w:spacing w:before="54"/>
              <w:ind w:left="60"/>
              <w:rPr>
                <w:sz w:val="22"/>
              </w:rPr>
            </w:pPr>
            <w:r>
              <w:rPr>
                <w:color w:val="231F20"/>
                <w:sz w:val="22"/>
              </w:rPr>
              <w:t>Trademarks/trade names</w:t>
            </w:r>
          </w:p>
        </w:tc>
        <w:tc>
          <w:tcPr>
            <w:tcW w:w="1141" w:type="dxa"/>
            <w:shd w:val="clear" w:color="auto" w:fill="CCECFC"/>
          </w:tcPr>
          <w:p>
            <w:pPr>
              <w:pStyle w:val="TableParagraph"/>
              <w:spacing w:before="54"/>
              <w:ind w:right="74"/>
              <w:jc w:val="right"/>
              <w:rPr>
                <w:sz w:val="22"/>
              </w:rPr>
            </w:pPr>
            <w:r>
              <w:rPr>
                <w:color w:val="231F20"/>
                <w:sz w:val="22"/>
              </w:rPr>
              <w:t>6</w:t>
            </w:r>
          </w:p>
        </w:tc>
        <w:tc>
          <w:tcPr>
            <w:tcW w:w="1440" w:type="dxa"/>
            <w:shd w:val="clear" w:color="auto" w:fill="CCECFC"/>
          </w:tcPr>
          <w:p>
            <w:pPr>
              <w:pStyle w:val="TableParagraph"/>
              <w:spacing w:before="54"/>
              <w:ind w:right="74"/>
              <w:jc w:val="right"/>
              <w:rPr>
                <w:sz w:val="22"/>
              </w:rPr>
            </w:pPr>
            <w:r>
              <w:rPr>
                <w:color w:val="231F20"/>
                <w:sz w:val="22"/>
              </w:rPr>
              <w:t>36</w:t>
            </w:r>
          </w:p>
        </w:tc>
        <w:tc>
          <w:tcPr>
            <w:tcW w:w="1289" w:type="dxa"/>
            <w:shd w:val="clear" w:color="auto" w:fill="CCECFC"/>
          </w:tcPr>
          <w:p>
            <w:pPr>
              <w:pStyle w:val="TableParagraph"/>
              <w:spacing w:before="54"/>
              <w:ind w:right="74"/>
              <w:jc w:val="right"/>
              <w:rPr>
                <w:sz w:val="22"/>
              </w:rPr>
            </w:pPr>
            <w:r>
              <w:rPr>
                <w:color w:val="231F20"/>
                <w:sz w:val="22"/>
              </w:rPr>
              <w:t>30</w:t>
            </w:r>
          </w:p>
        </w:tc>
        <w:tc>
          <w:tcPr>
            <w:tcW w:w="1434" w:type="dxa"/>
            <w:shd w:val="clear" w:color="auto" w:fill="CCECFC"/>
          </w:tcPr>
          <w:p>
            <w:pPr>
              <w:pStyle w:val="TableParagraph"/>
              <w:spacing w:before="54"/>
              <w:ind w:right="74"/>
              <w:jc w:val="right"/>
              <w:rPr>
                <w:sz w:val="22"/>
              </w:rPr>
            </w:pPr>
            <w:r>
              <w:rPr>
                <w:color w:val="231F20"/>
                <w:sz w:val="22"/>
              </w:rPr>
              <w:t>36</w:t>
            </w:r>
          </w:p>
        </w:tc>
        <w:tc>
          <w:tcPr>
            <w:tcW w:w="1292" w:type="dxa"/>
            <w:shd w:val="clear" w:color="auto" w:fill="CCECFC"/>
          </w:tcPr>
          <w:p>
            <w:pPr>
              <w:pStyle w:val="TableParagraph"/>
              <w:spacing w:before="54"/>
              <w:ind w:right="70"/>
              <w:jc w:val="right"/>
              <w:rPr>
                <w:sz w:val="22"/>
              </w:rPr>
            </w:pPr>
            <w:r>
              <w:rPr>
                <w:color w:val="231F20"/>
                <w:sz w:val="22"/>
              </w:rPr>
              <w:t>25</w:t>
            </w:r>
          </w:p>
        </w:tc>
      </w:tr>
      <w:tr>
        <w:trPr>
          <w:trHeight w:val="300" w:hRule="exact"/>
        </w:trPr>
        <w:tc>
          <w:tcPr>
            <w:tcW w:w="2524" w:type="dxa"/>
          </w:tcPr>
          <w:p>
            <w:pPr>
              <w:pStyle w:val="TableParagraph"/>
              <w:spacing w:before="54"/>
              <w:ind w:left="60"/>
              <w:rPr>
                <w:sz w:val="22"/>
              </w:rPr>
            </w:pPr>
            <w:r>
              <w:rPr>
                <w:color w:val="231F20"/>
                <w:sz w:val="22"/>
              </w:rPr>
              <w:t>Owned domestic slots</w:t>
            </w:r>
          </w:p>
        </w:tc>
        <w:tc>
          <w:tcPr>
            <w:tcW w:w="1141" w:type="dxa"/>
          </w:tcPr>
          <w:p>
            <w:pPr>
              <w:pStyle w:val="TableParagraph"/>
              <w:spacing w:before="54"/>
              <w:ind w:left="209"/>
              <w:rPr>
                <w:sz w:val="22"/>
              </w:rPr>
            </w:pPr>
            <w:r>
              <w:rPr>
                <w:color w:val="231F20"/>
                <w:sz w:val="22"/>
              </w:rPr>
              <w:t>Indefinite</w:t>
            </w:r>
          </w:p>
        </w:tc>
        <w:tc>
          <w:tcPr>
            <w:tcW w:w="1440" w:type="dxa"/>
          </w:tcPr>
          <w:p>
            <w:pPr>
              <w:pStyle w:val="TableParagraph"/>
              <w:spacing w:before="54"/>
              <w:ind w:right="74"/>
              <w:jc w:val="right"/>
              <w:rPr>
                <w:sz w:val="22"/>
              </w:rPr>
            </w:pPr>
            <w:r>
              <w:rPr>
                <w:color w:val="231F20"/>
                <w:sz w:val="22"/>
              </w:rPr>
              <w:t>303</w:t>
            </w:r>
          </w:p>
        </w:tc>
        <w:tc>
          <w:tcPr>
            <w:tcW w:w="1289" w:type="dxa"/>
          </w:tcPr>
          <w:p>
            <w:pPr>
              <w:pStyle w:val="TableParagraph"/>
              <w:spacing w:before="54"/>
              <w:ind w:right="74"/>
              <w:jc w:val="right"/>
              <w:rPr>
                <w:sz w:val="22"/>
              </w:rPr>
            </w:pPr>
            <w:r>
              <w:rPr>
                <w:color w:val="231F20"/>
                <w:sz w:val="22"/>
              </w:rPr>
              <w:t>n/a</w:t>
            </w:r>
          </w:p>
        </w:tc>
        <w:tc>
          <w:tcPr>
            <w:tcW w:w="1434" w:type="dxa"/>
          </w:tcPr>
          <w:p>
            <w:pPr>
              <w:pStyle w:val="TableParagraph"/>
              <w:spacing w:before="54"/>
              <w:ind w:right="74"/>
              <w:jc w:val="right"/>
              <w:rPr>
                <w:sz w:val="22"/>
              </w:rPr>
            </w:pPr>
            <w:r>
              <w:rPr>
                <w:color w:val="231F20"/>
                <w:sz w:val="22"/>
              </w:rPr>
              <w:t>93</w:t>
            </w:r>
          </w:p>
        </w:tc>
        <w:tc>
          <w:tcPr>
            <w:tcW w:w="1292" w:type="dxa"/>
          </w:tcPr>
          <w:p>
            <w:pPr>
              <w:pStyle w:val="TableParagraph"/>
              <w:spacing w:before="54"/>
              <w:ind w:right="71"/>
              <w:jc w:val="right"/>
              <w:rPr>
                <w:sz w:val="22"/>
              </w:rPr>
            </w:pPr>
            <w:r>
              <w:rPr>
                <w:color w:val="231F20"/>
                <w:sz w:val="22"/>
              </w:rPr>
              <w:t>n/a</w:t>
            </w:r>
          </w:p>
        </w:tc>
      </w:tr>
      <w:tr>
        <w:trPr>
          <w:trHeight w:val="300" w:hRule="exact"/>
        </w:trPr>
        <w:tc>
          <w:tcPr>
            <w:tcW w:w="2524" w:type="dxa"/>
            <w:shd w:val="clear" w:color="auto" w:fill="CCECFC"/>
          </w:tcPr>
          <w:p>
            <w:pPr>
              <w:pStyle w:val="TableParagraph"/>
              <w:spacing w:before="54"/>
              <w:ind w:left="60"/>
              <w:rPr>
                <w:sz w:val="22"/>
              </w:rPr>
            </w:pPr>
            <w:r>
              <w:rPr>
                <w:color w:val="231F20"/>
                <w:sz w:val="22"/>
              </w:rPr>
              <w:t>Leased domestic slots (a)</w:t>
            </w:r>
          </w:p>
        </w:tc>
        <w:tc>
          <w:tcPr>
            <w:tcW w:w="1141" w:type="dxa"/>
            <w:shd w:val="clear" w:color="auto" w:fill="CCECFC"/>
          </w:tcPr>
          <w:p>
            <w:pPr>
              <w:pStyle w:val="TableParagraph"/>
              <w:spacing w:before="54"/>
              <w:ind w:right="74"/>
              <w:jc w:val="right"/>
              <w:rPr>
                <w:sz w:val="22"/>
              </w:rPr>
            </w:pPr>
            <w:r>
              <w:rPr>
                <w:color w:val="231F20"/>
                <w:sz w:val="22"/>
              </w:rPr>
              <w:t>39</w:t>
            </w:r>
          </w:p>
        </w:tc>
        <w:tc>
          <w:tcPr>
            <w:tcW w:w="1440" w:type="dxa"/>
            <w:shd w:val="clear" w:color="auto" w:fill="CCECFC"/>
          </w:tcPr>
          <w:p>
            <w:pPr>
              <w:pStyle w:val="TableParagraph"/>
              <w:spacing w:before="54"/>
              <w:ind w:right="74"/>
              <w:jc w:val="right"/>
              <w:rPr>
                <w:sz w:val="22"/>
              </w:rPr>
            </w:pPr>
            <w:r>
              <w:rPr>
                <w:color w:val="231F20"/>
                <w:sz w:val="22"/>
              </w:rPr>
              <w:t>19</w:t>
            </w:r>
          </w:p>
        </w:tc>
        <w:tc>
          <w:tcPr>
            <w:tcW w:w="1289" w:type="dxa"/>
            <w:shd w:val="clear" w:color="auto" w:fill="CCECFC"/>
          </w:tcPr>
          <w:p>
            <w:pPr>
              <w:pStyle w:val="TableParagraph"/>
              <w:spacing w:before="54"/>
              <w:ind w:right="74"/>
              <w:jc w:val="right"/>
              <w:rPr>
                <w:sz w:val="22"/>
              </w:rPr>
            </w:pPr>
            <w:r>
              <w:rPr>
                <w:color w:val="231F20"/>
                <w:sz w:val="22"/>
              </w:rPr>
              <w:t>5</w:t>
            </w:r>
          </w:p>
        </w:tc>
        <w:tc>
          <w:tcPr>
            <w:tcW w:w="1434" w:type="dxa"/>
            <w:shd w:val="clear" w:color="auto" w:fill="CCECFC"/>
          </w:tcPr>
          <w:p>
            <w:pPr>
              <w:pStyle w:val="TableParagraph"/>
              <w:spacing w:before="54"/>
              <w:ind w:right="74"/>
              <w:jc w:val="right"/>
              <w:rPr>
                <w:sz w:val="22"/>
              </w:rPr>
            </w:pPr>
            <w:r>
              <w:rPr>
                <w:color w:val="231F20"/>
                <w:sz w:val="22"/>
              </w:rPr>
              <w:t>19</w:t>
            </w:r>
          </w:p>
        </w:tc>
        <w:tc>
          <w:tcPr>
            <w:tcW w:w="1292" w:type="dxa"/>
            <w:shd w:val="clear" w:color="auto" w:fill="CCECFC"/>
          </w:tcPr>
          <w:p>
            <w:pPr>
              <w:pStyle w:val="TableParagraph"/>
              <w:spacing w:before="54"/>
              <w:ind w:right="72"/>
              <w:jc w:val="right"/>
              <w:rPr>
                <w:sz w:val="22"/>
              </w:rPr>
            </w:pPr>
            <w:r>
              <w:rPr>
                <w:color w:val="231F20"/>
                <w:sz w:val="22"/>
              </w:rPr>
              <w:t>4</w:t>
            </w:r>
          </w:p>
        </w:tc>
      </w:tr>
      <w:tr>
        <w:trPr>
          <w:trHeight w:val="292" w:hRule="exact"/>
        </w:trPr>
        <w:tc>
          <w:tcPr>
            <w:tcW w:w="2524" w:type="dxa"/>
          </w:tcPr>
          <w:p>
            <w:pPr>
              <w:pStyle w:val="TableParagraph"/>
              <w:spacing w:before="54"/>
              <w:ind w:left="60"/>
              <w:rPr>
                <w:sz w:val="22"/>
              </w:rPr>
            </w:pPr>
            <w:r>
              <w:rPr>
                <w:color w:val="231F20"/>
                <w:sz w:val="22"/>
              </w:rPr>
              <w:t>Non-compete agreements</w:t>
            </w:r>
          </w:p>
        </w:tc>
        <w:tc>
          <w:tcPr>
            <w:tcW w:w="1141" w:type="dxa"/>
          </w:tcPr>
          <w:p>
            <w:pPr>
              <w:pStyle w:val="TableParagraph"/>
              <w:spacing w:before="54"/>
              <w:ind w:right="74"/>
              <w:jc w:val="right"/>
              <w:rPr>
                <w:sz w:val="22"/>
              </w:rPr>
            </w:pPr>
            <w:r>
              <w:rPr>
                <w:color w:val="231F20"/>
                <w:sz w:val="22"/>
              </w:rPr>
              <w:t>2</w:t>
            </w:r>
          </w:p>
        </w:tc>
        <w:tc>
          <w:tcPr>
            <w:tcW w:w="1440" w:type="dxa"/>
          </w:tcPr>
          <w:p>
            <w:pPr>
              <w:pStyle w:val="TableParagraph"/>
              <w:spacing w:before="54"/>
              <w:ind w:right="74"/>
              <w:jc w:val="right"/>
              <w:rPr>
                <w:sz w:val="22"/>
              </w:rPr>
            </w:pPr>
            <w:r>
              <w:rPr>
                <w:color w:val="231F20"/>
                <w:sz w:val="22"/>
              </w:rPr>
              <w:t>5</w:t>
            </w:r>
          </w:p>
        </w:tc>
        <w:tc>
          <w:tcPr>
            <w:tcW w:w="1289" w:type="dxa"/>
          </w:tcPr>
          <w:p>
            <w:pPr>
              <w:pStyle w:val="TableParagraph"/>
              <w:spacing w:before="54"/>
              <w:ind w:right="74"/>
              <w:jc w:val="right"/>
              <w:rPr>
                <w:sz w:val="22"/>
              </w:rPr>
            </w:pPr>
            <w:r>
              <w:rPr>
                <w:color w:val="231F20"/>
                <w:sz w:val="22"/>
              </w:rPr>
              <w:t>5</w:t>
            </w:r>
          </w:p>
        </w:tc>
        <w:tc>
          <w:tcPr>
            <w:tcW w:w="1434" w:type="dxa"/>
          </w:tcPr>
          <w:p>
            <w:pPr>
              <w:pStyle w:val="TableParagraph"/>
              <w:spacing w:before="54"/>
              <w:ind w:right="74"/>
              <w:jc w:val="right"/>
              <w:rPr>
                <w:sz w:val="22"/>
              </w:rPr>
            </w:pPr>
            <w:r>
              <w:rPr>
                <w:color w:val="231F20"/>
                <w:sz w:val="22"/>
              </w:rPr>
              <w:t>5</w:t>
            </w:r>
          </w:p>
        </w:tc>
        <w:tc>
          <w:tcPr>
            <w:tcW w:w="1292" w:type="dxa"/>
          </w:tcPr>
          <w:p>
            <w:pPr>
              <w:pStyle w:val="TableParagraph"/>
              <w:spacing w:before="54"/>
              <w:ind w:right="72"/>
              <w:jc w:val="right"/>
              <w:rPr>
                <w:sz w:val="22"/>
              </w:rPr>
            </w:pPr>
            <w:r>
              <w:rPr>
                <w:color w:val="231F20"/>
                <w:sz w:val="22"/>
              </w:rPr>
              <w:t>5</w:t>
            </w:r>
          </w:p>
        </w:tc>
      </w:tr>
      <w:tr>
        <w:trPr>
          <w:trHeight w:val="300" w:hRule="exact"/>
        </w:trPr>
        <w:tc>
          <w:tcPr>
            <w:tcW w:w="2524" w:type="dxa"/>
            <w:shd w:val="clear" w:color="auto" w:fill="CCECFC"/>
          </w:tcPr>
          <w:p>
            <w:pPr>
              <w:pStyle w:val="TableParagraph"/>
              <w:tabs>
                <w:tab w:pos="2432" w:val="left" w:leader="none"/>
                <w:tab w:pos="3368" w:val="left" w:leader="none"/>
              </w:tabs>
              <w:spacing w:before="54"/>
              <w:ind w:left="60" w:right="-845"/>
              <w:rPr>
                <w:sz w:val="22"/>
              </w:rPr>
            </w:pPr>
            <w:r>
              <w:rPr>
                <w:color w:val="231F20"/>
                <w:sz w:val="22"/>
              </w:rPr>
              <w:t>Gate leasehold</w:t>
            </w:r>
            <w:r>
              <w:rPr>
                <w:color w:val="231F20"/>
                <w:spacing w:val="1"/>
                <w:sz w:val="22"/>
              </w:rPr>
              <w:t> </w:t>
            </w:r>
            <w:r>
              <w:rPr>
                <w:color w:val="231F20"/>
                <w:sz w:val="22"/>
              </w:rPr>
              <w:t>rights</w:t>
              <w:tab/>
            </w:r>
            <w:r>
              <w:rPr>
                <w:color w:val="231F20"/>
                <w:sz w:val="22"/>
                <w:u w:val="single" w:color="231F20"/>
              </w:rPr>
              <w:t> </w:t>
              <w:tab/>
            </w:r>
          </w:p>
        </w:tc>
        <w:tc>
          <w:tcPr>
            <w:tcW w:w="1141" w:type="dxa"/>
            <w:shd w:val="clear" w:color="auto" w:fill="CCECFC"/>
          </w:tcPr>
          <w:p>
            <w:pPr>
              <w:pStyle w:val="TableParagraph"/>
              <w:spacing w:before="54"/>
              <w:ind w:right="1"/>
              <w:jc w:val="right"/>
              <w:rPr>
                <w:sz w:val="22"/>
              </w:rPr>
            </w:pPr>
            <w:r>
              <w:rPr>
                <w:color w:val="231F20"/>
                <w:sz w:val="22"/>
                <w:u w:val="single" w:color="231F20"/>
              </w:rPr>
              <w:t>19 </w:t>
            </w:r>
          </w:p>
        </w:tc>
        <w:tc>
          <w:tcPr>
            <w:tcW w:w="1440" w:type="dxa"/>
            <w:shd w:val="clear" w:color="auto" w:fill="CCECFC"/>
          </w:tcPr>
          <w:p>
            <w:pPr>
              <w:pStyle w:val="TableParagraph"/>
              <w:tabs>
                <w:tab w:pos="1066" w:val="left" w:leader="none"/>
              </w:tabs>
              <w:spacing w:before="54"/>
              <w:ind w:right="1"/>
              <w:jc w:val="right"/>
              <w:rPr>
                <w:sz w:val="22"/>
              </w:rPr>
            </w:pPr>
            <w:r>
              <w:rPr>
                <w:color w:val="231F20"/>
                <w:sz w:val="22"/>
                <w:u w:val="single" w:color="231F20"/>
              </w:rPr>
              <w:t> </w:t>
              <w:tab/>
              <w:t>60</w:t>
            </w:r>
            <w:r>
              <w:rPr>
                <w:color w:val="231F20"/>
                <w:spacing w:val="18"/>
                <w:sz w:val="22"/>
                <w:u w:val="single" w:color="231F20"/>
              </w:rPr>
              <w:t> </w:t>
            </w:r>
          </w:p>
        </w:tc>
        <w:tc>
          <w:tcPr>
            <w:tcW w:w="1289" w:type="dxa"/>
            <w:shd w:val="clear" w:color="auto" w:fill="CCECFC"/>
          </w:tcPr>
          <w:p>
            <w:pPr>
              <w:pStyle w:val="TableParagraph"/>
              <w:tabs>
                <w:tab w:pos="915" w:val="left" w:leader="none"/>
              </w:tabs>
              <w:spacing w:before="54"/>
              <w:ind w:right="1"/>
              <w:jc w:val="right"/>
              <w:rPr>
                <w:sz w:val="22"/>
              </w:rPr>
            </w:pPr>
            <w:r>
              <w:rPr>
                <w:color w:val="231F20"/>
                <w:sz w:val="22"/>
                <w:u w:val="single" w:color="231F20"/>
              </w:rPr>
              <w:t> </w:t>
              <w:tab/>
              <w:t>32</w:t>
            </w:r>
            <w:r>
              <w:rPr>
                <w:color w:val="231F20"/>
                <w:spacing w:val="18"/>
                <w:sz w:val="22"/>
                <w:u w:val="single" w:color="231F20"/>
              </w:rPr>
              <w:t> </w:t>
            </w:r>
          </w:p>
        </w:tc>
        <w:tc>
          <w:tcPr>
            <w:tcW w:w="1434" w:type="dxa"/>
            <w:shd w:val="clear" w:color="auto" w:fill="CCECFC"/>
          </w:tcPr>
          <w:p>
            <w:pPr>
              <w:pStyle w:val="TableParagraph"/>
              <w:tabs>
                <w:tab w:pos="1060" w:val="left" w:leader="none"/>
              </w:tabs>
              <w:spacing w:before="54"/>
              <w:ind w:right="1"/>
              <w:jc w:val="right"/>
              <w:rPr>
                <w:sz w:val="22"/>
              </w:rPr>
            </w:pPr>
            <w:r>
              <w:rPr>
                <w:color w:val="231F20"/>
                <w:sz w:val="22"/>
                <w:u w:val="single" w:color="231F20"/>
              </w:rPr>
              <w:t> </w:t>
              <w:tab/>
              <w:t>60</w:t>
            </w:r>
            <w:r>
              <w:rPr>
                <w:color w:val="231F20"/>
                <w:spacing w:val="18"/>
                <w:sz w:val="22"/>
                <w:u w:val="single" w:color="231F20"/>
              </w:rPr>
              <w:t> </w:t>
            </w:r>
          </w:p>
        </w:tc>
        <w:tc>
          <w:tcPr>
            <w:tcW w:w="1292" w:type="dxa"/>
            <w:shd w:val="clear" w:color="auto" w:fill="CCECFC"/>
          </w:tcPr>
          <w:p>
            <w:pPr>
              <w:pStyle w:val="TableParagraph"/>
              <w:tabs>
                <w:tab w:pos="921" w:val="left" w:leader="none"/>
              </w:tabs>
              <w:spacing w:before="54"/>
              <w:jc w:val="right"/>
              <w:rPr>
                <w:sz w:val="22"/>
              </w:rPr>
            </w:pPr>
            <w:r>
              <w:rPr>
                <w:color w:val="231F20"/>
                <w:sz w:val="22"/>
                <w:u w:val="single" w:color="231F20"/>
              </w:rPr>
              <w:t> </w:t>
              <w:tab/>
              <w:t>29</w:t>
            </w:r>
            <w:r>
              <w:rPr>
                <w:color w:val="231F20"/>
                <w:spacing w:val="17"/>
                <w:sz w:val="22"/>
                <w:u w:val="single" w:color="231F20"/>
              </w:rPr>
              <w:t> </w:t>
            </w:r>
          </w:p>
        </w:tc>
      </w:tr>
    </w:tbl>
    <w:p>
      <w:pPr>
        <w:pStyle w:val="BodyText"/>
        <w:tabs>
          <w:tab w:pos="2532" w:val="left" w:leader="none"/>
          <w:tab w:pos="3468" w:val="left" w:leader="none"/>
          <w:tab w:pos="4798" w:val="left" w:leader="none"/>
          <w:tab w:pos="6197" w:val="left" w:leader="none"/>
          <w:tab w:pos="7521" w:val="left" w:leader="none"/>
          <w:tab w:pos="8926" w:val="left" w:leader="none"/>
        </w:tabs>
        <w:spacing w:before="75"/>
        <w:ind w:left="380"/>
      </w:pPr>
      <w:r>
        <w:rPr>
          <w:color w:val="231F20"/>
        </w:rPr>
        <w:t>Total</w:t>
        <w:tab/>
      </w:r>
      <w:r>
        <w:rPr>
          <w:color w:val="231F20"/>
          <w:u w:val="single" w:color="231F20"/>
        </w:rPr>
        <w:t> </w:t>
        <w:tab/>
        <w:t>15 </w:t>
      </w:r>
      <w:r>
        <w:rPr>
          <w:color w:val="231F20"/>
          <w:spacing w:val="43"/>
          <w:u w:val="single" w:color="231F20"/>
        </w:rPr>
        <w:t> </w:t>
      </w:r>
      <w:r>
        <w:rPr>
          <w:color w:val="231F20"/>
          <w:u w:val="single" w:color="231F20"/>
        </w:rPr>
        <w:t>$</w:t>
        <w:tab/>
        <w:t>461 </w:t>
      </w:r>
      <w:r>
        <w:rPr>
          <w:color w:val="231F20"/>
          <w:spacing w:val="43"/>
          <w:u w:val="single" w:color="231F20"/>
        </w:rPr>
        <w:t> </w:t>
      </w:r>
      <w:r>
        <w:rPr>
          <w:color w:val="231F20"/>
          <w:u w:val="single" w:color="231F20"/>
        </w:rPr>
        <w:t>$</w:t>
        <w:tab/>
        <w:t>98 </w:t>
      </w:r>
      <w:r>
        <w:rPr>
          <w:color w:val="231F20"/>
          <w:spacing w:val="43"/>
          <w:u w:val="single" w:color="231F20"/>
        </w:rPr>
        <w:t> </w:t>
      </w:r>
      <w:r>
        <w:rPr>
          <w:color w:val="231F20"/>
          <w:u w:val="single" w:color="231F20"/>
        </w:rPr>
        <w:t>$</w:t>
        <w:tab/>
        <w:t>252 </w:t>
      </w:r>
      <w:r>
        <w:rPr>
          <w:color w:val="231F20"/>
          <w:spacing w:val="43"/>
          <w:u w:val="single" w:color="231F20"/>
        </w:rPr>
        <w:t> </w:t>
      </w:r>
      <w:r>
        <w:rPr>
          <w:color w:val="231F20"/>
          <w:u w:val="single" w:color="231F20"/>
        </w:rPr>
        <w:t>$</w:t>
        <w:tab/>
        <w:t>86</w:t>
      </w:r>
      <w:r>
        <w:rPr>
          <w:color w:val="231F20"/>
          <w:spacing w:val="18"/>
          <w:u w:val="single" w:color="231F20"/>
        </w:rPr>
        <w:t> </w:t>
      </w:r>
    </w:p>
    <w:p>
      <w:pPr>
        <w:spacing w:before="185"/>
        <w:ind w:left="100" w:right="0" w:firstLine="0"/>
        <w:jc w:val="left"/>
        <w:rPr>
          <w:sz w:val="20"/>
        </w:rPr>
      </w:pPr>
      <w:r>
        <w:rPr>
          <w:color w:val="231F20"/>
          <w:sz w:val="20"/>
        </w:rPr>
        <w:t>(a) Useful life of leased slots is based on the stated lease term.</w:t>
      </w:r>
    </w:p>
    <w:p>
      <w:pPr>
        <w:spacing w:after="0"/>
        <w:jc w:val="left"/>
        <w:rPr>
          <w:sz w:val="20"/>
        </w:rPr>
        <w:sectPr>
          <w:type w:val="continuous"/>
          <w:pgSz w:w="11880" w:h="15480"/>
          <w:pgMar w:top="1260" w:bottom="280" w:left="1280" w:right="1260"/>
        </w:sectPr>
      </w:pPr>
    </w:p>
    <w:p>
      <w:pPr>
        <w:pStyle w:val="BodyText"/>
        <w:spacing w:line="247" w:lineRule="auto" w:before="74"/>
        <w:ind w:left="100" w:right="117" w:firstLine="720"/>
        <w:jc w:val="both"/>
      </w:pPr>
      <w:r>
        <w:rPr>
          <w:color w:val="231F20"/>
        </w:rPr>
        <w:t>During fourth quarter 2013, following the  Company’s  acquisition  of  additional  slots  at  New York’s LaGuardia Airport, the Company made the determination that all of its owned domestic slots should be assigned an indefinite life and would thus not be subject to further amortization, including those that are owned but leased to other carriers. In addition, during first quarter 2014, the Company acquired additional slots at Washington’s Ronald Reagan National Airport which were also assigned an indefinite life. Among other factors, the determination that all of the Company’s owned domestic slots should be assigned an indefinite life was due to the Company’s reassessment of the current size and importance of its operations at New York’s LaGuardia Airport and Washington’s Ronald Reagan National Airport versus when the Company first began service to these airports in recent years. The impact of this prospective change in accounting estimate is</w:t>
      </w:r>
      <w:r>
        <w:rPr>
          <w:color w:val="231F20"/>
          <w:spacing w:val="-2"/>
        </w:rPr>
        <w:t> </w:t>
      </w:r>
      <w:r>
        <w:rPr>
          <w:color w:val="231F20"/>
        </w:rPr>
        <w:t>immaterial.</w:t>
      </w:r>
    </w:p>
    <w:p>
      <w:pPr>
        <w:pStyle w:val="BodyText"/>
        <w:spacing w:before="9"/>
        <w:rPr>
          <w:sz w:val="20"/>
        </w:rPr>
      </w:pPr>
    </w:p>
    <w:p>
      <w:pPr>
        <w:pStyle w:val="BodyText"/>
        <w:ind w:left="820"/>
      </w:pPr>
      <w:r>
        <w:rPr>
          <w:color w:val="231F20"/>
        </w:rPr>
        <w:t>The aggregate amortization expense for 2014, 2013, and 2012 was $13 million, $19 million, and</w:t>
      </w:r>
    </w:p>
    <w:p>
      <w:pPr>
        <w:pStyle w:val="BodyText"/>
        <w:spacing w:line="247" w:lineRule="auto" w:before="7"/>
        <w:ind w:left="100" w:right="120"/>
        <w:jc w:val="both"/>
      </w:pPr>
      <w:r>
        <w:rPr>
          <w:color w:val="231F20"/>
        </w:rPr>
        <w:t>$25 million, respectively. Estimated aggregate amortization expense for the five succeeding years </w:t>
      </w:r>
      <w:r>
        <w:rPr>
          <w:color w:val="231F20"/>
          <w:spacing w:val="-2"/>
        </w:rPr>
        <w:t>and </w:t>
      </w:r>
      <w:r>
        <w:rPr>
          <w:color w:val="231F20"/>
          <w:spacing w:val="-3"/>
        </w:rPr>
        <w:t>thereafter </w:t>
      </w:r>
      <w:r>
        <w:rPr>
          <w:color w:val="231F20"/>
        </w:rPr>
        <w:t>is as </w:t>
      </w:r>
      <w:r>
        <w:rPr>
          <w:color w:val="231F20"/>
          <w:spacing w:val="-3"/>
        </w:rPr>
        <w:t>follows: 2015 </w:t>
      </w:r>
      <w:r>
        <w:rPr>
          <w:color w:val="231F20"/>
        </w:rPr>
        <w:t>– $11 </w:t>
      </w:r>
      <w:r>
        <w:rPr>
          <w:color w:val="231F20"/>
          <w:spacing w:val="-3"/>
        </w:rPr>
        <w:t>million, 2016 </w:t>
      </w:r>
      <w:r>
        <w:rPr>
          <w:color w:val="231F20"/>
        </w:rPr>
        <w:t>– $8 </w:t>
      </w:r>
      <w:r>
        <w:rPr>
          <w:color w:val="231F20"/>
          <w:spacing w:val="-3"/>
        </w:rPr>
        <w:t>million, 2017 </w:t>
      </w:r>
      <w:r>
        <w:rPr>
          <w:color w:val="231F20"/>
        </w:rPr>
        <w:t>– $5 </w:t>
      </w:r>
      <w:r>
        <w:rPr>
          <w:color w:val="231F20"/>
          <w:spacing w:val="-3"/>
        </w:rPr>
        <w:t>million, 2018 </w:t>
      </w:r>
      <w:r>
        <w:rPr>
          <w:color w:val="231F20"/>
        </w:rPr>
        <w:t>– $5 </w:t>
      </w:r>
      <w:r>
        <w:rPr>
          <w:color w:val="231F20"/>
          <w:spacing w:val="-3"/>
        </w:rPr>
        <w:t>million, 2019 </w:t>
      </w:r>
      <w:r>
        <w:rPr>
          <w:color w:val="231F20"/>
        </w:rPr>
        <w:t>– $4 </w:t>
      </w:r>
      <w:r>
        <w:rPr>
          <w:color w:val="231F20"/>
          <w:spacing w:val="-3"/>
        </w:rPr>
        <w:t>million, </w:t>
      </w:r>
      <w:r>
        <w:rPr>
          <w:color w:val="231F20"/>
        </w:rPr>
        <w:t>and </w:t>
      </w:r>
      <w:r>
        <w:rPr>
          <w:color w:val="231F20"/>
          <w:spacing w:val="-3"/>
        </w:rPr>
        <w:t>thereafter </w:t>
      </w:r>
      <w:r>
        <w:rPr>
          <w:color w:val="231F20"/>
        </w:rPr>
        <w:t>– $27</w:t>
      </w:r>
      <w:r>
        <w:rPr>
          <w:color w:val="231F20"/>
          <w:spacing w:val="-37"/>
        </w:rPr>
        <w:t> </w:t>
      </w:r>
      <w:r>
        <w:rPr>
          <w:color w:val="231F20"/>
          <w:spacing w:val="-3"/>
        </w:rPr>
        <w:t>million.</w:t>
      </w:r>
    </w:p>
    <w:p>
      <w:pPr>
        <w:pStyle w:val="BodyText"/>
        <w:spacing w:before="9"/>
        <w:rPr>
          <w:sz w:val="20"/>
        </w:rPr>
      </w:pPr>
    </w:p>
    <w:p>
      <w:pPr>
        <w:pStyle w:val="Heading2"/>
        <w:spacing w:before="1"/>
        <w:rPr>
          <w:i/>
        </w:rPr>
      </w:pPr>
      <w:r>
        <w:rPr>
          <w:i/>
          <w:color w:val="231F20"/>
        </w:rPr>
        <w:t>Revenue recognition</w:t>
      </w:r>
    </w:p>
    <w:p>
      <w:pPr>
        <w:pStyle w:val="BodyText"/>
        <w:spacing w:before="5"/>
        <w:rPr>
          <w:b/>
          <w:i/>
          <w:sz w:val="21"/>
        </w:rPr>
      </w:pPr>
    </w:p>
    <w:p>
      <w:pPr>
        <w:pStyle w:val="BodyText"/>
        <w:spacing w:line="247" w:lineRule="auto"/>
        <w:ind w:left="100" w:right="117" w:firstLine="720"/>
        <w:jc w:val="both"/>
      </w:pPr>
      <w:r>
        <w:rPr>
          <w:color w:val="231F20"/>
        </w:rPr>
        <w:t>Tickets sold are initially deferred as Air traffic liability. Passenger revenue is recognized when transportation is provided. Air traffic liability primarily represents tickets sold for future travel dates and estimated refunds and exchanges of tickets sold for past travel dates. The majority of the Company’s tickets sold are nonrefundable. Refundable tickets that are sold but not flown on the travel date can be reused for another flight, up to a year from the date of sale, or refunded. A small  percentage of tickets (or partial tickets) expire unused. The Company estimates the amount of tickets that expire unused and recognizes such amounts in Passenger revenue using the redemption method based on scheduled flight date. Prior to September 13, 2013, funds associated with tickets in which a passenger did not show up for a flight without canceling were able to be reused on another flight for up to twelve months. On September 13, 2013, Southwest implemented a No Show policy that applies to nonrefundable fares that are not canceled or changed by a Customer at least ten minutes prior to a flight’s scheduled departure. Based on the Company’s revenue recognition policy, revenue is now recorded at the flight date for a Customer who does not change his/her itinerary and loses his/her funds. Amounts collected from passengers for ancillary services such as baggage and other fees are generally recognized as Other revenue when the service is provided, which is typically the flight</w:t>
      </w:r>
      <w:r>
        <w:rPr>
          <w:color w:val="231F20"/>
          <w:spacing w:val="-2"/>
        </w:rPr>
        <w:t> </w:t>
      </w:r>
      <w:r>
        <w:rPr>
          <w:color w:val="231F20"/>
        </w:rPr>
        <w:t>date.</w:t>
      </w:r>
    </w:p>
    <w:p>
      <w:pPr>
        <w:pStyle w:val="BodyText"/>
        <w:spacing w:before="9"/>
        <w:rPr>
          <w:sz w:val="20"/>
        </w:rPr>
      </w:pPr>
    </w:p>
    <w:p>
      <w:pPr>
        <w:pStyle w:val="BodyText"/>
        <w:spacing w:line="247" w:lineRule="auto"/>
        <w:ind w:left="100" w:right="117" w:firstLine="720"/>
        <w:jc w:val="both"/>
      </w:pPr>
      <w:r>
        <w:rPr>
          <w:color w:val="231F20"/>
        </w:rPr>
        <w:t>The Company’s policy is to record revenue for the estimated spoilage of tickets (including partial tickets) once the flight date has passed, under the redemption method. Initial spoilage estimates are routinely adjusted and ultimately finalized once the tickets expire, which is typically twelve months after the original purchase date. Spoilage estimates are based on the Customers’ historical travel behavior as well as assumptions about the Customers’ future travel behavior. Assumptions used to generate spoilage estimates can be impacted by several factors including, but not limited to: fare increases, fare sales, changes to the Company’s ticketing policies, changes to the Company’s refund, exchange and unused funds policies, or economic factors.</w:t>
      </w:r>
    </w:p>
    <w:p>
      <w:pPr>
        <w:pStyle w:val="BodyText"/>
        <w:spacing w:before="9"/>
        <w:rPr>
          <w:sz w:val="20"/>
        </w:rPr>
      </w:pPr>
    </w:p>
    <w:p>
      <w:pPr>
        <w:pStyle w:val="BodyText"/>
        <w:spacing w:line="247" w:lineRule="auto"/>
        <w:ind w:left="100" w:right="117" w:firstLine="720"/>
        <w:jc w:val="both"/>
      </w:pPr>
      <w:r>
        <w:rPr>
          <w:color w:val="231F20"/>
        </w:rPr>
        <w:t>The Company is also required to collect certain taxes and fees from Customers on behalf of government agencies and remit these back to the applicable governmental entity on a periodic basis. These taxes and fees include U.S. federal transportation taxes, federal security charges, and airport passenger facility charges. These items are collected from Customers at the time they purchase their tickets,  but are  not included  in Passenger  revenue.  The Company  records  a liability upon collection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313"/>
      </w:pPr>
      <w:r>
        <w:rPr>
          <w:color w:val="231F20"/>
        </w:rPr>
        <w:t>from the Customer and relieves the liability when payments are remitted to the applicable  governmental agency.</w:t>
      </w:r>
    </w:p>
    <w:p>
      <w:pPr>
        <w:pStyle w:val="BodyText"/>
        <w:spacing w:before="9"/>
        <w:rPr>
          <w:sz w:val="20"/>
        </w:rPr>
      </w:pPr>
    </w:p>
    <w:p>
      <w:pPr>
        <w:pStyle w:val="Heading2"/>
        <w:ind w:left="320"/>
        <w:rPr>
          <w:i/>
        </w:rPr>
      </w:pPr>
      <w:r>
        <w:rPr>
          <w:i/>
          <w:color w:val="231F20"/>
        </w:rPr>
        <w:t>Frequent flyer program</w:t>
      </w:r>
    </w:p>
    <w:p>
      <w:pPr>
        <w:pStyle w:val="BodyText"/>
        <w:spacing w:before="5"/>
        <w:rPr>
          <w:b/>
          <w:i/>
          <w:sz w:val="21"/>
        </w:rPr>
      </w:pPr>
    </w:p>
    <w:p>
      <w:pPr>
        <w:pStyle w:val="BodyText"/>
        <w:spacing w:line="247" w:lineRule="auto"/>
        <w:ind w:left="100" w:right="118" w:firstLine="720"/>
        <w:jc w:val="both"/>
      </w:pPr>
      <w:r>
        <w:rPr>
          <w:color w:val="231F20"/>
        </w:rPr>
        <w:t>The</w:t>
      </w:r>
      <w:r>
        <w:rPr>
          <w:color w:val="231F20"/>
          <w:spacing w:val="-10"/>
        </w:rPr>
        <w:t> </w:t>
      </w:r>
      <w:r>
        <w:rPr>
          <w:color w:val="231F20"/>
        </w:rPr>
        <w:t>Company</w:t>
      </w:r>
      <w:r>
        <w:rPr>
          <w:color w:val="231F20"/>
          <w:spacing w:val="-10"/>
        </w:rPr>
        <w:t> </w:t>
      </w:r>
      <w:r>
        <w:rPr>
          <w:color w:val="231F20"/>
        </w:rPr>
        <w:t>records</w:t>
      </w:r>
      <w:r>
        <w:rPr>
          <w:color w:val="231F20"/>
          <w:spacing w:val="-10"/>
        </w:rPr>
        <w:t> </w:t>
      </w:r>
      <w:r>
        <w:rPr>
          <w:color w:val="231F20"/>
        </w:rPr>
        <w:t>a</w:t>
      </w:r>
      <w:r>
        <w:rPr>
          <w:color w:val="231F20"/>
          <w:spacing w:val="-10"/>
        </w:rPr>
        <w:t> </w:t>
      </w:r>
      <w:r>
        <w:rPr>
          <w:color w:val="231F20"/>
        </w:rPr>
        <w:t>liability</w:t>
      </w:r>
      <w:r>
        <w:rPr>
          <w:color w:val="231F20"/>
          <w:spacing w:val="-10"/>
        </w:rPr>
        <w:t> </w:t>
      </w:r>
      <w:r>
        <w:rPr>
          <w:color w:val="231F20"/>
        </w:rPr>
        <w:t>for</w:t>
      </w:r>
      <w:r>
        <w:rPr>
          <w:color w:val="231F20"/>
          <w:spacing w:val="-11"/>
        </w:rPr>
        <w:t> </w:t>
      </w:r>
      <w:r>
        <w:rPr>
          <w:color w:val="231F20"/>
        </w:rPr>
        <w:t>the</w:t>
      </w:r>
      <w:r>
        <w:rPr>
          <w:color w:val="231F20"/>
          <w:spacing w:val="-10"/>
        </w:rPr>
        <w:t> </w:t>
      </w:r>
      <w:r>
        <w:rPr>
          <w:color w:val="231F20"/>
        </w:rPr>
        <w:t>estimated</w:t>
      </w:r>
      <w:r>
        <w:rPr>
          <w:color w:val="231F20"/>
          <w:spacing w:val="-11"/>
        </w:rPr>
        <w:t> </w:t>
      </w:r>
      <w:r>
        <w:rPr>
          <w:color w:val="231F20"/>
        </w:rPr>
        <w:t>incremental</w:t>
      </w:r>
      <w:r>
        <w:rPr>
          <w:color w:val="231F20"/>
          <w:spacing w:val="-12"/>
        </w:rPr>
        <w:t> </w:t>
      </w:r>
      <w:r>
        <w:rPr>
          <w:color w:val="231F20"/>
        </w:rPr>
        <w:t>cost</w:t>
      </w:r>
      <w:r>
        <w:rPr>
          <w:color w:val="231F20"/>
          <w:spacing w:val="-12"/>
        </w:rPr>
        <w:t> </w:t>
      </w:r>
      <w:r>
        <w:rPr>
          <w:color w:val="231F20"/>
        </w:rPr>
        <w:t>of</w:t>
      </w:r>
      <w:r>
        <w:rPr>
          <w:color w:val="231F20"/>
          <w:spacing w:val="-12"/>
        </w:rPr>
        <w:t> </w:t>
      </w:r>
      <w:r>
        <w:rPr>
          <w:color w:val="231F20"/>
        </w:rPr>
        <w:t>providing</w:t>
      </w:r>
      <w:r>
        <w:rPr>
          <w:color w:val="231F20"/>
          <w:spacing w:val="-11"/>
        </w:rPr>
        <w:t> </w:t>
      </w:r>
      <w:r>
        <w:rPr>
          <w:color w:val="231F20"/>
        </w:rPr>
        <w:t>free</w:t>
      </w:r>
      <w:r>
        <w:rPr>
          <w:color w:val="231F20"/>
          <w:spacing w:val="-11"/>
        </w:rPr>
        <w:t> </w:t>
      </w:r>
      <w:r>
        <w:rPr>
          <w:color w:val="231F20"/>
        </w:rPr>
        <w:t>travel</w:t>
      </w:r>
      <w:r>
        <w:rPr>
          <w:color w:val="231F20"/>
          <w:spacing w:val="-12"/>
        </w:rPr>
        <w:t> </w:t>
      </w:r>
      <w:r>
        <w:rPr>
          <w:color w:val="231F20"/>
        </w:rPr>
        <w:t>under its</w:t>
      </w:r>
      <w:r>
        <w:rPr>
          <w:color w:val="231F20"/>
          <w:spacing w:val="-10"/>
        </w:rPr>
        <w:t> </w:t>
      </w:r>
      <w:r>
        <w:rPr>
          <w:color w:val="231F20"/>
        </w:rPr>
        <w:t>frequent</w:t>
      </w:r>
      <w:r>
        <w:rPr>
          <w:color w:val="231F20"/>
          <w:spacing w:val="-10"/>
        </w:rPr>
        <w:t> </w:t>
      </w:r>
      <w:r>
        <w:rPr>
          <w:color w:val="231F20"/>
        </w:rPr>
        <w:t>flyer</w:t>
      </w:r>
      <w:r>
        <w:rPr>
          <w:color w:val="231F20"/>
          <w:spacing w:val="-10"/>
        </w:rPr>
        <w:t> </w:t>
      </w:r>
      <w:r>
        <w:rPr>
          <w:color w:val="231F20"/>
        </w:rPr>
        <w:t>program</w:t>
      </w:r>
      <w:r>
        <w:rPr>
          <w:color w:val="231F20"/>
          <w:spacing w:val="-10"/>
        </w:rPr>
        <w:t> </w:t>
      </w:r>
      <w:r>
        <w:rPr>
          <w:color w:val="231F20"/>
        </w:rPr>
        <w:t>for</w:t>
      </w:r>
      <w:r>
        <w:rPr>
          <w:color w:val="231F20"/>
          <w:spacing w:val="-10"/>
        </w:rPr>
        <w:t> </w:t>
      </w:r>
      <w:r>
        <w:rPr>
          <w:color w:val="231F20"/>
        </w:rPr>
        <w:t>all</w:t>
      </w:r>
      <w:r>
        <w:rPr>
          <w:color w:val="231F20"/>
          <w:spacing w:val="-10"/>
        </w:rPr>
        <w:t> </w:t>
      </w:r>
      <w:r>
        <w:rPr>
          <w:color w:val="231F20"/>
        </w:rPr>
        <w:t>amounts</w:t>
      </w:r>
      <w:r>
        <w:rPr>
          <w:color w:val="231F20"/>
          <w:spacing w:val="-10"/>
        </w:rPr>
        <w:t> </w:t>
      </w:r>
      <w:r>
        <w:rPr>
          <w:color w:val="231F20"/>
        </w:rPr>
        <w:t>earned</w:t>
      </w:r>
      <w:r>
        <w:rPr>
          <w:color w:val="231F20"/>
          <w:spacing w:val="-10"/>
        </w:rPr>
        <w:t> </w:t>
      </w:r>
      <w:r>
        <w:rPr>
          <w:color w:val="231F20"/>
        </w:rPr>
        <w:t>from</w:t>
      </w:r>
      <w:r>
        <w:rPr>
          <w:color w:val="231F20"/>
          <w:spacing w:val="-10"/>
        </w:rPr>
        <w:t> </w:t>
      </w:r>
      <w:r>
        <w:rPr>
          <w:color w:val="231F20"/>
        </w:rPr>
        <w:t>flight</w:t>
      </w:r>
      <w:r>
        <w:rPr>
          <w:color w:val="231F20"/>
          <w:spacing w:val="-10"/>
        </w:rPr>
        <w:t> </w:t>
      </w:r>
      <w:r>
        <w:rPr>
          <w:color w:val="231F20"/>
        </w:rPr>
        <w:t>activity</w:t>
      </w:r>
      <w:r>
        <w:rPr>
          <w:color w:val="231F20"/>
          <w:spacing w:val="-10"/>
        </w:rPr>
        <w:t> </w:t>
      </w:r>
      <w:r>
        <w:rPr>
          <w:color w:val="231F20"/>
        </w:rPr>
        <w:t>that</w:t>
      </w:r>
      <w:r>
        <w:rPr>
          <w:color w:val="231F20"/>
          <w:spacing w:val="-10"/>
        </w:rPr>
        <w:t> </w:t>
      </w:r>
      <w:r>
        <w:rPr>
          <w:color w:val="231F20"/>
        </w:rPr>
        <w:t>are</w:t>
      </w:r>
      <w:r>
        <w:rPr>
          <w:color w:val="231F20"/>
          <w:spacing w:val="-10"/>
        </w:rPr>
        <w:t> </w:t>
      </w:r>
      <w:r>
        <w:rPr>
          <w:color w:val="231F20"/>
        </w:rPr>
        <w:t>expected</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rPr>
        <w:t>redeemed</w:t>
      </w:r>
      <w:r>
        <w:rPr>
          <w:color w:val="231F20"/>
          <w:spacing w:val="-10"/>
        </w:rPr>
        <w:t> </w:t>
      </w:r>
      <w:r>
        <w:rPr>
          <w:color w:val="231F20"/>
          <w:spacing w:val="-2"/>
        </w:rPr>
        <w:t>for </w:t>
      </w:r>
      <w:r>
        <w:rPr>
          <w:color w:val="231F20"/>
        </w:rPr>
        <w:t>future</w:t>
      </w:r>
      <w:r>
        <w:rPr>
          <w:color w:val="231F20"/>
          <w:spacing w:val="-9"/>
        </w:rPr>
        <w:t> </w:t>
      </w:r>
      <w:r>
        <w:rPr>
          <w:color w:val="231F20"/>
        </w:rPr>
        <w:t>travel.</w:t>
      </w:r>
      <w:r>
        <w:rPr>
          <w:color w:val="231F20"/>
          <w:spacing w:val="-9"/>
        </w:rPr>
        <w:t> </w:t>
      </w:r>
      <w:r>
        <w:rPr>
          <w:color w:val="231F20"/>
        </w:rPr>
        <w:t>The</w:t>
      </w:r>
      <w:r>
        <w:rPr>
          <w:color w:val="231F20"/>
          <w:spacing w:val="-9"/>
        </w:rPr>
        <w:t> </w:t>
      </w:r>
      <w:r>
        <w:rPr>
          <w:color w:val="231F20"/>
        </w:rPr>
        <w:t>estimated</w:t>
      </w:r>
      <w:r>
        <w:rPr>
          <w:color w:val="231F20"/>
          <w:spacing w:val="-9"/>
        </w:rPr>
        <w:t> </w:t>
      </w:r>
      <w:r>
        <w:rPr>
          <w:color w:val="231F20"/>
        </w:rPr>
        <w:t>incremental</w:t>
      </w:r>
      <w:r>
        <w:rPr>
          <w:color w:val="231F20"/>
          <w:spacing w:val="-10"/>
        </w:rPr>
        <w:t> </w:t>
      </w:r>
      <w:r>
        <w:rPr>
          <w:color w:val="231F20"/>
        </w:rPr>
        <w:t>cost</w:t>
      </w:r>
      <w:r>
        <w:rPr>
          <w:color w:val="231F20"/>
          <w:spacing w:val="-10"/>
        </w:rPr>
        <w:t> </w:t>
      </w:r>
      <w:r>
        <w:rPr>
          <w:color w:val="231F20"/>
        </w:rPr>
        <w:t>includes</w:t>
      </w:r>
      <w:r>
        <w:rPr>
          <w:color w:val="231F20"/>
          <w:spacing w:val="-9"/>
        </w:rPr>
        <w:t> </w:t>
      </w:r>
      <w:r>
        <w:rPr>
          <w:color w:val="231F20"/>
        </w:rPr>
        <w:t>direct</w:t>
      </w:r>
      <w:r>
        <w:rPr>
          <w:color w:val="231F20"/>
          <w:spacing w:val="-10"/>
        </w:rPr>
        <w:t> </w:t>
      </w:r>
      <w:r>
        <w:rPr>
          <w:color w:val="231F20"/>
        </w:rPr>
        <w:t>passenger</w:t>
      </w:r>
      <w:r>
        <w:rPr>
          <w:color w:val="231F20"/>
          <w:spacing w:val="-10"/>
        </w:rPr>
        <w:t> </w:t>
      </w:r>
      <w:r>
        <w:rPr>
          <w:color w:val="231F20"/>
        </w:rPr>
        <w:t>costs</w:t>
      </w:r>
      <w:r>
        <w:rPr>
          <w:color w:val="231F20"/>
          <w:spacing w:val="-9"/>
        </w:rPr>
        <w:t> </w:t>
      </w:r>
      <w:r>
        <w:rPr>
          <w:color w:val="231F20"/>
        </w:rPr>
        <w:t>such</w:t>
      </w:r>
      <w:r>
        <w:rPr>
          <w:color w:val="231F20"/>
          <w:spacing w:val="-9"/>
        </w:rPr>
        <w:t> </w:t>
      </w:r>
      <w:r>
        <w:rPr>
          <w:color w:val="231F20"/>
        </w:rPr>
        <w:t>as</w:t>
      </w:r>
      <w:r>
        <w:rPr>
          <w:color w:val="231F20"/>
          <w:spacing w:val="-9"/>
        </w:rPr>
        <w:t> </w:t>
      </w:r>
      <w:r>
        <w:rPr>
          <w:color w:val="231F20"/>
        </w:rPr>
        <w:t>fuel,</w:t>
      </w:r>
      <w:r>
        <w:rPr>
          <w:color w:val="231F20"/>
          <w:spacing w:val="-9"/>
        </w:rPr>
        <w:t> </w:t>
      </w:r>
      <w:r>
        <w:rPr>
          <w:color w:val="231F20"/>
        </w:rPr>
        <w:t>food,</w:t>
      </w:r>
      <w:r>
        <w:rPr>
          <w:color w:val="231F20"/>
          <w:spacing w:val="-10"/>
        </w:rPr>
        <w:t> </w:t>
      </w:r>
      <w:r>
        <w:rPr>
          <w:color w:val="231F20"/>
        </w:rPr>
        <w:t>and</w:t>
      </w:r>
      <w:r>
        <w:rPr>
          <w:color w:val="231F20"/>
          <w:spacing w:val="-10"/>
        </w:rPr>
        <w:t> </w:t>
      </w:r>
      <w:r>
        <w:rPr>
          <w:color w:val="231F20"/>
        </w:rPr>
        <w:t>other operational</w:t>
      </w:r>
      <w:r>
        <w:rPr>
          <w:color w:val="231F20"/>
          <w:spacing w:val="-15"/>
        </w:rPr>
        <w:t> </w:t>
      </w:r>
      <w:r>
        <w:rPr>
          <w:color w:val="231F20"/>
        </w:rPr>
        <w:t>costs,</w:t>
      </w:r>
      <w:r>
        <w:rPr>
          <w:color w:val="231F20"/>
          <w:spacing w:val="-15"/>
        </w:rPr>
        <w:t> </w:t>
      </w:r>
      <w:r>
        <w:rPr>
          <w:color w:val="231F20"/>
        </w:rPr>
        <w:t>but</w:t>
      </w:r>
      <w:r>
        <w:rPr>
          <w:color w:val="231F20"/>
          <w:spacing w:val="-15"/>
        </w:rPr>
        <w:t> </w:t>
      </w:r>
      <w:r>
        <w:rPr>
          <w:color w:val="231F20"/>
        </w:rPr>
        <w:t>does</w:t>
      </w:r>
      <w:r>
        <w:rPr>
          <w:color w:val="231F20"/>
          <w:spacing w:val="-15"/>
        </w:rPr>
        <w:t> </w:t>
      </w:r>
      <w:r>
        <w:rPr>
          <w:color w:val="231F20"/>
        </w:rPr>
        <w:t>not</w:t>
      </w:r>
      <w:r>
        <w:rPr>
          <w:color w:val="231F20"/>
          <w:spacing w:val="-15"/>
        </w:rPr>
        <w:t> </w:t>
      </w:r>
      <w:r>
        <w:rPr>
          <w:color w:val="231F20"/>
        </w:rPr>
        <w:t>include</w:t>
      </w:r>
      <w:r>
        <w:rPr>
          <w:color w:val="231F20"/>
          <w:spacing w:val="-15"/>
        </w:rPr>
        <w:t> </w:t>
      </w:r>
      <w:r>
        <w:rPr>
          <w:color w:val="231F20"/>
        </w:rPr>
        <w:t>any</w:t>
      </w:r>
      <w:r>
        <w:rPr>
          <w:color w:val="231F20"/>
          <w:spacing w:val="-15"/>
        </w:rPr>
        <w:t> </w:t>
      </w:r>
      <w:r>
        <w:rPr>
          <w:color w:val="231F20"/>
        </w:rPr>
        <w:t>contribution</w:t>
      </w:r>
      <w:r>
        <w:rPr>
          <w:color w:val="231F20"/>
          <w:spacing w:val="-15"/>
        </w:rPr>
        <w:t> </w:t>
      </w:r>
      <w:r>
        <w:rPr>
          <w:color w:val="231F20"/>
        </w:rPr>
        <w:t>to</w:t>
      </w:r>
      <w:r>
        <w:rPr>
          <w:color w:val="231F20"/>
          <w:spacing w:val="-15"/>
        </w:rPr>
        <w:t> </w:t>
      </w:r>
      <w:r>
        <w:rPr>
          <w:color w:val="231F20"/>
        </w:rPr>
        <w:t>fixed</w:t>
      </w:r>
      <w:r>
        <w:rPr>
          <w:color w:val="231F20"/>
          <w:spacing w:val="-15"/>
        </w:rPr>
        <w:t> </w:t>
      </w:r>
      <w:r>
        <w:rPr>
          <w:color w:val="231F20"/>
        </w:rPr>
        <w:t>overhead</w:t>
      </w:r>
      <w:r>
        <w:rPr>
          <w:color w:val="231F20"/>
          <w:spacing w:val="-15"/>
        </w:rPr>
        <w:t> </w:t>
      </w:r>
      <w:r>
        <w:rPr>
          <w:color w:val="231F20"/>
        </w:rPr>
        <w:t>costs</w:t>
      </w:r>
      <w:r>
        <w:rPr>
          <w:color w:val="231F20"/>
          <w:spacing w:val="-15"/>
        </w:rPr>
        <w:t> </w:t>
      </w:r>
      <w:r>
        <w:rPr>
          <w:color w:val="231F20"/>
        </w:rPr>
        <w:t>or</w:t>
      </w:r>
      <w:r>
        <w:rPr>
          <w:color w:val="231F20"/>
          <w:spacing w:val="-15"/>
        </w:rPr>
        <w:t> </w:t>
      </w:r>
      <w:r>
        <w:rPr>
          <w:color w:val="231F20"/>
        </w:rPr>
        <w:t>profit.</w:t>
      </w:r>
    </w:p>
    <w:p>
      <w:pPr>
        <w:pStyle w:val="BodyText"/>
        <w:spacing w:before="9"/>
        <w:rPr>
          <w:sz w:val="20"/>
        </w:rPr>
      </w:pPr>
    </w:p>
    <w:p>
      <w:pPr>
        <w:pStyle w:val="BodyText"/>
        <w:spacing w:line="247" w:lineRule="auto"/>
        <w:ind w:left="100" w:right="119" w:firstLine="720"/>
        <w:jc w:val="both"/>
      </w:pPr>
      <w:r>
        <w:rPr>
          <w:color w:val="231F20"/>
        </w:rPr>
        <w:t>Southwest also sells frequent flyer points and related services to companies participating in </w:t>
      </w:r>
      <w:r>
        <w:rPr>
          <w:color w:val="231F20"/>
          <w:spacing w:val="-2"/>
        </w:rPr>
        <w:t>its </w:t>
      </w:r>
      <w:r>
        <w:rPr>
          <w:color w:val="231F20"/>
        </w:rPr>
        <w:t>frequent</w:t>
      </w:r>
      <w:r>
        <w:rPr>
          <w:color w:val="231F20"/>
          <w:spacing w:val="-4"/>
        </w:rPr>
        <w:t> </w:t>
      </w:r>
      <w:r>
        <w:rPr>
          <w:color w:val="231F20"/>
        </w:rPr>
        <w:t>flyer</w:t>
      </w:r>
      <w:r>
        <w:rPr>
          <w:color w:val="231F20"/>
          <w:spacing w:val="-4"/>
        </w:rPr>
        <w:t> </w:t>
      </w:r>
      <w:r>
        <w:rPr>
          <w:color w:val="231F20"/>
        </w:rPr>
        <w:t>program.</w:t>
      </w:r>
      <w:r>
        <w:rPr>
          <w:color w:val="231F20"/>
          <w:spacing w:val="-4"/>
        </w:rPr>
        <w:t> </w:t>
      </w:r>
      <w:r>
        <w:rPr>
          <w:color w:val="231F20"/>
        </w:rPr>
        <w:t>Funds</w:t>
      </w:r>
      <w:r>
        <w:rPr>
          <w:color w:val="231F20"/>
          <w:spacing w:val="-3"/>
        </w:rPr>
        <w:t> </w:t>
      </w:r>
      <w:r>
        <w:rPr>
          <w:color w:val="231F20"/>
        </w:rPr>
        <w:t>received</w:t>
      </w:r>
      <w:r>
        <w:rPr>
          <w:color w:val="231F20"/>
          <w:spacing w:val="-4"/>
        </w:rPr>
        <w:t> </w:t>
      </w:r>
      <w:r>
        <w:rPr>
          <w:color w:val="231F20"/>
        </w:rPr>
        <w:t>from</w:t>
      </w:r>
      <w:r>
        <w:rPr>
          <w:color w:val="231F20"/>
          <w:spacing w:val="-4"/>
        </w:rPr>
        <w:t> </w:t>
      </w:r>
      <w:r>
        <w:rPr>
          <w:color w:val="231F20"/>
        </w:rPr>
        <w:t>the</w:t>
      </w:r>
      <w:r>
        <w:rPr>
          <w:color w:val="231F20"/>
          <w:spacing w:val="-3"/>
        </w:rPr>
        <w:t> </w:t>
      </w:r>
      <w:r>
        <w:rPr>
          <w:color w:val="231F20"/>
        </w:rPr>
        <w:t>sale</w:t>
      </w:r>
      <w:r>
        <w:rPr>
          <w:color w:val="231F20"/>
          <w:spacing w:val="-3"/>
        </w:rPr>
        <w:t> </w:t>
      </w:r>
      <w:r>
        <w:rPr>
          <w:color w:val="231F20"/>
        </w:rPr>
        <w:t>of</w:t>
      </w:r>
      <w:r>
        <w:rPr>
          <w:color w:val="231F20"/>
          <w:spacing w:val="-4"/>
        </w:rPr>
        <w:t> </w:t>
      </w:r>
      <w:r>
        <w:rPr>
          <w:color w:val="231F20"/>
        </w:rPr>
        <w:t>these</w:t>
      </w:r>
      <w:r>
        <w:rPr>
          <w:color w:val="231F20"/>
          <w:spacing w:val="-3"/>
        </w:rPr>
        <w:t> </w:t>
      </w:r>
      <w:r>
        <w:rPr>
          <w:color w:val="231F20"/>
        </w:rPr>
        <w:t>points</w:t>
      </w:r>
      <w:r>
        <w:rPr>
          <w:color w:val="231F20"/>
          <w:spacing w:val="-3"/>
        </w:rPr>
        <w:t> </w:t>
      </w:r>
      <w:r>
        <w:rPr>
          <w:color w:val="231F20"/>
        </w:rPr>
        <w:t>are</w:t>
      </w:r>
      <w:r>
        <w:rPr>
          <w:color w:val="231F20"/>
          <w:spacing w:val="-3"/>
        </w:rPr>
        <w:t> </w:t>
      </w:r>
      <w:r>
        <w:rPr>
          <w:color w:val="231F20"/>
        </w:rPr>
        <w:t>accounted</w:t>
      </w:r>
      <w:r>
        <w:rPr>
          <w:color w:val="231F20"/>
          <w:spacing w:val="-4"/>
        </w:rPr>
        <w:t> </w:t>
      </w:r>
      <w:r>
        <w:rPr>
          <w:color w:val="231F20"/>
        </w:rPr>
        <w:t>for</w:t>
      </w:r>
      <w:r>
        <w:rPr>
          <w:color w:val="231F20"/>
          <w:spacing w:val="-4"/>
        </w:rPr>
        <w:t> </w:t>
      </w:r>
      <w:r>
        <w:rPr>
          <w:color w:val="231F20"/>
        </w:rPr>
        <w:t>using</w:t>
      </w:r>
      <w:r>
        <w:rPr>
          <w:color w:val="231F20"/>
          <w:spacing w:val="-4"/>
        </w:rPr>
        <w:t> </w:t>
      </w:r>
      <w:r>
        <w:rPr>
          <w:color w:val="231F20"/>
        </w:rPr>
        <w:t>the</w:t>
      </w:r>
      <w:r>
        <w:rPr>
          <w:color w:val="231F20"/>
          <w:spacing w:val="-4"/>
        </w:rPr>
        <w:t> </w:t>
      </w:r>
      <w:r>
        <w:rPr>
          <w:color w:val="231F20"/>
          <w:spacing w:val="-3"/>
        </w:rPr>
        <w:t>residual </w:t>
      </w:r>
      <w:r>
        <w:rPr>
          <w:color w:val="231F20"/>
        </w:rPr>
        <w:t>method. Under this method, the Company determined the portion of funds received that relate to free travel were currently estimated to be 100 percent of the amount received under the Company’s Rapid Reward program as of December 31, 2014. These amounts are deferred and recognized as Passenger revenue when the ultimate free travel awards are flown. For all points sold to business partners that </w:t>
      </w:r>
      <w:r>
        <w:rPr>
          <w:color w:val="231F20"/>
          <w:spacing w:val="-2"/>
        </w:rPr>
        <w:t>are </w:t>
      </w:r>
      <w:r>
        <w:rPr>
          <w:color w:val="231F20"/>
        </w:rPr>
        <w:t>expected</w:t>
      </w:r>
      <w:r>
        <w:rPr>
          <w:color w:val="231F20"/>
          <w:spacing w:val="-7"/>
        </w:rPr>
        <w:t> </w:t>
      </w:r>
      <w:r>
        <w:rPr>
          <w:color w:val="231F20"/>
        </w:rPr>
        <w:t>to</w:t>
      </w:r>
      <w:r>
        <w:rPr>
          <w:color w:val="231F20"/>
          <w:spacing w:val="-7"/>
        </w:rPr>
        <w:t> </w:t>
      </w:r>
      <w:r>
        <w:rPr>
          <w:color w:val="231F20"/>
        </w:rPr>
        <w:t>expire</w:t>
      </w:r>
      <w:r>
        <w:rPr>
          <w:color w:val="231F20"/>
          <w:spacing w:val="-8"/>
        </w:rPr>
        <w:t> </w:t>
      </w:r>
      <w:r>
        <w:rPr>
          <w:color w:val="231F20"/>
        </w:rPr>
        <w:t>unused,</w:t>
      </w:r>
      <w:r>
        <w:rPr>
          <w:color w:val="231F20"/>
          <w:spacing w:val="-8"/>
        </w:rPr>
        <w:t> </w:t>
      </w:r>
      <w:r>
        <w:rPr>
          <w:color w:val="231F20"/>
        </w:rPr>
        <w:t>the</w:t>
      </w:r>
      <w:r>
        <w:rPr>
          <w:color w:val="231F20"/>
          <w:spacing w:val="-8"/>
        </w:rPr>
        <w:t> </w:t>
      </w:r>
      <w:r>
        <w:rPr>
          <w:color w:val="231F20"/>
        </w:rPr>
        <w:t>Company</w:t>
      </w:r>
      <w:r>
        <w:rPr>
          <w:color w:val="231F20"/>
          <w:spacing w:val="-8"/>
        </w:rPr>
        <w:t> </w:t>
      </w:r>
      <w:r>
        <w:rPr>
          <w:color w:val="231F20"/>
        </w:rPr>
        <w:t>recognizes</w:t>
      </w:r>
      <w:r>
        <w:rPr>
          <w:color w:val="231F20"/>
          <w:spacing w:val="-8"/>
        </w:rPr>
        <w:t> </w:t>
      </w:r>
      <w:r>
        <w:rPr>
          <w:color w:val="231F20"/>
        </w:rPr>
        <w:t>spoilage</w:t>
      </w:r>
      <w:r>
        <w:rPr>
          <w:color w:val="231F20"/>
          <w:spacing w:val="-8"/>
        </w:rPr>
        <w:t> </w:t>
      </w:r>
      <w:r>
        <w:rPr>
          <w:color w:val="231F20"/>
        </w:rPr>
        <w:t>in</w:t>
      </w:r>
      <w:r>
        <w:rPr>
          <w:color w:val="231F20"/>
          <w:spacing w:val="-8"/>
        </w:rPr>
        <w:t> </w:t>
      </w:r>
      <w:r>
        <w:rPr>
          <w:color w:val="231F20"/>
        </w:rPr>
        <w:t>accordance</w:t>
      </w:r>
      <w:r>
        <w:rPr>
          <w:color w:val="231F20"/>
          <w:spacing w:val="-8"/>
        </w:rPr>
        <w:t> </w:t>
      </w:r>
      <w:r>
        <w:rPr>
          <w:color w:val="231F20"/>
        </w:rPr>
        <w:t>with</w:t>
      </w:r>
      <w:r>
        <w:rPr>
          <w:color w:val="231F20"/>
          <w:spacing w:val="-8"/>
        </w:rPr>
        <w:t> </w:t>
      </w:r>
      <w:r>
        <w:rPr>
          <w:color w:val="231F20"/>
        </w:rPr>
        <w:t>the</w:t>
      </w:r>
      <w:r>
        <w:rPr>
          <w:color w:val="231F20"/>
          <w:spacing w:val="-8"/>
        </w:rPr>
        <w:t> </w:t>
      </w:r>
      <w:r>
        <w:rPr>
          <w:color w:val="231F20"/>
        </w:rPr>
        <w:t>redemption</w:t>
      </w:r>
      <w:r>
        <w:rPr>
          <w:color w:val="231F20"/>
          <w:spacing w:val="-8"/>
        </w:rPr>
        <w:t> </w:t>
      </w:r>
      <w:r>
        <w:rPr>
          <w:color w:val="231F20"/>
          <w:spacing w:val="-3"/>
        </w:rPr>
        <w:t>method. </w:t>
      </w:r>
      <w:r>
        <w:rPr>
          <w:color w:val="231F20"/>
        </w:rPr>
        <w:t>The Company’s consolidated liability associated with the sale of frequent flyer points and/or </w:t>
      </w:r>
      <w:r>
        <w:rPr>
          <w:color w:val="231F20"/>
          <w:spacing w:val="-2"/>
        </w:rPr>
        <w:t>flight </w:t>
      </w:r>
      <w:r>
        <w:rPr>
          <w:color w:val="231F20"/>
        </w:rPr>
        <w:t>credits,</w:t>
      </w:r>
      <w:r>
        <w:rPr>
          <w:color w:val="231F20"/>
          <w:spacing w:val="-11"/>
        </w:rPr>
        <w:t> </w:t>
      </w:r>
      <w:r>
        <w:rPr>
          <w:color w:val="231F20"/>
        </w:rPr>
        <w:t>was</w:t>
      </w:r>
      <w:r>
        <w:rPr>
          <w:color w:val="231F20"/>
          <w:spacing w:val="-11"/>
        </w:rPr>
        <w:t> </w:t>
      </w:r>
      <w:r>
        <w:rPr>
          <w:color w:val="231F20"/>
        </w:rPr>
        <w:t>approximately</w:t>
      </w:r>
      <w:r>
        <w:rPr>
          <w:color w:val="231F20"/>
          <w:spacing w:val="-11"/>
        </w:rPr>
        <w:t> </w:t>
      </w:r>
      <w:r>
        <w:rPr>
          <w:color w:val="231F20"/>
        </w:rPr>
        <w:t>$1.3</w:t>
      </w:r>
      <w:r>
        <w:rPr>
          <w:color w:val="231F20"/>
          <w:spacing w:val="-11"/>
        </w:rPr>
        <w:t> </w:t>
      </w:r>
      <w:r>
        <w:rPr>
          <w:color w:val="231F20"/>
        </w:rPr>
        <w:t>billion</w:t>
      </w:r>
      <w:r>
        <w:rPr>
          <w:color w:val="231F20"/>
          <w:spacing w:val="-11"/>
        </w:rPr>
        <w:t> </w:t>
      </w:r>
      <w:r>
        <w:rPr>
          <w:color w:val="231F20"/>
        </w:rPr>
        <w:t>and</w:t>
      </w:r>
      <w:r>
        <w:rPr>
          <w:color w:val="231F20"/>
          <w:spacing w:val="-11"/>
        </w:rPr>
        <w:t> </w:t>
      </w:r>
      <w:r>
        <w:rPr>
          <w:color w:val="231F20"/>
        </w:rPr>
        <w:t>$1.1</w:t>
      </w:r>
      <w:r>
        <w:rPr>
          <w:color w:val="231F20"/>
          <w:spacing w:val="-11"/>
        </w:rPr>
        <w:t> </w:t>
      </w:r>
      <w:r>
        <w:rPr>
          <w:color w:val="231F20"/>
        </w:rPr>
        <w:t>billion</w:t>
      </w:r>
      <w:r>
        <w:rPr>
          <w:color w:val="231F20"/>
          <w:spacing w:val="-12"/>
        </w:rPr>
        <w:t> </w:t>
      </w:r>
      <w:r>
        <w:rPr>
          <w:color w:val="231F20"/>
        </w:rPr>
        <w:t>as</w:t>
      </w:r>
      <w:r>
        <w:rPr>
          <w:color w:val="231F20"/>
          <w:spacing w:val="-12"/>
        </w:rPr>
        <w:t> </w:t>
      </w:r>
      <w:r>
        <w:rPr>
          <w:color w:val="231F20"/>
        </w:rPr>
        <w:t>of</w:t>
      </w:r>
      <w:r>
        <w:rPr>
          <w:color w:val="231F20"/>
          <w:spacing w:val="-13"/>
        </w:rPr>
        <w:t> </w:t>
      </w:r>
      <w:r>
        <w:rPr>
          <w:color w:val="231F20"/>
        </w:rPr>
        <w:t>December</w:t>
      </w:r>
      <w:r>
        <w:rPr>
          <w:color w:val="231F20"/>
          <w:spacing w:val="-13"/>
        </w:rPr>
        <w:t> </w:t>
      </w:r>
      <w:r>
        <w:rPr>
          <w:color w:val="231F20"/>
        </w:rPr>
        <w:t>31,</w:t>
      </w:r>
      <w:r>
        <w:rPr>
          <w:color w:val="231F20"/>
          <w:spacing w:val="-12"/>
        </w:rPr>
        <w:t> </w:t>
      </w:r>
      <w:r>
        <w:rPr>
          <w:color w:val="231F20"/>
        </w:rPr>
        <w:t>2014,</w:t>
      </w:r>
      <w:r>
        <w:rPr>
          <w:color w:val="231F20"/>
          <w:spacing w:val="-12"/>
        </w:rPr>
        <w:t> </w:t>
      </w:r>
      <w:r>
        <w:rPr>
          <w:color w:val="231F20"/>
        </w:rPr>
        <w:t>and</w:t>
      </w:r>
      <w:r>
        <w:rPr>
          <w:color w:val="231F20"/>
          <w:spacing w:val="-12"/>
        </w:rPr>
        <w:t> </w:t>
      </w:r>
      <w:r>
        <w:rPr>
          <w:color w:val="231F20"/>
        </w:rPr>
        <w:t>2013,</w:t>
      </w:r>
      <w:r>
        <w:rPr>
          <w:color w:val="231F20"/>
          <w:spacing w:val="-12"/>
        </w:rPr>
        <w:t> </w:t>
      </w:r>
      <w:r>
        <w:rPr>
          <w:color w:val="231F20"/>
        </w:rPr>
        <w:t>respectively. </w:t>
      </w:r>
      <w:r>
        <w:rPr>
          <w:color w:val="231F20"/>
          <w:spacing w:val="-3"/>
        </w:rPr>
        <w:t>This</w:t>
      </w:r>
      <w:r>
        <w:rPr>
          <w:color w:val="231F20"/>
          <w:spacing w:val="-5"/>
        </w:rPr>
        <w:t> </w:t>
      </w:r>
      <w:r>
        <w:rPr>
          <w:color w:val="231F20"/>
          <w:spacing w:val="-3"/>
        </w:rPr>
        <w:t>liability</w:t>
      </w:r>
      <w:r>
        <w:rPr>
          <w:color w:val="231F20"/>
          <w:spacing w:val="-5"/>
        </w:rPr>
        <w:t> </w:t>
      </w:r>
      <w:r>
        <w:rPr>
          <w:color w:val="231F20"/>
        </w:rPr>
        <w:t>is</w:t>
      </w:r>
      <w:r>
        <w:rPr>
          <w:color w:val="231F20"/>
          <w:spacing w:val="-5"/>
        </w:rPr>
        <w:t> </w:t>
      </w:r>
      <w:r>
        <w:rPr>
          <w:color w:val="231F20"/>
          <w:spacing w:val="-3"/>
        </w:rPr>
        <w:t>included</w:t>
      </w:r>
      <w:r>
        <w:rPr>
          <w:color w:val="231F20"/>
          <w:spacing w:val="-5"/>
        </w:rPr>
        <w:t> </w:t>
      </w:r>
      <w:r>
        <w:rPr>
          <w:color w:val="231F20"/>
        </w:rPr>
        <w:t>as</w:t>
      </w:r>
      <w:r>
        <w:rPr>
          <w:color w:val="231F20"/>
          <w:spacing w:val="-5"/>
        </w:rPr>
        <w:t> </w:t>
      </w:r>
      <w:r>
        <w:rPr>
          <w:color w:val="231F20"/>
        </w:rPr>
        <w:t>part</w:t>
      </w:r>
      <w:r>
        <w:rPr>
          <w:color w:val="231F20"/>
          <w:spacing w:val="-6"/>
        </w:rPr>
        <w:t> </w:t>
      </w:r>
      <w:r>
        <w:rPr>
          <w:color w:val="231F20"/>
        </w:rPr>
        <w:t>of</w:t>
      </w:r>
      <w:r>
        <w:rPr>
          <w:color w:val="231F20"/>
          <w:spacing w:val="-6"/>
        </w:rPr>
        <w:t> </w:t>
      </w:r>
      <w:r>
        <w:rPr>
          <w:color w:val="231F20"/>
        </w:rPr>
        <w:t>Air</w:t>
      </w:r>
      <w:r>
        <w:rPr>
          <w:color w:val="231F20"/>
          <w:spacing w:val="-6"/>
        </w:rPr>
        <w:t> </w:t>
      </w:r>
      <w:r>
        <w:rPr>
          <w:color w:val="231F20"/>
          <w:spacing w:val="-3"/>
        </w:rPr>
        <w:t>Traffic</w:t>
      </w:r>
      <w:r>
        <w:rPr>
          <w:color w:val="231F20"/>
          <w:spacing w:val="-5"/>
        </w:rPr>
        <w:t> </w:t>
      </w:r>
      <w:r>
        <w:rPr>
          <w:color w:val="231F20"/>
          <w:spacing w:val="-3"/>
        </w:rPr>
        <w:t>liability</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spacing w:val="-3"/>
        </w:rPr>
        <w:t>Company’s</w:t>
      </w:r>
      <w:r>
        <w:rPr>
          <w:color w:val="231F20"/>
          <w:spacing w:val="-5"/>
        </w:rPr>
        <w:t> </w:t>
      </w:r>
      <w:r>
        <w:rPr>
          <w:color w:val="231F20"/>
          <w:spacing w:val="-3"/>
        </w:rPr>
        <w:t>Consolidated</w:t>
      </w:r>
      <w:r>
        <w:rPr>
          <w:color w:val="231F20"/>
          <w:spacing w:val="-5"/>
        </w:rPr>
        <w:t> </w:t>
      </w:r>
      <w:r>
        <w:rPr>
          <w:color w:val="231F20"/>
          <w:spacing w:val="-3"/>
        </w:rPr>
        <w:t>Balance</w:t>
      </w:r>
      <w:r>
        <w:rPr>
          <w:color w:val="231F20"/>
          <w:spacing w:val="-5"/>
        </w:rPr>
        <w:t> </w:t>
      </w:r>
      <w:r>
        <w:rPr>
          <w:color w:val="231F20"/>
          <w:spacing w:val="-3"/>
        </w:rPr>
        <w:t>Sheet.</w:t>
      </w:r>
    </w:p>
    <w:p>
      <w:pPr>
        <w:pStyle w:val="BodyText"/>
        <w:spacing w:before="9"/>
        <w:rPr>
          <w:sz w:val="20"/>
        </w:rPr>
      </w:pPr>
    </w:p>
    <w:p>
      <w:pPr>
        <w:pStyle w:val="BodyText"/>
        <w:spacing w:line="247" w:lineRule="auto"/>
        <w:ind w:left="100" w:right="120" w:firstLine="720"/>
        <w:jc w:val="both"/>
      </w:pPr>
      <w:r>
        <w:rPr>
          <w:color w:val="231F20"/>
          <w:spacing w:val="-4"/>
        </w:rPr>
        <w:t>During fourth quarter 2014, </w:t>
      </w:r>
      <w:r>
        <w:rPr>
          <w:color w:val="231F20"/>
          <w:spacing w:val="-3"/>
        </w:rPr>
        <w:t>the </w:t>
      </w:r>
      <w:r>
        <w:rPr>
          <w:color w:val="231F20"/>
          <w:spacing w:val="-4"/>
        </w:rPr>
        <w:t>Company increased </w:t>
      </w:r>
      <w:r>
        <w:rPr>
          <w:color w:val="231F20"/>
          <w:spacing w:val="-3"/>
        </w:rPr>
        <w:t>the </w:t>
      </w:r>
      <w:r>
        <w:rPr>
          <w:color w:val="231F20"/>
          <w:spacing w:val="-4"/>
        </w:rPr>
        <w:t>amount </w:t>
      </w:r>
      <w:r>
        <w:rPr>
          <w:color w:val="231F20"/>
        </w:rPr>
        <w:t>of </w:t>
      </w:r>
      <w:r>
        <w:rPr>
          <w:color w:val="231F20"/>
          <w:spacing w:val="-4"/>
        </w:rPr>
        <w:t>spoilage recorded associated </w:t>
      </w:r>
      <w:r>
        <w:rPr>
          <w:color w:val="231F20"/>
          <w:spacing w:val="-3"/>
        </w:rPr>
        <w:t>with </w:t>
      </w:r>
      <w:r>
        <w:rPr>
          <w:color w:val="231F20"/>
          <w:spacing w:val="-4"/>
        </w:rPr>
        <w:t>frequent flyer points </w:t>
      </w:r>
      <w:r>
        <w:rPr>
          <w:color w:val="231F20"/>
          <w:spacing w:val="-3"/>
        </w:rPr>
        <w:t>sold to </w:t>
      </w:r>
      <w:r>
        <w:rPr>
          <w:color w:val="231F20"/>
          <w:spacing w:val="-4"/>
        </w:rPr>
        <w:t>business partners </w:t>
      </w:r>
      <w:r>
        <w:rPr>
          <w:color w:val="231F20"/>
        </w:rPr>
        <w:t>as a </w:t>
      </w:r>
      <w:r>
        <w:rPr>
          <w:color w:val="231F20"/>
          <w:spacing w:val="-4"/>
        </w:rPr>
        <w:t>result </w:t>
      </w:r>
      <w:r>
        <w:rPr>
          <w:color w:val="231F20"/>
        </w:rPr>
        <w:t>of </w:t>
      </w:r>
      <w:r>
        <w:rPr>
          <w:color w:val="231F20"/>
          <w:spacing w:val="-4"/>
        </w:rPr>
        <w:t>continued monitoring </w:t>
      </w:r>
      <w:r>
        <w:rPr>
          <w:color w:val="231F20"/>
        </w:rPr>
        <w:t>of </w:t>
      </w:r>
      <w:r>
        <w:rPr>
          <w:color w:val="231F20"/>
          <w:spacing w:val="-4"/>
        </w:rPr>
        <w:t>Member redemption activity </w:t>
      </w:r>
      <w:r>
        <w:rPr>
          <w:color w:val="231F20"/>
          <w:spacing w:val="-3"/>
        </w:rPr>
        <w:t>and </w:t>
      </w:r>
      <w:r>
        <w:rPr>
          <w:color w:val="231F20"/>
          <w:spacing w:val="-4"/>
        </w:rPr>
        <w:t>behavior under </w:t>
      </w:r>
      <w:r>
        <w:rPr>
          <w:color w:val="231F20"/>
          <w:spacing w:val="-3"/>
        </w:rPr>
        <w:t>its </w:t>
      </w:r>
      <w:r>
        <w:rPr>
          <w:color w:val="231F20"/>
          <w:spacing w:val="-4"/>
        </w:rPr>
        <w:t>Rapid Rewards program. Based </w:t>
      </w:r>
      <w:r>
        <w:rPr>
          <w:color w:val="231F20"/>
        </w:rPr>
        <w:t>on a </w:t>
      </w:r>
      <w:r>
        <w:rPr>
          <w:color w:val="231F20"/>
          <w:spacing w:val="-4"/>
        </w:rPr>
        <w:t>sufficient amount of historical </w:t>
      </w:r>
      <w:r>
        <w:rPr>
          <w:color w:val="231F20"/>
          <w:spacing w:val="-3"/>
        </w:rPr>
        <w:t>data and </w:t>
      </w:r>
      <w:r>
        <w:rPr>
          <w:color w:val="231F20"/>
          <w:spacing w:val="-4"/>
        </w:rPr>
        <w:t>Member attributes observed since </w:t>
      </w:r>
      <w:r>
        <w:rPr>
          <w:color w:val="231F20"/>
          <w:spacing w:val="-3"/>
        </w:rPr>
        <w:t>the new </w:t>
      </w:r>
      <w:r>
        <w:rPr>
          <w:color w:val="231F20"/>
          <w:spacing w:val="-4"/>
        </w:rPr>
        <w:t>program </w:t>
      </w:r>
      <w:r>
        <w:rPr>
          <w:color w:val="231F20"/>
          <w:spacing w:val="-3"/>
        </w:rPr>
        <w:t>was </w:t>
      </w:r>
      <w:r>
        <w:rPr>
          <w:color w:val="231F20"/>
          <w:spacing w:val="-4"/>
        </w:rPr>
        <w:t>launched </w:t>
      </w:r>
      <w:r>
        <w:rPr>
          <w:color w:val="231F20"/>
          <w:spacing w:val="-3"/>
        </w:rPr>
        <w:t>in </w:t>
      </w:r>
      <w:r>
        <w:rPr>
          <w:color w:val="231F20"/>
          <w:spacing w:val="-4"/>
        </w:rPr>
        <w:t>2011, </w:t>
      </w:r>
      <w:r>
        <w:rPr>
          <w:color w:val="231F20"/>
          <w:spacing w:val="-3"/>
        </w:rPr>
        <w:t>the </w:t>
      </w:r>
      <w:r>
        <w:rPr>
          <w:color w:val="231F20"/>
          <w:spacing w:val="-4"/>
        </w:rPr>
        <w:t>Company developed </w:t>
      </w:r>
      <w:r>
        <w:rPr>
          <w:color w:val="231F20"/>
        </w:rPr>
        <w:t>a </w:t>
      </w:r>
      <w:r>
        <w:rPr>
          <w:color w:val="231F20"/>
          <w:spacing w:val="-4"/>
        </w:rPr>
        <w:t>predictive statistical model </w:t>
      </w:r>
      <w:r>
        <w:rPr>
          <w:color w:val="231F20"/>
          <w:spacing w:val="-3"/>
        </w:rPr>
        <w:t>to </w:t>
      </w:r>
      <w:r>
        <w:rPr>
          <w:color w:val="231F20"/>
          <w:spacing w:val="-4"/>
        </w:rPr>
        <w:t>analyze </w:t>
      </w:r>
      <w:r>
        <w:rPr>
          <w:color w:val="231F20"/>
          <w:spacing w:val="-3"/>
        </w:rPr>
        <w:t>the </w:t>
      </w:r>
      <w:r>
        <w:rPr>
          <w:color w:val="231F20"/>
          <w:spacing w:val="-4"/>
        </w:rPr>
        <w:t>amount </w:t>
      </w:r>
      <w:r>
        <w:rPr>
          <w:color w:val="231F20"/>
        </w:rPr>
        <w:t>of </w:t>
      </w:r>
      <w:r>
        <w:rPr>
          <w:color w:val="231F20"/>
          <w:spacing w:val="-4"/>
        </w:rPr>
        <w:t>spoilage expected. </w:t>
      </w:r>
      <w:r>
        <w:rPr>
          <w:color w:val="231F20"/>
          <w:spacing w:val="-3"/>
        </w:rPr>
        <w:t>In </w:t>
      </w:r>
      <w:r>
        <w:rPr>
          <w:color w:val="231F20"/>
          <w:spacing w:val="-4"/>
        </w:rPr>
        <w:t>estimating spoilage, </w:t>
      </w:r>
      <w:r>
        <w:rPr>
          <w:color w:val="231F20"/>
          <w:spacing w:val="-3"/>
        </w:rPr>
        <w:t>the </w:t>
      </w:r>
      <w:r>
        <w:rPr>
          <w:color w:val="231F20"/>
          <w:spacing w:val="-4"/>
        </w:rPr>
        <w:t>Company takes into account </w:t>
      </w:r>
      <w:r>
        <w:rPr>
          <w:color w:val="231F20"/>
          <w:spacing w:val="-3"/>
        </w:rPr>
        <w:t>the </w:t>
      </w:r>
      <w:r>
        <w:rPr>
          <w:color w:val="231F20"/>
          <w:spacing w:val="-4"/>
        </w:rPr>
        <w:t>Member’s </w:t>
      </w:r>
      <w:r>
        <w:rPr>
          <w:color w:val="231F20"/>
          <w:spacing w:val="-3"/>
        </w:rPr>
        <w:t>past </w:t>
      </w:r>
      <w:r>
        <w:rPr>
          <w:color w:val="231F20"/>
          <w:spacing w:val="-4"/>
        </w:rPr>
        <w:t>behavior, </w:t>
      </w:r>
      <w:r>
        <w:rPr>
          <w:color w:val="231F20"/>
        </w:rPr>
        <w:t>as </w:t>
      </w:r>
      <w:r>
        <w:rPr>
          <w:color w:val="231F20"/>
          <w:spacing w:val="-3"/>
        </w:rPr>
        <w:t>well </w:t>
      </w:r>
      <w:r>
        <w:rPr>
          <w:color w:val="231F20"/>
        </w:rPr>
        <w:t>as </w:t>
      </w:r>
      <w:r>
        <w:rPr>
          <w:color w:val="231F20"/>
          <w:spacing w:val="-4"/>
        </w:rPr>
        <w:t>several factors that </w:t>
      </w:r>
      <w:r>
        <w:rPr>
          <w:color w:val="231F20"/>
          <w:spacing w:val="-3"/>
        </w:rPr>
        <w:t>are </w:t>
      </w:r>
      <w:r>
        <w:rPr>
          <w:color w:val="231F20"/>
          <w:spacing w:val="-4"/>
        </w:rPr>
        <w:t>expected to </w:t>
      </w:r>
      <w:r>
        <w:rPr>
          <w:color w:val="231F20"/>
        </w:rPr>
        <w:t>be </w:t>
      </w:r>
      <w:r>
        <w:rPr>
          <w:color w:val="231F20"/>
          <w:spacing w:val="-4"/>
        </w:rPr>
        <w:t>indicative </w:t>
      </w:r>
      <w:r>
        <w:rPr>
          <w:color w:val="231F20"/>
        </w:rPr>
        <w:t>of </w:t>
      </w:r>
      <w:r>
        <w:rPr>
          <w:color w:val="231F20"/>
          <w:spacing w:val="-3"/>
        </w:rPr>
        <w:t>the </w:t>
      </w:r>
      <w:r>
        <w:rPr>
          <w:color w:val="231F20"/>
          <w:spacing w:val="-4"/>
        </w:rPr>
        <w:t>likelihood </w:t>
      </w:r>
      <w:r>
        <w:rPr>
          <w:color w:val="231F20"/>
        </w:rPr>
        <w:t>of </w:t>
      </w:r>
      <w:r>
        <w:rPr>
          <w:color w:val="231F20"/>
          <w:spacing w:val="-4"/>
        </w:rPr>
        <w:t>future point redemption. These factors include, </w:t>
      </w:r>
      <w:r>
        <w:rPr>
          <w:color w:val="231F20"/>
          <w:spacing w:val="-3"/>
        </w:rPr>
        <w:t>but are not </w:t>
      </w:r>
      <w:r>
        <w:rPr>
          <w:color w:val="231F20"/>
          <w:spacing w:val="-4"/>
        </w:rPr>
        <w:t>limited </w:t>
      </w:r>
      <w:r>
        <w:rPr>
          <w:color w:val="231F20"/>
          <w:spacing w:val="-5"/>
        </w:rPr>
        <w:t>to, </w:t>
      </w:r>
      <w:r>
        <w:rPr>
          <w:color w:val="231F20"/>
          <w:spacing w:val="-4"/>
        </w:rPr>
        <w:t>tenure </w:t>
      </w:r>
      <w:r>
        <w:rPr>
          <w:color w:val="231F20"/>
          <w:spacing w:val="-3"/>
        </w:rPr>
        <w:t>with </w:t>
      </w:r>
      <w:r>
        <w:rPr>
          <w:color w:val="231F20"/>
          <w:spacing w:val="-4"/>
        </w:rPr>
        <w:t>program, points accrued </w:t>
      </w:r>
      <w:r>
        <w:rPr>
          <w:color w:val="231F20"/>
          <w:spacing w:val="-3"/>
        </w:rPr>
        <w:t>in the </w:t>
      </w:r>
      <w:r>
        <w:rPr>
          <w:color w:val="231F20"/>
          <w:spacing w:val="-4"/>
        </w:rPr>
        <w:t>program, </w:t>
      </w:r>
      <w:r>
        <w:rPr>
          <w:color w:val="231F20"/>
          <w:spacing w:val="-3"/>
        </w:rPr>
        <w:t>and </w:t>
      </w:r>
      <w:r>
        <w:rPr>
          <w:color w:val="231F20"/>
          <w:spacing w:val="-4"/>
        </w:rPr>
        <w:t>whether </w:t>
      </w:r>
      <w:r>
        <w:rPr>
          <w:color w:val="231F20"/>
          <w:spacing w:val="-3"/>
        </w:rPr>
        <w:t>or not the </w:t>
      </w:r>
      <w:r>
        <w:rPr>
          <w:color w:val="231F20"/>
          <w:spacing w:val="-4"/>
        </w:rPr>
        <w:t>customer </w:t>
      </w:r>
      <w:r>
        <w:rPr>
          <w:color w:val="231F20"/>
          <w:spacing w:val="-3"/>
        </w:rPr>
        <w:t>has </w:t>
      </w:r>
      <w:r>
        <w:rPr>
          <w:color w:val="231F20"/>
        </w:rPr>
        <w:t>a </w:t>
      </w:r>
      <w:r>
        <w:rPr>
          <w:color w:val="231F20"/>
          <w:spacing w:val="-4"/>
        </w:rPr>
        <w:t>co-branded credit card. </w:t>
      </w:r>
      <w:r>
        <w:rPr>
          <w:color w:val="231F20"/>
          <w:spacing w:val="-3"/>
        </w:rPr>
        <w:t>This </w:t>
      </w:r>
      <w:r>
        <w:rPr>
          <w:color w:val="231F20"/>
          <w:spacing w:val="-4"/>
        </w:rPr>
        <w:t>change </w:t>
      </w:r>
      <w:r>
        <w:rPr>
          <w:color w:val="231F20"/>
        </w:rPr>
        <w:t>in </w:t>
      </w:r>
      <w:r>
        <w:rPr>
          <w:color w:val="231F20"/>
          <w:spacing w:val="-4"/>
        </w:rPr>
        <w:t>estimate, which </w:t>
      </w:r>
      <w:r>
        <w:rPr>
          <w:color w:val="231F20"/>
          <w:spacing w:val="-3"/>
        </w:rPr>
        <w:t>was </w:t>
      </w:r>
      <w:r>
        <w:rPr>
          <w:color w:val="231F20"/>
          <w:spacing w:val="-4"/>
        </w:rPr>
        <w:t>recorded </w:t>
      </w:r>
      <w:r>
        <w:rPr>
          <w:color w:val="231F20"/>
        </w:rPr>
        <w:t>on a </w:t>
      </w:r>
      <w:r>
        <w:rPr>
          <w:color w:val="231F20"/>
          <w:spacing w:val="-4"/>
        </w:rPr>
        <w:t>prospective basis, effective October </w:t>
      </w:r>
      <w:r>
        <w:rPr>
          <w:color w:val="231F20"/>
        </w:rPr>
        <w:t>1, </w:t>
      </w:r>
      <w:r>
        <w:rPr>
          <w:color w:val="231F20"/>
          <w:spacing w:val="-4"/>
        </w:rPr>
        <w:t>2014, increased Passenger revenues </w:t>
      </w:r>
      <w:r>
        <w:rPr>
          <w:color w:val="231F20"/>
          <w:spacing w:val="-3"/>
        </w:rPr>
        <w:t>by </w:t>
      </w:r>
      <w:r>
        <w:rPr>
          <w:color w:val="231F20"/>
          <w:spacing w:val="-4"/>
        </w:rPr>
        <w:t>approximately </w:t>
      </w:r>
      <w:r>
        <w:rPr>
          <w:color w:val="231F20"/>
          <w:spacing w:val="-3"/>
        </w:rPr>
        <w:t>$55 </w:t>
      </w:r>
      <w:r>
        <w:rPr>
          <w:color w:val="231F20"/>
          <w:spacing w:val="-4"/>
        </w:rPr>
        <w:t>million </w:t>
      </w:r>
      <w:r>
        <w:rPr>
          <w:color w:val="231F20"/>
          <w:spacing w:val="-3"/>
        </w:rPr>
        <w:t>for the  </w:t>
      </w:r>
      <w:r>
        <w:rPr>
          <w:color w:val="231F20"/>
          <w:spacing w:val="-4"/>
        </w:rPr>
        <w:t>quarter  </w:t>
      </w:r>
      <w:r>
        <w:rPr>
          <w:color w:val="231F20"/>
          <w:spacing w:val="-3"/>
        </w:rPr>
        <w:t>and  the  year  </w:t>
      </w:r>
      <w:r>
        <w:rPr>
          <w:color w:val="231F20"/>
          <w:spacing w:val="-4"/>
        </w:rPr>
        <w:t>ended  December </w:t>
      </w:r>
      <w:r>
        <w:rPr>
          <w:color w:val="231F20"/>
          <w:spacing w:val="-3"/>
        </w:rPr>
        <w:t>31, </w:t>
      </w:r>
      <w:r>
        <w:rPr>
          <w:color w:val="231F20"/>
          <w:spacing w:val="-4"/>
        </w:rPr>
        <w:t>2014. After consideration </w:t>
      </w:r>
      <w:r>
        <w:rPr>
          <w:color w:val="231F20"/>
        </w:rPr>
        <w:t>of </w:t>
      </w:r>
      <w:r>
        <w:rPr>
          <w:color w:val="231F20"/>
          <w:spacing w:val="-4"/>
        </w:rPr>
        <w:t>profitsharing </w:t>
      </w:r>
      <w:r>
        <w:rPr>
          <w:color w:val="231F20"/>
          <w:spacing w:val="-3"/>
        </w:rPr>
        <w:t>and </w:t>
      </w:r>
      <w:r>
        <w:rPr>
          <w:color w:val="231F20"/>
          <w:spacing w:val="-4"/>
        </w:rPr>
        <w:t>taxes, </w:t>
      </w:r>
      <w:r>
        <w:rPr>
          <w:color w:val="231F20"/>
          <w:spacing w:val="-3"/>
        </w:rPr>
        <w:t>the </w:t>
      </w:r>
      <w:r>
        <w:rPr>
          <w:color w:val="231F20"/>
          <w:spacing w:val="-4"/>
        </w:rPr>
        <w:t>impact </w:t>
      </w:r>
      <w:r>
        <w:rPr>
          <w:color w:val="231F20"/>
        </w:rPr>
        <w:t>of </w:t>
      </w:r>
      <w:r>
        <w:rPr>
          <w:color w:val="231F20"/>
          <w:spacing w:val="-3"/>
        </w:rPr>
        <w:t>this </w:t>
      </w:r>
      <w:r>
        <w:rPr>
          <w:color w:val="231F20"/>
          <w:spacing w:val="-4"/>
        </w:rPr>
        <w:t>change </w:t>
      </w:r>
      <w:r>
        <w:rPr>
          <w:color w:val="231F20"/>
        </w:rPr>
        <w:t>to </w:t>
      </w:r>
      <w:r>
        <w:rPr>
          <w:color w:val="231F20"/>
          <w:spacing w:val="-3"/>
        </w:rPr>
        <w:t>net </w:t>
      </w:r>
      <w:r>
        <w:rPr>
          <w:color w:val="231F20"/>
          <w:spacing w:val="-5"/>
        </w:rPr>
        <w:t>income </w:t>
      </w:r>
      <w:r>
        <w:rPr>
          <w:color w:val="231F20"/>
          <w:spacing w:val="-3"/>
        </w:rPr>
        <w:t>was </w:t>
      </w:r>
      <w:r>
        <w:rPr>
          <w:color w:val="231F20"/>
        </w:rPr>
        <w:t>an </w:t>
      </w:r>
      <w:r>
        <w:rPr>
          <w:color w:val="231F20"/>
          <w:spacing w:val="-4"/>
        </w:rPr>
        <w:t>increase </w:t>
      </w:r>
      <w:r>
        <w:rPr>
          <w:color w:val="231F20"/>
        </w:rPr>
        <w:t>of </w:t>
      </w:r>
      <w:r>
        <w:rPr>
          <w:color w:val="231F20"/>
          <w:spacing w:val="-3"/>
        </w:rPr>
        <w:t>$29 </w:t>
      </w:r>
      <w:r>
        <w:rPr>
          <w:color w:val="231F20"/>
          <w:spacing w:val="-4"/>
        </w:rPr>
        <w:t>million, </w:t>
      </w:r>
      <w:r>
        <w:rPr>
          <w:color w:val="231F20"/>
        </w:rPr>
        <w:t>or </w:t>
      </w:r>
      <w:r>
        <w:rPr>
          <w:color w:val="231F20"/>
          <w:spacing w:val="-3"/>
        </w:rPr>
        <w:t>$.04 per </w:t>
      </w:r>
      <w:r>
        <w:rPr>
          <w:color w:val="231F20"/>
          <w:spacing w:val="-4"/>
        </w:rPr>
        <w:t>Basic </w:t>
      </w:r>
      <w:r>
        <w:rPr>
          <w:color w:val="231F20"/>
          <w:spacing w:val="-3"/>
        </w:rPr>
        <w:t>and </w:t>
      </w:r>
      <w:r>
        <w:rPr>
          <w:color w:val="231F20"/>
          <w:spacing w:val="-4"/>
        </w:rPr>
        <w:t>Diluted share, </w:t>
      </w:r>
      <w:r>
        <w:rPr>
          <w:color w:val="231F20"/>
          <w:spacing w:val="-3"/>
        </w:rPr>
        <w:t>for the year </w:t>
      </w:r>
      <w:r>
        <w:rPr>
          <w:color w:val="231F20"/>
          <w:spacing w:val="-4"/>
        </w:rPr>
        <w:t>ended December </w:t>
      </w:r>
      <w:r>
        <w:rPr>
          <w:color w:val="231F20"/>
          <w:spacing w:val="-3"/>
        </w:rPr>
        <w:t>31, </w:t>
      </w:r>
      <w:r>
        <w:rPr>
          <w:color w:val="231F20"/>
          <w:spacing w:val="-4"/>
        </w:rPr>
        <w:t>2014. </w:t>
      </w:r>
      <w:r>
        <w:rPr>
          <w:color w:val="231F20"/>
          <w:spacing w:val="-3"/>
        </w:rPr>
        <w:t>The </w:t>
      </w:r>
      <w:r>
        <w:rPr>
          <w:color w:val="231F20"/>
          <w:spacing w:val="-4"/>
        </w:rPr>
        <w:t>higher spoilage </w:t>
      </w:r>
      <w:r>
        <w:rPr>
          <w:color w:val="231F20"/>
          <w:spacing w:val="-3"/>
        </w:rPr>
        <w:t>rate </w:t>
      </w:r>
      <w:r>
        <w:rPr>
          <w:color w:val="231F20"/>
        </w:rPr>
        <w:t>is </w:t>
      </w:r>
      <w:r>
        <w:rPr>
          <w:color w:val="231F20"/>
          <w:spacing w:val="-4"/>
        </w:rPr>
        <w:t>expected </w:t>
      </w:r>
      <w:r>
        <w:rPr>
          <w:color w:val="231F20"/>
        </w:rPr>
        <w:t>to </w:t>
      </w:r>
      <w:r>
        <w:rPr>
          <w:color w:val="231F20"/>
          <w:spacing w:val="-4"/>
        </w:rPr>
        <w:t>continue </w:t>
      </w:r>
      <w:r>
        <w:rPr>
          <w:color w:val="231F20"/>
        </w:rPr>
        <w:t>in </w:t>
      </w:r>
      <w:r>
        <w:rPr>
          <w:color w:val="231F20"/>
          <w:spacing w:val="-4"/>
        </w:rPr>
        <w:t>2015; however, </w:t>
      </w:r>
      <w:r>
        <w:rPr>
          <w:color w:val="231F20"/>
          <w:spacing w:val="-3"/>
        </w:rPr>
        <w:t>the </w:t>
      </w:r>
      <w:r>
        <w:rPr>
          <w:color w:val="231F20"/>
          <w:spacing w:val="-4"/>
        </w:rPr>
        <w:t>precise revenue impact </w:t>
      </w:r>
      <w:r>
        <w:rPr>
          <w:color w:val="231F20"/>
          <w:spacing w:val="-3"/>
        </w:rPr>
        <w:t>will not </w:t>
      </w:r>
      <w:r>
        <w:rPr>
          <w:color w:val="231F20"/>
          <w:spacing w:val="-4"/>
        </w:rPr>
        <w:t>be determinable</w:t>
      </w:r>
      <w:r>
        <w:rPr>
          <w:color w:val="231F20"/>
          <w:spacing w:val="-6"/>
        </w:rPr>
        <w:t> </w:t>
      </w:r>
      <w:r>
        <w:rPr>
          <w:color w:val="231F20"/>
          <w:spacing w:val="-4"/>
        </w:rPr>
        <w:t>until</w:t>
      </w:r>
      <w:r>
        <w:rPr>
          <w:color w:val="231F20"/>
          <w:spacing w:val="-7"/>
        </w:rPr>
        <w:t> </w:t>
      </w:r>
      <w:r>
        <w:rPr>
          <w:color w:val="231F20"/>
          <w:spacing w:val="-3"/>
        </w:rPr>
        <w:t>the</w:t>
      </w:r>
      <w:r>
        <w:rPr>
          <w:color w:val="231F20"/>
          <w:spacing w:val="-6"/>
        </w:rPr>
        <w:t> </w:t>
      </w:r>
      <w:r>
        <w:rPr>
          <w:color w:val="231F20"/>
          <w:spacing w:val="-4"/>
        </w:rPr>
        <w:t>actual</w:t>
      </w:r>
      <w:r>
        <w:rPr>
          <w:color w:val="231F20"/>
          <w:spacing w:val="-7"/>
        </w:rPr>
        <w:t> </w:t>
      </w:r>
      <w:r>
        <w:rPr>
          <w:color w:val="231F20"/>
          <w:spacing w:val="-4"/>
        </w:rPr>
        <w:t>number</w:t>
      </w:r>
      <w:r>
        <w:rPr>
          <w:color w:val="231F20"/>
          <w:spacing w:val="-7"/>
        </w:rPr>
        <w:t> </w:t>
      </w:r>
      <w:r>
        <w:rPr>
          <w:color w:val="231F20"/>
        </w:rPr>
        <w:t>of</w:t>
      </w:r>
      <w:r>
        <w:rPr>
          <w:color w:val="231F20"/>
          <w:spacing w:val="-8"/>
        </w:rPr>
        <w:t> </w:t>
      </w:r>
      <w:r>
        <w:rPr>
          <w:color w:val="231F20"/>
          <w:spacing w:val="-4"/>
        </w:rPr>
        <w:t>point</w:t>
      </w:r>
      <w:r>
        <w:rPr>
          <w:color w:val="231F20"/>
          <w:spacing w:val="-7"/>
        </w:rPr>
        <w:t> </w:t>
      </w:r>
      <w:r>
        <w:rPr>
          <w:color w:val="231F20"/>
          <w:spacing w:val="-4"/>
        </w:rPr>
        <w:t>redemptions</w:t>
      </w:r>
      <w:r>
        <w:rPr>
          <w:color w:val="231F20"/>
          <w:spacing w:val="-6"/>
        </w:rPr>
        <w:t> </w:t>
      </w:r>
      <w:r>
        <w:rPr>
          <w:color w:val="231F20"/>
          <w:spacing w:val="-3"/>
        </w:rPr>
        <w:t>for</w:t>
      </w:r>
      <w:r>
        <w:rPr>
          <w:color w:val="231F20"/>
          <w:spacing w:val="-7"/>
        </w:rPr>
        <w:t> </w:t>
      </w:r>
      <w:r>
        <w:rPr>
          <w:color w:val="231F20"/>
          <w:spacing w:val="-3"/>
        </w:rPr>
        <w:t>the</w:t>
      </w:r>
      <w:r>
        <w:rPr>
          <w:color w:val="231F20"/>
          <w:spacing w:val="-6"/>
        </w:rPr>
        <w:t> </w:t>
      </w:r>
      <w:r>
        <w:rPr>
          <w:color w:val="231F20"/>
          <w:spacing w:val="-4"/>
        </w:rPr>
        <w:t>period</w:t>
      </w:r>
      <w:r>
        <w:rPr>
          <w:color w:val="231F20"/>
          <w:spacing w:val="-6"/>
        </w:rPr>
        <w:t> </w:t>
      </w:r>
      <w:r>
        <w:rPr>
          <w:color w:val="231F20"/>
        </w:rPr>
        <w:t>is</w:t>
      </w:r>
      <w:r>
        <w:rPr>
          <w:color w:val="231F20"/>
          <w:spacing w:val="-6"/>
        </w:rPr>
        <w:t> </w:t>
      </w:r>
      <w:r>
        <w:rPr>
          <w:color w:val="231F20"/>
          <w:spacing w:val="-4"/>
        </w:rPr>
        <w:t>known.</w:t>
      </w:r>
    </w:p>
    <w:p>
      <w:pPr>
        <w:pStyle w:val="BodyText"/>
        <w:spacing w:before="9"/>
        <w:rPr>
          <w:sz w:val="20"/>
        </w:rPr>
      </w:pPr>
    </w:p>
    <w:p>
      <w:pPr>
        <w:pStyle w:val="Heading2"/>
        <w:ind w:left="320"/>
        <w:rPr>
          <w:i/>
        </w:rPr>
      </w:pPr>
      <w:r>
        <w:rPr>
          <w:i/>
          <w:color w:val="231F20"/>
        </w:rPr>
        <w:t>Advertising</w:t>
      </w:r>
    </w:p>
    <w:p>
      <w:pPr>
        <w:pStyle w:val="BodyText"/>
        <w:spacing w:before="5"/>
        <w:rPr>
          <w:b/>
          <w:i/>
          <w:sz w:val="21"/>
        </w:rPr>
      </w:pPr>
    </w:p>
    <w:p>
      <w:pPr>
        <w:pStyle w:val="BodyText"/>
        <w:spacing w:line="247" w:lineRule="auto"/>
        <w:ind w:left="100" w:right="117" w:firstLine="720"/>
        <w:jc w:val="both"/>
      </w:pPr>
      <w:r>
        <w:rPr>
          <w:color w:val="231F20"/>
        </w:rPr>
        <w:t>Advertising costs are charged to expense as incurred. Advertising and promotions expense for the years ended December 31, 2014, 2013, and 2012 was $207 million, $208 million, and $223 million, respectively, and is included as a component of Other operating expense in the accompanying Consolidated Statement of Income.</w:t>
      </w:r>
    </w:p>
    <w:p>
      <w:pPr>
        <w:pStyle w:val="BodyText"/>
        <w:spacing w:before="9"/>
        <w:rPr>
          <w:sz w:val="20"/>
        </w:rPr>
      </w:pPr>
    </w:p>
    <w:p>
      <w:pPr>
        <w:pStyle w:val="Heading2"/>
        <w:ind w:left="320"/>
        <w:rPr>
          <w:i/>
        </w:rPr>
      </w:pPr>
      <w:r>
        <w:rPr>
          <w:i/>
          <w:color w:val="231F20"/>
        </w:rPr>
        <w:t>Share-based Employee compensation</w:t>
      </w:r>
    </w:p>
    <w:p>
      <w:pPr>
        <w:pStyle w:val="BodyText"/>
        <w:spacing w:before="5"/>
        <w:rPr>
          <w:b/>
          <w:i/>
          <w:sz w:val="21"/>
        </w:rPr>
      </w:pPr>
    </w:p>
    <w:p>
      <w:pPr>
        <w:pStyle w:val="BodyText"/>
        <w:spacing w:line="247" w:lineRule="auto"/>
        <w:ind w:left="100" w:right="117" w:firstLine="720"/>
        <w:jc w:val="both"/>
      </w:pPr>
      <w:r>
        <w:rPr>
          <w:color w:val="231F20"/>
        </w:rPr>
        <w:t>The Company has share-based compensation plans covering certain Employees, including plans covering the Company’s Board of Directors. The Company accounts for share-based compensation based on its grant date fair value. See Note 9 for further information.</w:t>
      </w:r>
    </w:p>
    <w:p>
      <w:pPr>
        <w:spacing w:after="0" w:line="247" w:lineRule="auto"/>
        <w:jc w:val="both"/>
        <w:sectPr>
          <w:pgSz w:w="11880" w:h="15480"/>
          <w:pgMar w:header="0" w:footer="1240" w:top="1240" w:bottom="1420" w:left="1280" w:right="1260"/>
        </w:sectPr>
      </w:pPr>
    </w:p>
    <w:p>
      <w:pPr>
        <w:pStyle w:val="Heading2"/>
        <w:spacing w:before="74"/>
        <w:ind w:left="320"/>
        <w:rPr>
          <w:i/>
        </w:rPr>
      </w:pPr>
      <w:r>
        <w:rPr>
          <w:i/>
          <w:color w:val="231F20"/>
        </w:rPr>
        <w:t>Financial derivative instruments</w:t>
      </w:r>
    </w:p>
    <w:p>
      <w:pPr>
        <w:pStyle w:val="BodyText"/>
        <w:spacing w:before="4"/>
        <w:rPr>
          <w:b/>
          <w:i/>
          <w:sz w:val="21"/>
        </w:rPr>
      </w:pPr>
    </w:p>
    <w:p>
      <w:pPr>
        <w:pStyle w:val="BodyText"/>
        <w:spacing w:line="247" w:lineRule="auto" w:before="1"/>
        <w:ind w:left="100" w:right="117" w:firstLine="720"/>
        <w:jc w:val="both"/>
      </w:pPr>
      <w:r>
        <w:rPr>
          <w:color w:val="231F20"/>
        </w:rPr>
        <w:t>The Company accounts for financial derivative instruments at fair value and applies hedge accounting rules where appropriate. The Company utilizes various derivative instruments, including jet fuel, crude oil, unleaded gasoline, and heating oil-based derivatives, to attempt to reduce the risk of its exposure to jet fuel price increases. These instruments consist primarily of purchased call options,  collar structures, call spreads, put spreads, and fixed price swap agreements, and upon proper qualification are accounted for as cash-flow hedges. The Company also has interest rate swap agreements to convert a portion of its fixed-rate debt to floating rates and has swap agreements that convert certain floating-rate debt to a fixed-rate. These interest rate hedges are appropriately designated as either fair value hedges or as cash flow</w:t>
      </w:r>
      <w:r>
        <w:rPr>
          <w:color w:val="231F20"/>
          <w:spacing w:val="-1"/>
        </w:rPr>
        <w:t> </w:t>
      </w:r>
      <w:r>
        <w:rPr>
          <w:color w:val="231F20"/>
        </w:rPr>
        <w:t>hedges.</w:t>
      </w:r>
    </w:p>
    <w:p>
      <w:pPr>
        <w:pStyle w:val="BodyText"/>
        <w:spacing w:before="9"/>
        <w:rPr>
          <w:sz w:val="20"/>
        </w:rPr>
      </w:pPr>
    </w:p>
    <w:p>
      <w:pPr>
        <w:pStyle w:val="BodyText"/>
        <w:spacing w:line="247" w:lineRule="auto"/>
        <w:ind w:left="100" w:right="117" w:firstLine="720"/>
        <w:jc w:val="both"/>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w:t>
      </w:r>
      <w:r>
        <w:rPr>
          <w:color w:val="231F20"/>
          <w:spacing w:val="-3"/>
        </w:rPr>
        <w:t> </w:t>
      </w:r>
      <w:r>
        <w:rPr>
          <w:color w:val="231F20"/>
        </w:rPr>
        <w:t>vendors.</w:t>
      </w:r>
    </w:p>
    <w:p>
      <w:pPr>
        <w:pStyle w:val="BodyText"/>
        <w:spacing w:before="8"/>
        <w:rPr>
          <w:sz w:val="20"/>
        </w:rPr>
      </w:pPr>
    </w:p>
    <w:p>
      <w:pPr>
        <w:pStyle w:val="BodyText"/>
        <w:spacing w:line="247" w:lineRule="auto" w:before="1"/>
        <w:ind w:left="100" w:right="117" w:firstLine="720"/>
        <w:jc w:val="both"/>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9"/>
        <w:rPr>
          <w:sz w:val="20"/>
        </w:rPr>
      </w:pPr>
    </w:p>
    <w:p>
      <w:pPr>
        <w:pStyle w:val="BodyText"/>
        <w:spacing w:line="247" w:lineRule="auto"/>
        <w:ind w:left="100" w:right="117" w:firstLine="720"/>
        <w:jc w:val="both"/>
      </w:pPr>
      <w:r>
        <w:rPr>
          <w:color w:val="231F20"/>
        </w:rPr>
        <w:t>The Company classifies its cash collateral provided to or held from counterparties in a “net” presentation on the Consolidated Balance Sheet against the fair value of the derivative positions with those counterparties. See Note 10 for further information.</w:t>
      </w:r>
    </w:p>
    <w:p>
      <w:pPr>
        <w:pStyle w:val="BodyText"/>
        <w:spacing w:before="8"/>
        <w:rPr>
          <w:sz w:val="20"/>
        </w:rPr>
      </w:pPr>
    </w:p>
    <w:p>
      <w:pPr>
        <w:pStyle w:val="Heading2"/>
        <w:spacing w:before="1"/>
        <w:ind w:left="320"/>
        <w:rPr>
          <w:i/>
        </w:rPr>
      </w:pPr>
      <w:r>
        <w:rPr>
          <w:i/>
          <w:color w:val="231F20"/>
        </w:rPr>
        <w:t>Software capitalization</w:t>
      </w:r>
    </w:p>
    <w:p>
      <w:pPr>
        <w:pStyle w:val="BodyText"/>
        <w:spacing w:before="5"/>
        <w:rPr>
          <w:b/>
          <w:i/>
          <w:sz w:val="21"/>
        </w:rPr>
      </w:pPr>
    </w:p>
    <w:p>
      <w:pPr>
        <w:pStyle w:val="BodyText"/>
        <w:spacing w:line="247" w:lineRule="auto"/>
        <w:ind w:left="100" w:right="118" w:firstLine="720"/>
        <w:jc w:val="both"/>
      </w:pPr>
      <w:r>
        <w:rPr>
          <w:color w:val="231F20"/>
        </w:rPr>
        <w:t>The Company capitalizes certain internal and external costs related to the acquisition </w:t>
      </w:r>
      <w:r>
        <w:rPr>
          <w:color w:val="231F20"/>
          <w:spacing w:val="-2"/>
        </w:rPr>
        <w:t>and </w:t>
      </w:r>
      <w:r>
        <w:rPr>
          <w:color w:val="231F20"/>
        </w:rPr>
        <w:t>development of internal use software during the application development stages of projects. </w:t>
      </w:r>
      <w:r>
        <w:rPr>
          <w:color w:val="231F20"/>
          <w:spacing w:val="-2"/>
        </w:rPr>
        <w:t>The  </w:t>
      </w:r>
      <w:r>
        <w:rPr>
          <w:color w:val="231F20"/>
        </w:rPr>
        <w:t>Company amortizes these costs using the straight-line method over the estimated useful life of </w:t>
      </w:r>
      <w:r>
        <w:rPr>
          <w:color w:val="231F20"/>
          <w:spacing w:val="-3"/>
        </w:rPr>
        <w:t>the </w:t>
      </w:r>
      <w:r>
        <w:rPr>
          <w:color w:val="231F20"/>
        </w:rPr>
        <w:t>software,</w:t>
      </w:r>
      <w:r>
        <w:rPr>
          <w:color w:val="231F20"/>
          <w:spacing w:val="-6"/>
        </w:rPr>
        <w:t> </w:t>
      </w:r>
      <w:r>
        <w:rPr>
          <w:color w:val="231F20"/>
        </w:rPr>
        <w:t>which</w:t>
      </w:r>
      <w:r>
        <w:rPr>
          <w:color w:val="231F20"/>
          <w:spacing w:val="-7"/>
        </w:rPr>
        <w:t> </w:t>
      </w:r>
      <w:r>
        <w:rPr>
          <w:color w:val="231F20"/>
        </w:rPr>
        <w:t>typically</w:t>
      </w:r>
      <w:r>
        <w:rPr>
          <w:color w:val="231F20"/>
          <w:spacing w:val="-7"/>
        </w:rPr>
        <w:t> </w:t>
      </w:r>
      <w:r>
        <w:rPr>
          <w:color w:val="231F20"/>
        </w:rPr>
        <w:t>ranges</w:t>
      </w:r>
      <w:r>
        <w:rPr>
          <w:color w:val="231F20"/>
          <w:spacing w:val="-7"/>
        </w:rPr>
        <w:t> </w:t>
      </w:r>
      <w:r>
        <w:rPr>
          <w:color w:val="231F20"/>
        </w:rPr>
        <w:t>from</w:t>
      </w:r>
      <w:r>
        <w:rPr>
          <w:color w:val="231F20"/>
          <w:spacing w:val="-8"/>
        </w:rPr>
        <w:t> </w:t>
      </w:r>
      <w:r>
        <w:rPr>
          <w:color w:val="231F20"/>
        </w:rPr>
        <w:t>five</w:t>
      </w:r>
      <w:r>
        <w:rPr>
          <w:color w:val="231F20"/>
          <w:spacing w:val="-7"/>
        </w:rPr>
        <w:t> </w:t>
      </w:r>
      <w:r>
        <w:rPr>
          <w:color w:val="231F20"/>
        </w:rPr>
        <w:t>to</w:t>
      </w:r>
      <w:r>
        <w:rPr>
          <w:color w:val="231F20"/>
          <w:spacing w:val="-7"/>
        </w:rPr>
        <w:t> </w:t>
      </w:r>
      <w:r>
        <w:rPr>
          <w:color w:val="231F20"/>
        </w:rPr>
        <w:t>fifteen</w:t>
      </w:r>
      <w:r>
        <w:rPr>
          <w:color w:val="231F20"/>
          <w:spacing w:val="-7"/>
        </w:rPr>
        <w:t> </w:t>
      </w:r>
      <w:r>
        <w:rPr>
          <w:color w:val="231F20"/>
        </w:rPr>
        <w:t>years.</w:t>
      </w:r>
      <w:r>
        <w:rPr>
          <w:color w:val="231F20"/>
          <w:spacing w:val="-7"/>
        </w:rPr>
        <w:t> </w:t>
      </w:r>
      <w:r>
        <w:rPr>
          <w:color w:val="231F20"/>
        </w:rPr>
        <w:t>Costs</w:t>
      </w:r>
      <w:r>
        <w:rPr>
          <w:color w:val="231F20"/>
          <w:spacing w:val="-7"/>
        </w:rPr>
        <w:t> </w:t>
      </w:r>
      <w:r>
        <w:rPr>
          <w:color w:val="231F20"/>
        </w:rPr>
        <w:t>incurred</w:t>
      </w:r>
      <w:r>
        <w:rPr>
          <w:color w:val="231F20"/>
          <w:spacing w:val="-7"/>
        </w:rPr>
        <w:t> </w:t>
      </w:r>
      <w:r>
        <w:rPr>
          <w:color w:val="231F20"/>
        </w:rPr>
        <w:t>during</w:t>
      </w:r>
      <w:r>
        <w:rPr>
          <w:color w:val="231F20"/>
          <w:spacing w:val="-7"/>
        </w:rPr>
        <w:t> </w:t>
      </w:r>
      <w:r>
        <w:rPr>
          <w:color w:val="231F20"/>
        </w:rPr>
        <w:t>the</w:t>
      </w:r>
      <w:r>
        <w:rPr>
          <w:color w:val="231F20"/>
          <w:spacing w:val="-7"/>
        </w:rPr>
        <w:t> </w:t>
      </w:r>
      <w:r>
        <w:rPr>
          <w:color w:val="231F20"/>
        </w:rPr>
        <w:t>preliminary</w:t>
      </w:r>
      <w:r>
        <w:rPr>
          <w:color w:val="231F20"/>
          <w:spacing w:val="-7"/>
        </w:rPr>
        <w:t> </w:t>
      </w:r>
      <w:r>
        <w:rPr>
          <w:color w:val="231F20"/>
        </w:rPr>
        <w:t>project or</w:t>
      </w:r>
      <w:r>
        <w:rPr>
          <w:color w:val="231F20"/>
          <w:spacing w:val="-18"/>
        </w:rPr>
        <w:t> </w:t>
      </w:r>
      <w:r>
        <w:rPr>
          <w:color w:val="231F20"/>
        </w:rPr>
        <w:t>the</w:t>
      </w:r>
      <w:r>
        <w:rPr>
          <w:color w:val="231F20"/>
          <w:spacing w:val="-17"/>
        </w:rPr>
        <w:t> </w:t>
      </w:r>
      <w:r>
        <w:rPr>
          <w:color w:val="231F20"/>
        </w:rPr>
        <w:t>post-implementation/operation</w:t>
      </w:r>
      <w:r>
        <w:rPr>
          <w:color w:val="231F20"/>
          <w:spacing w:val="-17"/>
        </w:rPr>
        <w:t> </w:t>
      </w:r>
      <w:r>
        <w:rPr>
          <w:color w:val="231F20"/>
        </w:rPr>
        <w:t>stages</w:t>
      </w:r>
      <w:r>
        <w:rPr>
          <w:color w:val="231F20"/>
          <w:spacing w:val="-17"/>
        </w:rPr>
        <w:t> </w:t>
      </w:r>
      <w:r>
        <w:rPr>
          <w:color w:val="231F20"/>
        </w:rPr>
        <w:t>of</w:t>
      </w:r>
      <w:r>
        <w:rPr>
          <w:color w:val="231F20"/>
          <w:spacing w:val="-18"/>
        </w:rPr>
        <w:t> </w:t>
      </w:r>
      <w:r>
        <w:rPr>
          <w:color w:val="231F20"/>
        </w:rPr>
        <w:t>the</w:t>
      </w:r>
      <w:r>
        <w:rPr>
          <w:color w:val="231F20"/>
          <w:spacing w:val="-17"/>
        </w:rPr>
        <w:t> </w:t>
      </w:r>
      <w:r>
        <w:rPr>
          <w:color w:val="231F20"/>
        </w:rPr>
        <w:t>project</w:t>
      </w:r>
      <w:r>
        <w:rPr>
          <w:color w:val="231F20"/>
          <w:spacing w:val="-18"/>
        </w:rPr>
        <w:t> </w:t>
      </w:r>
      <w:r>
        <w:rPr>
          <w:color w:val="231F20"/>
        </w:rPr>
        <w:t>are</w:t>
      </w:r>
      <w:r>
        <w:rPr>
          <w:color w:val="231F20"/>
          <w:spacing w:val="-18"/>
        </w:rPr>
        <w:t> </w:t>
      </w:r>
      <w:r>
        <w:rPr>
          <w:color w:val="231F20"/>
        </w:rPr>
        <w:t>expensed</w:t>
      </w:r>
      <w:r>
        <w:rPr>
          <w:color w:val="231F20"/>
          <w:spacing w:val="-18"/>
        </w:rPr>
        <w:t> </w:t>
      </w:r>
      <w:r>
        <w:rPr>
          <w:color w:val="231F20"/>
        </w:rPr>
        <w:t>as</w:t>
      </w:r>
      <w:r>
        <w:rPr>
          <w:color w:val="231F20"/>
          <w:spacing w:val="-18"/>
        </w:rPr>
        <w:t> </w:t>
      </w:r>
      <w:r>
        <w:rPr>
          <w:color w:val="231F20"/>
        </w:rPr>
        <w:t>incurred.</w:t>
      </w:r>
      <w:r>
        <w:rPr>
          <w:color w:val="231F20"/>
          <w:spacing w:val="-18"/>
        </w:rPr>
        <w:t> </w:t>
      </w:r>
      <w:r>
        <w:rPr>
          <w:color w:val="231F20"/>
        </w:rPr>
        <w:t>Capitalized</w:t>
      </w:r>
      <w:r>
        <w:rPr>
          <w:color w:val="231F20"/>
          <w:spacing w:val="-18"/>
        </w:rPr>
        <w:t> </w:t>
      </w:r>
      <w:r>
        <w:rPr>
          <w:color w:val="231F20"/>
        </w:rPr>
        <w:t>computer software,</w:t>
      </w:r>
      <w:r>
        <w:rPr>
          <w:color w:val="231F20"/>
          <w:spacing w:val="-11"/>
        </w:rPr>
        <w:t> </w:t>
      </w:r>
      <w:r>
        <w:rPr>
          <w:color w:val="231F20"/>
        </w:rPr>
        <w:t>included</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component</w:t>
      </w:r>
      <w:r>
        <w:rPr>
          <w:color w:val="231F20"/>
          <w:spacing w:val="-12"/>
        </w:rPr>
        <w:t> </w:t>
      </w:r>
      <w:r>
        <w:rPr>
          <w:color w:val="231F20"/>
        </w:rPr>
        <w:t>of</w:t>
      </w:r>
      <w:r>
        <w:rPr>
          <w:color w:val="231F20"/>
          <w:spacing w:val="-12"/>
        </w:rPr>
        <w:t> </w:t>
      </w:r>
      <w:r>
        <w:rPr>
          <w:color w:val="231F20"/>
        </w:rPr>
        <w:t>Ground</w:t>
      </w:r>
      <w:r>
        <w:rPr>
          <w:color w:val="231F20"/>
          <w:spacing w:val="-11"/>
        </w:rPr>
        <w:t> </w:t>
      </w:r>
      <w:r>
        <w:rPr>
          <w:color w:val="231F20"/>
        </w:rPr>
        <w:t>property</w:t>
      </w:r>
      <w:r>
        <w:rPr>
          <w:color w:val="231F20"/>
          <w:spacing w:val="-11"/>
        </w:rPr>
        <w:t> </w:t>
      </w:r>
      <w:r>
        <w:rPr>
          <w:color w:val="231F20"/>
        </w:rPr>
        <w:t>and</w:t>
      </w:r>
      <w:r>
        <w:rPr>
          <w:color w:val="231F20"/>
          <w:spacing w:val="-11"/>
        </w:rPr>
        <w:t> </w:t>
      </w:r>
      <w:r>
        <w:rPr>
          <w:color w:val="231F20"/>
        </w:rPr>
        <w:t>equipment</w:t>
      </w:r>
      <w:r>
        <w:rPr>
          <w:color w:val="231F20"/>
          <w:spacing w:val="-12"/>
        </w:rPr>
        <w:t> </w:t>
      </w:r>
      <w:r>
        <w:rPr>
          <w:color w:val="231F20"/>
        </w:rPr>
        <w:t>in</w:t>
      </w:r>
      <w:r>
        <w:rPr>
          <w:color w:val="231F20"/>
          <w:spacing w:val="-11"/>
        </w:rPr>
        <w:t> </w:t>
      </w:r>
      <w:r>
        <w:rPr>
          <w:color w:val="231F20"/>
        </w:rPr>
        <w:t>the</w:t>
      </w:r>
      <w:r>
        <w:rPr>
          <w:color w:val="231F20"/>
          <w:spacing w:val="-12"/>
        </w:rPr>
        <w:t> </w:t>
      </w:r>
      <w:r>
        <w:rPr>
          <w:color w:val="231F20"/>
        </w:rPr>
        <w:t>accompanying</w:t>
      </w:r>
      <w:r>
        <w:rPr>
          <w:color w:val="231F20"/>
          <w:spacing w:val="-12"/>
        </w:rPr>
        <w:t> </w:t>
      </w:r>
      <w:r>
        <w:rPr>
          <w:color w:val="231F20"/>
          <w:spacing w:val="-2"/>
        </w:rPr>
        <w:t>Consolidated </w:t>
      </w:r>
      <w:r>
        <w:rPr>
          <w:color w:val="231F20"/>
        </w:rPr>
        <w:t>Balance Sheet, net of accumulated depreciation, was $403 million and $357 million at December </w:t>
      </w:r>
      <w:r>
        <w:rPr>
          <w:color w:val="231F20"/>
          <w:spacing w:val="-2"/>
        </w:rPr>
        <w:t>31, </w:t>
      </w:r>
      <w:r>
        <w:rPr>
          <w:color w:val="231F20"/>
        </w:rPr>
        <w:t>2014, and 2013, respectively. Computer software depreciation expense was $122 million, $90 </w:t>
      </w:r>
      <w:r>
        <w:rPr>
          <w:color w:val="231F20"/>
          <w:spacing w:val="47"/>
        </w:rPr>
        <w:t> </w:t>
      </w:r>
      <w:r>
        <w:rPr>
          <w:color w:val="231F20"/>
        </w:rPr>
        <w:t>million,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and</w:t>
      </w:r>
      <w:r>
        <w:rPr>
          <w:color w:val="231F20"/>
          <w:spacing w:val="-8"/>
        </w:rPr>
        <w:t> </w:t>
      </w:r>
      <w:r>
        <w:rPr>
          <w:color w:val="231F20"/>
        </w:rPr>
        <w:t>$59</w:t>
      </w:r>
      <w:r>
        <w:rPr>
          <w:color w:val="231F20"/>
          <w:spacing w:val="-8"/>
        </w:rPr>
        <w:t> </w:t>
      </w:r>
      <w:r>
        <w:rPr>
          <w:color w:val="231F20"/>
        </w:rPr>
        <w:t>million</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years</w:t>
      </w:r>
      <w:r>
        <w:rPr>
          <w:color w:val="231F20"/>
          <w:spacing w:val="-8"/>
        </w:rPr>
        <w:t> </w:t>
      </w:r>
      <w:r>
        <w:rPr>
          <w:color w:val="231F20"/>
        </w:rPr>
        <w:t>ended</w:t>
      </w:r>
      <w:r>
        <w:rPr>
          <w:color w:val="231F20"/>
          <w:spacing w:val="-8"/>
        </w:rPr>
        <w:t> </w:t>
      </w:r>
      <w:r>
        <w:rPr>
          <w:color w:val="231F20"/>
        </w:rPr>
        <w:t>December</w:t>
      </w:r>
      <w:r>
        <w:rPr>
          <w:color w:val="231F20"/>
          <w:spacing w:val="-8"/>
        </w:rPr>
        <w:t> </w:t>
      </w:r>
      <w:r>
        <w:rPr>
          <w:color w:val="231F20"/>
        </w:rPr>
        <w:t>31,</w:t>
      </w:r>
      <w:r>
        <w:rPr>
          <w:color w:val="231F20"/>
          <w:spacing w:val="-8"/>
        </w:rPr>
        <w:t> </w:t>
      </w:r>
      <w:r>
        <w:rPr>
          <w:color w:val="231F20"/>
        </w:rPr>
        <w:t>2014,</w:t>
      </w:r>
      <w:r>
        <w:rPr>
          <w:color w:val="231F20"/>
          <w:spacing w:val="-8"/>
        </w:rPr>
        <w:t> </w:t>
      </w:r>
      <w:r>
        <w:rPr>
          <w:color w:val="231F20"/>
        </w:rPr>
        <w:t>2013,</w:t>
      </w:r>
      <w:r>
        <w:rPr>
          <w:color w:val="231F20"/>
          <w:spacing w:val="-8"/>
        </w:rPr>
        <w:t> </w:t>
      </w:r>
      <w:r>
        <w:rPr>
          <w:color w:val="231F20"/>
        </w:rPr>
        <w:t>and</w:t>
      </w:r>
      <w:r>
        <w:rPr>
          <w:color w:val="231F20"/>
          <w:spacing w:val="-8"/>
        </w:rPr>
        <w:t> </w:t>
      </w:r>
      <w:r>
        <w:rPr>
          <w:color w:val="231F20"/>
        </w:rPr>
        <w:t>2012,</w:t>
      </w:r>
      <w:r>
        <w:rPr>
          <w:color w:val="231F20"/>
          <w:spacing w:val="-8"/>
        </w:rPr>
        <w:t> </w:t>
      </w:r>
      <w:r>
        <w:rPr>
          <w:color w:val="231F20"/>
        </w:rPr>
        <w:t>respectively,</w:t>
      </w:r>
      <w:r>
        <w:rPr>
          <w:color w:val="231F20"/>
          <w:spacing w:val="-8"/>
        </w:rPr>
        <w:t> </w:t>
      </w:r>
      <w:r>
        <w:rPr>
          <w:color w:val="231F20"/>
        </w:rPr>
        <w:t>and</w:t>
      </w:r>
      <w:r>
        <w:rPr>
          <w:color w:val="231F20"/>
          <w:spacing w:val="-8"/>
        </w:rPr>
        <w:t> </w:t>
      </w:r>
      <w:r>
        <w:rPr>
          <w:color w:val="231F20"/>
        </w:rPr>
        <w:t>is</w:t>
      </w:r>
      <w:r>
        <w:rPr>
          <w:color w:val="231F20"/>
          <w:spacing w:val="-8"/>
        </w:rPr>
        <w:t> </w:t>
      </w:r>
      <w:r>
        <w:rPr>
          <w:color w:val="231F20"/>
        </w:rPr>
        <w:t>included</w:t>
      </w:r>
      <w:r>
        <w:rPr>
          <w:color w:val="231F20"/>
          <w:spacing w:val="-8"/>
        </w:rPr>
        <w:t> </w:t>
      </w:r>
      <w:r>
        <w:rPr>
          <w:color w:val="231F20"/>
        </w:rPr>
        <w:t>as a component of Depreciation and amortization expense in the accompanying Consolidated Statement</w:t>
      </w:r>
      <w:r>
        <w:rPr>
          <w:color w:val="231F20"/>
          <w:spacing w:val="-27"/>
        </w:rPr>
        <w:t> </w:t>
      </w:r>
      <w:r>
        <w:rPr>
          <w:color w:val="231F20"/>
        </w:rPr>
        <w:t>of Income.</w:t>
      </w:r>
    </w:p>
    <w:p>
      <w:pPr>
        <w:pStyle w:val="BodyText"/>
        <w:spacing w:before="9"/>
        <w:rPr>
          <w:sz w:val="20"/>
        </w:rPr>
      </w:pPr>
    </w:p>
    <w:p>
      <w:pPr>
        <w:pStyle w:val="Heading2"/>
        <w:ind w:left="320"/>
        <w:rPr>
          <w:i/>
        </w:rPr>
      </w:pPr>
      <w:r>
        <w:rPr>
          <w:i/>
          <w:color w:val="231F20"/>
        </w:rPr>
        <w:t>Income taxes</w:t>
      </w:r>
    </w:p>
    <w:p>
      <w:pPr>
        <w:pStyle w:val="BodyText"/>
        <w:spacing w:before="5"/>
        <w:rPr>
          <w:b/>
          <w:i/>
          <w:sz w:val="21"/>
        </w:rPr>
      </w:pPr>
    </w:p>
    <w:p>
      <w:pPr>
        <w:pStyle w:val="BodyText"/>
        <w:spacing w:line="247" w:lineRule="auto"/>
        <w:ind w:left="100" w:right="117" w:firstLine="720"/>
        <w:jc w:val="both"/>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w:t>
      </w:r>
    </w:p>
    <w:p>
      <w:pPr>
        <w:pStyle w:val="BodyText"/>
        <w:spacing w:before="9"/>
        <w:rPr>
          <w:sz w:val="20"/>
        </w:rPr>
      </w:pPr>
    </w:p>
    <w:p>
      <w:pPr>
        <w:pStyle w:val="BodyText"/>
        <w:spacing w:line="247" w:lineRule="auto"/>
        <w:ind w:left="100" w:right="118" w:firstLine="720"/>
        <w:jc w:val="both"/>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spacing w:before="9"/>
        <w:rPr>
          <w:sz w:val="20"/>
        </w:rPr>
      </w:pPr>
    </w:p>
    <w:p>
      <w:pPr>
        <w:pStyle w:val="Heading2"/>
        <w:ind w:left="320"/>
        <w:rPr>
          <w:i/>
        </w:rPr>
      </w:pPr>
      <w:r>
        <w:rPr>
          <w:i/>
          <w:color w:val="231F20"/>
        </w:rPr>
        <w:t>Concentration risk</w:t>
      </w:r>
    </w:p>
    <w:p>
      <w:pPr>
        <w:pStyle w:val="BodyText"/>
        <w:spacing w:before="5"/>
        <w:rPr>
          <w:b/>
          <w:i/>
          <w:sz w:val="21"/>
        </w:rPr>
      </w:pPr>
    </w:p>
    <w:p>
      <w:pPr>
        <w:pStyle w:val="BodyText"/>
        <w:spacing w:line="247" w:lineRule="auto"/>
        <w:ind w:left="100" w:right="117" w:firstLine="720"/>
        <w:jc w:val="both"/>
      </w:pPr>
      <w:r>
        <w:rPr>
          <w:color w:val="231F20"/>
        </w:rPr>
        <w:t>Approximately 83 percent of the Company’s full-time equivalent Employees are unionized and are covered by collective bargaining agreements. The Company manages this risk by maintaining positive relationships with its Employees and its Employees’ Representatives. The majority of the Company’s unionized Employees, including its Pilots, Mechanics, Ramp, Operations, Provisioning and Freight Agents, Flight Attendants, Material Specialists, Dispatchers, Flight Crew Training Instructors, Flight Simulator Technicians, and Facilities Maintenance Technicians are in discussions on labor agreements or have labor agreements which will become amendable within one year. These Employee groups represent approximately 70 percent of the Company’s full-time equivalent Employees as of December 31, 2014.</w:t>
      </w:r>
    </w:p>
    <w:p>
      <w:pPr>
        <w:pStyle w:val="BodyText"/>
        <w:spacing w:before="9"/>
        <w:rPr>
          <w:sz w:val="20"/>
        </w:rPr>
      </w:pPr>
    </w:p>
    <w:p>
      <w:pPr>
        <w:pStyle w:val="BodyText"/>
        <w:spacing w:line="247" w:lineRule="auto"/>
        <w:ind w:left="100" w:right="117" w:firstLine="720"/>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9"/>
        <w:rPr>
          <w:sz w:val="20"/>
        </w:rPr>
      </w:pPr>
    </w:p>
    <w:p>
      <w:pPr>
        <w:pStyle w:val="BodyText"/>
        <w:spacing w:line="247" w:lineRule="auto"/>
        <w:ind w:left="100" w:right="117" w:firstLine="720"/>
        <w:jc w:val="both"/>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w:t>
      </w:r>
      <w:r>
        <w:rPr>
          <w:color w:val="231F20"/>
          <w:spacing w:val="-3"/>
        </w:rPr>
        <w:t> </w:t>
      </w:r>
      <w:r>
        <w:rPr>
          <w:color w:val="231F20"/>
        </w:rPr>
        <w:t>information.</w:t>
      </w:r>
    </w:p>
    <w:p>
      <w:pPr>
        <w:pStyle w:val="BodyText"/>
        <w:spacing w:before="9"/>
        <w:rPr>
          <w:sz w:val="20"/>
        </w:rPr>
      </w:pPr>
    </w:p>
    <w:p>
      <w:pPr>
        <w:pStyle w:val="BodyText"/>
        <w:spacing w:line="247" w:lineRule="auto"/>
        <w:ind w:left="100" w:right="117" w:firstLine="720"/>
        <w:jc w:val="both"/>
      </w:pPr>
      <w:r>
        <w:rPr>
          <w:color w:val="231F20"/>
        </w:rPr>
        <w:t>As of December 31, 2014, the Company operates an all-Boeing fleet, all of which are variations of the Boeing 737. Following the 2011 acquisition of AirTran, the Company also operated a fleet of Boeing 717’s, but these aircraft were removed from the Company’s operations prior to the end of 2014. See Note 7 for further information. If the Company were unable to acquire additional  </w:t>
      </w:r>
      <w:r>
        <w:rPr>
          <w:color w:val="231F20"/>
          <w:spacing w:val="23"/>
        </w:rPr>
        <w:t> </w:t>
      </w:r>
      <w:r>
        <w:rPr>
          <w:color w:val="231F20"/>
        </w:rPr>
        <w:t>aircraft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aircraft type, whether as a result of downtime for part or all of the Company’s fleet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w:t>
      </w:r>
      <w:r>
        <w:rPr>
          <w:color w:val="231F20"/>
          <w:spacing w:val="-2"/>
        </w:rPr>
        <w:t> </w:t>
      </w:r>
      <w:r>
        <w:rPr>
          <w:color w:val="231F20"/>
        </w:rPr>
        <w:t>parts.</w:t>
      </w:r>
    </w:p>
    <w:p>
      <w:pPr>
        <w:pStyle w:val="BodyText"/>
        <w:spacing w:before="9"/>
        <w:rPr>
          <w:sz w:val="20"/>
        </w:rPr>
      </w:pPr>
    </w:p>
    <w:p>
      <w:pPr>
        <w:pStyle w:val="BodyText"/>
        <w:spacing w:line="247" w:lineRule="auto"/>
        <w:ind w:left="100" w:right="117" w:firstLine="720"/>
        <w:jc w:val="both"/>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2017. The Company believes the financial benefits generated by the exclusivity aspects of these arrangements outweigh the risks involved with such</w:t>
      </w:r>
      <w:r>
        <w:rPr>
          <w:color w:val="231F20"/>
          <w:spacing w:val="-1"/>
        </w:rPr>
        <w:t> </w:t>
      </w:r>
      <w:r>
        <w:rPr>
          <w:color w:val="231F20"/>
        </w:rPr>
        <w:t>agreements.</w:t>
      </w:r>
    </w:p>
    <w:p>
      <w:pPr>
        <w:pStyle w:val="BodyText"/>
        <w:spacing w:before="9"/>
        <w:rPr>
          <w:sz w:val="20"/>
        </w:rPr>
      </w:pPr>
    </w:p>
    <w:p>
      <w:pPr>
        <w:pStyle w:val="Heading1"/>
        <w:numPr>
          <w:ilvl w:val="0"/>
          <w:numId w:val="13"/>
        </w:numPr>
        <w:tabs>
          <w:tab w:pos="320" w:val="left" w:leader="none"/>
        </w:tabs>
        <w:spacing w:line="240" w:lineRule="auto" w:before="0" w:after="0"/>
        <w:ind w:left="320" w:right="0" w:hanging="220"/>
        <w:jc w:val="both"/>
      </w:pPr>
      <w:r>
        <w:rPr>
          <w:color w:val="231F20"/>
        </w:rPr>
        <w:t>NEW ACCOUNTING PRONOUNCEMENTS</w:t>
      </w:r>
    </w:p>
    <w:p>
      <w:pPr>
        <w:pStyle w:val="BodyText"/>
        <w:spacing w:before="4"/>
        <w:rPr>
          <w:b/>
          <w:sz w:val="21"/>
        </w:rPr>
      </w:pPr>
    </w:p>
    <w:p>
      <w:pPr>
        <w:pStyle w:val="BodyText"/>
        <w:spacing w:line="247" w:lineRule="auto" w:before="1"/>
        <w:ind w:left="100" w:right="117" w:firstLine="720"/>
        <w:jc w:val="both"/>
      </w:pPr>
      <w:r>
        <w:rPr>
          <w:color w:val="231F20"/>
        </w:rPr>
        <w:t>On May 28, 2014, the Financial Accounting Standards Board and the International Accounting Standards Board issued converged guidance on recognizing revenue in contracts with customers. </w:t>
      </w:r>
      <w:r>
        <w:rPr>
          <w:color w:val="231F20"/>
          <w:spacing w:val="-2"/>
        </w:rPr>
        <w:t>The </w:t>
      </w:r>
      <w:r>
        <w:rPr>
          <w:color w:val="231F20"/>
        </w:rPr>
        <w:t>new</w:t>
      </w:r>
      <w:r>
        <w:rPr>
          <w:color w:val="231F20"/>
          <w:spacing w:val="-10"/>
        </w:rPr>
        <w:t> </w:t>
      </w:r>
      <w:r>
        <w:rPr>
          <w:color w:val="231F20"/>
        </w:rPr>
        <w:t>guidance</w:t>
      </w:r>
      <w:r>
        <w:rPr>
          <w:color w:val="231F20"/>
          <w:spacing w:val="-10"/>
        </w:rPr>
        <w:t> </w:t>
      </w:r>
      <w:r>
        <w:rPr>
          <w:color w:val="231F20"/>
        </w:rPr>
        <w:t>establishes</w:t>
      </w:r>
      <w:r>
        <w:rPr>
          <w:color w:val="231F20"/>
          <w:spacing w:val="-11"/>
        </w:rPr>
        <w:t> </w:t>
      </w:r>
      <w:r>
        <w:rPr>
          <w:color w:val="231F20"/>
        </w:rPr>
        <w:t>a</w:t>
      </w:r>
      <w:r>
        <w:rPr>
          <w:color w:val="231F20"/>
          <w:spacing w:val="-11"/>
        </w:rPr>
        <w:t> </w:t>
      </w:r>
      <w:r>
        <w:rPr>
          <w:color w:val="231F20"/>
        </w:rPr>
        <w:t>single</w:t>
      </w:r>
      <w:r>
        <w:rPr>
          <w:color w:val="231F20"/>
          <w:spacing w:val="-11"/>
        </w:rPr>
        <w:t> </w:t>
      </w:r>
      <w:r>
        <w:rPr>
          <w:color w:val="231F20"/>
        </w:rPr>
        <w:t>core</w:t>
      </w:r>
      <w:r>
        <w:rPr>
          <w:color w:val="231F20"/>
          <w:spacing w:val="-11"/>
        </w:rPr>
        <w:t> </w:t>
      </w:r>
      <w:r>
        <w:rPr>
          <w:color w:val="231F20"/>
        </w:rPr>
        <w:t>principle</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Accounting</w:t>
      </w:r>
      <w:r>
        <w:rPr>
          <w:color w:val="231F20"/>
          <w:spacing w:val="-11"/>
        </w:rPr>
        <w:t> </w:t>
      </w:r>
      <w:r>
        <w:rPr>
          <w:color w:val="231F20"/>
        </w:rPr>
        <w:t>Standards</w:t>
      </w:r>
      <w:r>
        <w:rPr>
          <w:color w:val="231F20"/>
          <w:spacing w:val="-11"/>
        </w:rPr>
        <w:t> </w:t>
      </w:r>
      <w:r>
        <w:rPr>
          <w:color w:val="231F20"/>
        </w:rPr>
        <w:t>Update</w:t>
      </w:r>
      <w:r>
        <w:rPr>
          <w:color w:val="231F20"/>
          <w:spacing w:val="-11"/>
        </w:rPr>
        <w:t> </w:t>
      </w:r>
      <w:r>
        <w:rPr>
          <w:color w:val="231F20"/>
        </w:rPr>
        <w:t>(“ASU”)</w:t>
      </w:r>
      <w:r>
        <w:rPr>
          <w:color w:val="231F20"/>
          <w:spacing w:val="-12"/>
        </w:rPr>
        <w:t> </w:t>
      </w:r>
      <w:r>
        <w:rPr>
          <w:color w:val="231F20"/>
        </w:rPr>
        <w:t>No.</w:t>
      </w:r>
      <w:r>
        <w:rPr>
          <w:color w:val="231F20"/>
          <w:spacing w:val="-11"/>
        </w:rPr>
        <w:t> </w:t>
      </w:r>
      <w:r>
        <w:rPr>
          <w:color w:val="231F20"/>
        </w:rPr>
        <w:t>2014- 09,</w:t>
      </w:r>
      <w:r>
        <w:rPr>
          <w:color w:val="231F20"/>
          <w:spacing w:val="-4"/>
        </w:rPr>
        <w:t> </w:t>
      </w:r>
      <w:r>
        <w:rPr>
          <w:color w:val="231F20"/>
        </w:rPr>
        <w:t>which</w:t>
      </w:r>
      <w:r>
        <w:rPr>
          <w:color w:val="231F20"/>
          <w:spacing w:val="-4"/>
        </w:rPr>
        <w:t> </w:t>
      </w:r>
      <w:r>
        <w:rPr>
          <w:color w:val="231F20"/>
        </w:rPr>
        <w:t>is</w:t>
      </w:r>
      <w:r>
        <w:rPr>
          <w:color w:val="231F20"/>
          <w:spacing w:val="-4"/>
        </w:rPr>
        <w:t> </w:t>
      </w:r>
      <w:r>
        <w:rPr>
          <w:color w:val="231F20"/>
        </w:rPr>
        <w:t>the</w:t>
      </w:r>
      <w:r>
        <w:rPr>
          <w:color w:val="231F20"/>
          <w:spacing w:val="-4"/>
        </w:rPr>
        <w:t> </w:t>
      </w:r>
      <w:r>
        <w:rPr>
          <w:color w:val="231F20"/>
        </w:rPr>
        <w:t>recognition</w:t>
      </w:r>
      <w:r>
        <w:rPr>
          <w:color w:val="231F20"/>
          <w:spacing w:val="-4"/>
        </w:rPr>
        <w:t> </w:t>
      </w:r>
      <w:r>
        <w:rPr>
          <w:color w:val="231F20"/>
        </w:rPr>
        <w:t>of</w:t>
      </w:r>
      <w:r>
        <w:rPr>
          <w:color w:val="231F20"/>
          <w:spacing w:val="-5"/>
        </w:rPr>
        <w:t> </w:t>
      </w:r>
      <w:r>
        <w:rPr>
          <w:color w:val="231F20"/>
        </w:rPr>
        <w:t>revenue</w:t>
      </w:r>
      <w:r>
        <w:rPr>
          <w:color w:val="231F20"/>
          <w:spacing w:val="-4"/>
        </w:rPr>
        <w:t> </w:t>
      </w:r>
      <w:r>
        <w:rPr>
          <w:color w:val="231F20"/>
        </w:rPr>
        <w:t>to</w:t>
      </w:r>
      <w:r>
        <w:rPr>
          <w:color w:val="231F20"/>
          <w:spacing w:val="-4"/>
        </w:rPr>
        <w:t> </w:t>
      </w:r>
      <w:r>
        <w:rPr>
          <w:color w:val="231F20"/>
        </w:rPr>
        <w:t>depict</w:t>
      </w:r>
      <w:r>
        <w:rPr>
          <w:color w:val="231F20"/>
          <w:spacing w:val="-5"/>
        </w:rPr>
        <w:t> </w:t>
      </w:r>
      <w:r>
        <w:rPr>
          <w:color w:val="231F20"/>
        </w:rPr>
        <w:t>the</w:t>
      </w:r>
      <w:r>
        <w:rPr>
          <w:color w:val="231F20"/>
          <w:spacing w:val="-4"/>
        </w:rPr>
        <w:t> </w:t>
      </w:r>
      <w:r>
        <w:rPr>
          <w:color w:val="231F20"/>
        </w:rPr>
        <w:t>transfer</w:t>
      </w:r>
      <w:r>
        <w:rPr>
          <w:color w:val="231F20"/>
          <w:spacing w:val="-5"/>
        </w:rPr>
        <w:t> </w:t>
      </w:r>
      <w:r>
        <w:rPr>
          <w:color w:val="231F20"/>
        </w:rPr>
        <w:t>of</w:t>
      </w:r>
      <w:r>
        <w:rPr>
          <w:color w:val="231F20"/>
          <w:spacing w:val="-6"/>
        </w:rPr>
        <w:t> </w:t>
      </w:r>
      <w:r>
        <w:rPr>
          <w:color w:val="231F20"/>
        </w:rPr>
        <w:t>promised</w:t>
      </w:r>
      <w:r>
        <w:rPr>
          <w:color w:val="231F20"/>
          <w:spacing w:val="-5"/>
        </w:rPr>
        <w:t> </w:t>
      </w:r>
      <w:r>
        <w:rPr>
          <w:color w:val="231F20"/>
        </w:rPr>
        <w:t>goods</w:t>
      </w:r>
      <w:r>
        <w:rPr>
          <w:color w:val="231F20"/>
          <w:spacing w:val="-5"/>
        </w:rPr>
        <w:t> </w:t>
      </w:r>
      <w:r>
        <w:rPr>
          <w:color w:val="231F20"/>
        </w:rPr>
        <w:t>or</w:t>
      </w:r>
      <w:r>
        <w:rPr>
          <w:color w:val="231F20"/>
          <w:spacing w:val="-6"/>
        </w:rPr>
        <w:t> </w:t>
      </w:r>
      <w:r>
        <w:rPr>
          <w:color w:val="231F20"/>
        </w:rPr>
        <w:t>services</w:t>
      </w:r>
      <w:r>
        <w:rPr>
          <w:color w:val="231F20"/>
          <w:spacing w:val="-5"/>
        </w:rPr>
        <w:t> </w:t>
      </w:r>
      <w:r>
        <w:rPr>
          <w:color w:val="231F20"/>
        </w:rPr>
        <w:t>to</w:t>
      </w:r>
      <w:r>
        <w:rPr>
          <w:color w:val="231F20"/>
          <w:spacing w:val="-5"/>
        </w:rPr>
        <w:t> </w:t>
      </w:r>
      <w:r>
        <w:rPr>
          <w:color w:val="231F20"/>
        </w:rPr>
        <w:t>customers in an amount that reflects the consideration to which the entity expects to be entitled in exchange </w:t>
      </w:r>
      <w:r>
        <w:rPr>
          <w:color w:val="231F20"/>
          <w:spacing w:val="-2"/>
        </w:rPr>
        <w:t>for </w:t>
      </w:r>
      <w:r>
        <w:rPr>
          <w:color w:val="231F20"/>
        </w:rPr>
        <w:t>those goods or services. This guidance will affect any reporting organization that either enters into contracts with customers to transfer goods or services or enters into contracts for the transfer of non- financial</w:t>
      </w:r>
      <w:r>
        <w:rPr>
          <w:color w:val="231F20"/>
          <w:spacing w:val="-6"/>
        </w:rPr>
        <w:t> </w:t>
      </w:r>
      <w:r>
        <w:rPr>
          <w:color w:val="231F20"/>
        </w:rPr>
        <w:t>assets.</w:t>
      </w:r>
      <w:r>
        <w:rPr>
          <w:color w:val="231F20"/>
          <w:spacing w:val="-5"/>
        </w:rPr>
        <w:t> </w:t>
      </w:r>
      <w:r>
        <w:rPr>
          <w:color w:val="231F20"/>
        </w:rPr>
        <w:t>This</w:t>
      </w:r>
      <w:r>
        <w:rPr>
          <w:color w:val="231F20"/>
          <w:spacing w:val="-5"/>
        </w:rPr>
        <w:t> </w:t>
      </w:r>
      <w:r>
        <w:rPr>
          <w:color w:val="231F20"/>
        </w:rPr>
        <w:t>ASU</w:t>
      </w:r>
      <w:r>
        <w:rPr>
          <w:color w:val="231F20"/>
          <w:spacing w:val="-6"/>
        </w:rPr>
        <w:t> </w:t>
      </w:r>
      <w:r>
        <w:rPr>
          <w:color w:val="231F20"/>
        </w:rPr>
        <w:t>is</w:t>
      </w:r>
      <w:r>
        <w:rPr>
          <w:color w:val="231F20"/>
          <w:spacing w:val="-6"/>
        </w:rPr>
        <w:t> </w:t>
      </w:r>
      <w:r>
        <w:rPr>
          <w:color w:val="231F20"/>
        </w:rPr>
        <w:t>effective</w:t>
      </w:r>
      <w:r>
        <w:rPr>
          <w:color w:val="231F20"/>
          <w:spacing w:val="-6"/>
        </w:rPr>
        <w:t> </w:t>
      </w:r>
      <w:r>
        <w:rPr>
          <w:color w:val="231F20"/>
        </w:rPr>
        <w:t>for</w:t>
      </w:r>
      <w:r>
        <w:rPr>
          <w:color w:val="231F20"/>
          <w:spacing w:val="-7"/>
        </w:rPr>
        <w:t> </w:t>
      </w:r>
      <w:r>
        <w:rPr>
          <w:color w:val="231F20"/>
        </w:rPr>
        <w:t>fiscal</w:t>
      </w:r>
      <w:r>
        <w:rPr>
          <w:color w:val="231F20"/>
          <w:spacing w:val="-7"/>
        </w:rPr>
        <w:t> </w:t>
      </w:r>
      <w:r>
        <w:rPr>
          <w:color w:val="231F20"/>
        </w:rPr>
        <w:t>years,</w:t>
      </w:r>
      <w:r>
        <w:rPr>
          <w:color w:val="231F20"/>
          <w:spacing w:val="-6"/>
        </w:rPr>
        <w:t> </w:t>
      </w:r>
      <w:r>
        <w:rPr>
          <w:color w:val="231F20"/>
        </w:rPr>
        <w:t>and</w:t>
      </w:r>
      <w:r>
        <w:rPr>
          <w:color w:val="231F20"/>
          <w:spacing w:val="-6"/>
        </w:rPr>
        <w:t> </w:t>
      </w:r>
      <w:r>
        <w:rPr>
          <w:color w:val="231F20"/>
        </w:rPr>
        <w:t>interim</w:t>
      </w:r>
      <w:r>
        <w:rPr>
          <w:color w:val="231F20"/>
          <w:spacing w:val="-7"/>
        </w:rPr>
        <w:t> </w:t>
      </w:r>
      <w:r>
        <w:rPr>
          <w:color w:val="231F20"/>
        </w:rPr>
        <w:t>periods</w:t>
      </w:r>
      <w:r>
        <w:rPr>
          <w:color w:val="231F20"/>
          <w:spacing w:val="-6"/>
        </w:rPr>
        <w:t> </w:t>
      </w:r>
      <w:r>
        <w:rPr>
          <w:color w:val="231F20"/>
        </w:rPr>
        <w:t>within</w:t>
      </w:r>
      <w:r>
        <w:rPr>
          <w:color w:val="231F20"/>
          <w:spacing w:val="-6"/>
        </w:rPr>
        <w:t> </w:t>
      </w:r>
      <w:r>
        <w:rPr>
          <w:color w:val="231F20"/>
        </w:rPr>
        <w:t>those</w:t>
      </w:r>
      <w:r>
        <w:rPr>
          <w:color w:val="231F20"/>
          <w:spacing w:val="-6"/>
        </w:rPr>
        <w:t> </w:t>
      </w:r>
      <w:r>
        <w:rPr>
          <w:color w:val="231F20"/>
        </w:rPr>
        <w:t>years,</w:t>
      </w:r>
      <w:r>
        <w:rPr>
          <w:color w:val="231F20"/>
          <w:spacing w:val="-6"/>
        </w:rPr>
        <w:t> </w:t>
      </w:r>
      <w:r>
        <w:rPr>
          <w:color w:val="231F20"/>
        </w:rPr>
        <w:t>beginning on or after December 15, 2016, and early adoption is not permitted. The Company believes the most significant impacts of this ASU on its accounting will be (i) the elimination of the incremental cost method for frequent flyer accounting, which would require the Company to re-value its liability </w:t>
      </w:r>
      <w:r>
        <w:rPr>
          <w:color w:val="231F20"/>
          <w:spacing w:val="-2"/>
        </w:rPr>
        <w:t>earned </w:t>
      </w:r>
      <w:r>
        <w:rPr>
          <w:color w:val="231F20"/>
        </w:rPr>
        <w:t>by Customers associated with flights points with a relative fair value approach, and (ii) the </w:t>
      </w:r>
      <w:r>
        <w:rPr>
          <w:color w:val="231F20"/>
          <w:spacing w:val="-3"/>
        </w:rPr>
        <w:t>requirement </w:t>
      </w:r>
      <w:r>
        <w:rPr>
          <w:color w:val="231F20"/>
        </w:rPr>
        <w:t>that the Company discontinue use of the residual method in allocating funds from the sale of frequent flyer</w:t>
      </w:r>
      <w:r>
        <w:rPr>
          <w:color w:val="231F20"/>
          <w:spacing w:val="-7"/>
        </w:rPr>
        <w:t> </w:t>
      </w:r>
      <w:r>
        <w:rPr>
          <w:color w:val="231F20"/>
        </w:rPr>
        <w:t>points</w:t>
      </w:r>
      <w:r>
        <w:rPr>
          <w:color w:val="231F20"/>
          <w:spacing w:val="-6"/>
        </w:rPr>
        <w:t> </w:t>
      </w:r>
      <w:r>
        <w:rPr>
          <w:color w:val="231F20"/>
        </w:rPr>
        <w:t>to</w:t>
      </w:r>
      <w:r>
        <w:rPr>
          <w:color w:val="231F20"/>
          <w:spacing w:val="-7"/>
        </w:rPr>
        <w:t> </w:t>
      </w:r>
      <w:r>
        <w:rPr>
          <w:color w:val="231F20"/>
        </w:rPr>
        <w:t>business</w:t>
      </w:r>
      <w:r>
        <w:rPr>
          <w:color w:val="231F20"/>
          <w:spacing w:val="-7"/>
        </w:rPr>
        <w:t> </w:t>
      </w:r>
      <w:r>
        <w:rPr>
          <w:color w:val="231F20"/>
        </w:rPr>
        <w:t>partners</w:t>
      </w:r>
      <w:r>
        <w:rPr>
          <w:color w:val="231F20"/>
          <w:spacing w:val="-7"/>
        </w:rPr>
        <w:t> </w:t>
      </w:r>
      <w:r>
        <w:rPr>
          <w:color w:val="231F20"/>
        </w:rPr>
        <w:t>in</w:t>
      </w:r>
      <w:r>
        <w:rPr>
          <w:color w:val="231F20"/>
          <w:spacing w:val="-7"/>
        </w:rPr>
        <w:t> </w:t>
      </w:r>
      <w:r>
        <w:rPr>
          <w:color w:val="231F20"/>
        </w:rPr>
        <w:t>its</w:t>
      </w:r>
      <w:r>
        <w:rPr>
          <w:color w:val="231F20"/>
          <w:spacing w:val="-7"/>
        </w:rPr>
        <w:t> </w:t>
      </w:r>
      <w:r>
        <w:rPr>
          <w:color w:val="231F20"/>
        </w:rPr>
        <w:t>frequent</w:t>
      </w:r>
      <w:r>
        <w:rPr>
          <w:color w:val="231F20"/>
          <w:spacing w:val="-8"/>
        </w:rPr>
        <w:t> </w:t>
      </w:r>
      <w:r>
        <w:rPr>
          <w:color w:val="231F20"/>
        </w:rPr>
        <w:t>flyer</w:t>
      </w:r>
      <w:r>
        <w:rPr>
          <w:color w:val="231F20"/>
          <w:spacing w:val="-8"/>
        </w:rPr>
        <w:t> </w:t>
      </w:r>
      <w:r>
        <w:rPr>
          <w:color w:val="231F20"/>
        </w:rPr>
        <w:t>program,</w:t>
      </w:r>
      <w:r>
        <w:rPr>
          <w:color w:val="231F20"/>
          <w:spacing w:val="-7"/>
        </w:rPr>
        <w:t> </w:t>
      </w:r>
      <w:r>
        <w:rPr>
          <w:color w:val="231F20"/>
        </w:rPr>
        <w:t>which</w:t>
      </w:r>
      <w:r>
        <w:rPr>
          <w:color w:val="231F20"/>
          <w:spacing w:val="-7"/>
        </w:rPr>
        <w:t> </w:t>
      </w:r>
      <w:r>
        <w:rPr>
          <w:color w:val="231F20"/>
        </w:rPr>
        <w:t>would</w:t>
      </w:r>
      <w:r>
        <w:rPr>
          <w:color w:val="231F20"/>
          <w:spacing w:val="-7"/>
        </w:rPr>
        <w:t> </w:t>
      </w:r>
      <w:r>
        <w:rPr>
          <w:color w:val="231F20"/>
        </w:rPr>
        <w:t>also</w:t>
      </w:r>
      <w:r>
        <w:rPr>
          <w:color w:val="231F20"/>
          <w:spacing w:val="-7"/>
        </w:rPr>
        <w:t> </w:t>
      </w:r>
      <w:r>
        <w:rPr>
          <w:color w:val="231F20"/>
        </w:rPr>
        <w:t>require</w:t>
      </w:r>
      <w:r>
        <w:rPr>
          <w:color w:val="231F20"/>
          <w:spacing w:val="-7"/>
        </w:rPr>
        <w:t> </w:t>
      </w:r>
      <w:r>
        <w:rPr>
          <w:color w:val="231F20"/>
        </w:rPr>
        <w:t>the</w:t>
      </w:r>
      <w:r>
        <w:rPr>
          <w:color w:val="231F20"/>
          <w:spacing w:val="-7"/>
        </w:rPr>
        <w:t> </w:t>
      </w:r>
      <w:r>
        <w:rPr>
          <w:color w:val="231F20"/>
        </w:rPr>
        <w:t>adoption</w:t>
      </w:r>
      <w:r>
        <w:rPr>
          <w:color w:val="231F20"/>
          <w:spacing w:val="-7"/>
        </w:rPr>
        <w:t> </w:t>
      </w:r>
      <w:r>
        <w:rPr>
          <w:color w:val="231F20"/>
        </w:rPr>
        <w:t>of</w:t>
      </w:r>
      <w:r>
        <w:rPr>
          <w:color w:val="231F20"/>
          <w:spacing w:val="-8"/>
        </w:rPr>
        <w:t> </w:t>
      </w:r>
      <w:r>
        <w:rPr>
          <w:color w:val="231F20"/>
        </w:rPr>
        <w:t>a relative fair value approach. The Company is continuing to evaluate the new guidance and plans to provide</w:t>
      </w:r>
      <w:r>
        <w:rPr>
          <w:color w:val="231F20"/>
          <w:spacing w:val="-16"/>
        </w:rPr>
        <w:t> </w:t>
      </w:r>
      <w:r>
        <w:rPr>
          <w:color w:val="231F20"/>
        </w:rPr>
        <w:t>additional</w:t>
      </w:r>
      <w:r>
        <w:rPr>
          <w:color w:val="231F20"/>
          <w:spacing w:val="-17"/>
        </w:rPr>
        <w:t> </w:t>
      </w:r>
      <w:r>
        <w:rPr>
          <w:color w:val="231F20"/>
        </w:rPr>
        <w:t>information</w:t>
      </w:r>
      <w:r>
        <w:rPr>
          <w:color w:val="231F20"/>
          <w:spacing w:val="-16"/>
        </w:rPr>
        <w:t> </w:t>
      </w:r>
      <w:r>
        <w:rPr>
          <w:color w:val="231F20"/>
        </w:rPr>
        <w:t>about</w:t>
      </w:r>
      <w:r>
        <w:rPr>
          <w:color w:val="231F20"/>
          <w:spacing w:val="-17"/>
        </w:rPr>
        <w:t> </w:t>
      </w:r>
      <w:r>
        <w:rPr>
          <w:color w:val="231F20"/>
        </w:rPr>
        <w:t>its</w:t>
      </w:r>
      <w:r>
        <w:rPr>
          <w:color w:val="231F20"/>
          <w:spacing w:val="-16"/>
        </w:rPr>
        <w:t> </w:t>
      </w:r>
      <w:r>
        <w:rPr>
          <w:color w:val="231F20"/>
        </w:rPr>
        <w:t>expected</w:t>
      </w:r>
      <w:r>
        <w:rPr>
          <w:color w:val="231F20"/>
          <w:spacing w:val="-16"/>
        </w:rPr>
        <w:t> </w:t>
      </w:r>
      <w:r>
        <w:rPr>
          <w:color w:val="231F20"/>
        </w:rPr>
        <w:t>financial</w:t>
      </w:r>
      <w:r>
        <w:rPr>
          <w:color w:val="231F20"/>
          <w:spacing w:val="-17"/>
        </w:rPr>
        <w:t> </w:t>
      </w:r>
      <w:r>
        <w:rPr>
          <w:color w:val="231F20"/>
        </w:rPr>
        <w:t>impact</w:t>
      </w:r>
      <w:r>
        <w:rPr>
          <w:color w:val="231F20"/>
          <w:spacing w:val="-17"/>
        </w:rPr>
        <w:t> </w:t>
      </w:r>
      <w:r>
        <w:rPr>
          <w:color w:val="231F20"/>
        </w:rPr>
        <w:t>at</w:t>
      </w:r>
      <w:r>
        <w:rPr>
          <w:color w:val="231F20"/>
          <w:spacing w:val="-17"/>
        </w:rPr>
        <w:t> </w:t>
      </w:r>
      <w:r>
        <w:rPr>
          <w:color w:val="231F20"/>
        </w:rPr>
        <w:t>a</w:t>
      </w:r>
      <w:r>
        <w:rPr>
          <w:color w:val="231F20"/>
          <w:spacing w:val="-16"/>
        </w:rPr>
        <w:t> </w:t>
      </w:r>
      <w:r>
        <w:rPr>
          <w:color w:val="231F20"/>
        </w:rPr>
        <w:t>future</w:t>
      </w:r>
      <w:r>
        <w:rPr>
          <w:color w:val="231F20"/>
          <w:spacing w:val="-16"/>
        </w:rPr>
        <w:t> </w:t>
      </w:r>
      <w:r>
        <w:rPr>
          <w:color w:val="231F20"/>
        </w:rPr>
        <w:t>date.</w:t>
      </w:r>
    </w:p>
    <w:p>
      <w:pPr>
        <w:pStyle w:val="BodyText"/>
        <w:spacing w:before="9"/>
        <w:rPr>
          <w:sz w:val="20"/>
        </w:rPr>
      </w:pPr>
    </w:p>
    <w:p>
      <w:pPr>
        <w:pStyle w:val="BodyText"/>
        <w:spacing w:line="247" w:lineRule="auto"/>
        <w:ind w:left="100" w:right="117" w:firstLine="720"/>
        <w:jc w:val="both"/>
      </w:pPr>
      <w:r>
        <w:rPr>
          <w:color w:val="231F20"/>
        </w:rPr>
        <w:t>On August 27, 2014, the Financial Accounting Standards Board issued ASU No. 2014-15.  This standard provides guidance on determining when and how to disclose going-concern uncertainties in the financial statements. The new standard requires management to perform interim and annual assessments of an entity’s ability to continue as a going concern within one year of the date the financial statements are issued. This ASU is effective for fiscal years, and interim periods within those years, beginning on or after December 15, 2016, with early adoption permitted. The Company is evaluating the new guidance and plans to provide additional information about its expected impact at a future</w:t>
      </w:r>
      <w:r>
        <w:rPr>
          <w:color w:val="231F20"/>
          <w:spacing w:val="-1"/>
        </w:rPr>
        <w:t> </w:t>
      </w:r>
      <w:r>
        <w:rPr>
          <w:color w:val="231F20"/>
        </w:rPr>
        <w:t>date.</w:t>
      </w:r>
    </w:p>
    <w:p>
      <w:pPr>
        <w:spacing w:after="0" w:line="247" w:lineRule="auto"/>
        <w:jc w:val="both"/>
        <w:sectPr>
          <w:pgSz w:w="11880" w:h="15480"/>
          <w:pgMar w:header="0" w:footer="1240" w:top="1240" w:bottom="1420" w:left="1280" w:right="1260"/>
        </w:sectPr>
      </w:pPr>
    </w:p>
    <w:p>
      <w:pPr>
        <w:pStyle w:val="Heading1"/>
        <w:numPr>
          <w:ilvl w:val="0"/>
          <w:numId w:val="13"/>
        </w:numPr>
        <w:tabs>
          <w:tab w:pos="320" w:val="left" w:leader="none"/>
        </w:tabs>
        <w:spacing w:line="240" w:lineRule="auto" w:before="74" w:after="0"/>
        <w:ind w:left="320" w:right="0" w:hanging="220"/>
        <w:jc w:val="left"/>
      </w:pPr>
      <w:r>
        <w:rPr>
          <w:color w:val="231F20"/>
        </w:rPr>
        <w:t>NET INCOME PER</w:t>
      </w:r>
      <w:r>
        <w:rPr>
          <w:color w:val="231F20"/>
          <w:spacing w:val="1"/>
        </w:rPr>
        <w:t> </w:t>
      </w:r>
      <w:r>
        <w:rPr>
          <w:color w:val="231F20"/>
        </w:rPr>
        <w:t>SHARE</w:t>
      </w:r>
    </w:p>
    <w:p>
      <w:pPr>
        <w:pStyle w:val="BodyText"/>
        <w:spacing w:before="4"/>
        <w:rPr>
          <w:b/>
          <w:sz w:val="21"/>
        </w:rPr>
      </w:pPr>
    </w:p>
    <w:p>
      <w:pPr>
        <w:pStyle w:val="BodyText"/>
        <w:spacing w:line="247" w:lineRule="auto" w:before="1"/>
        <w:ind w:left="100" w:right="97" w:firstLine="720"/>
      </w:pPr>
      <w:r>
        <w:rPr>
          <w:color w:val="231F20"/>
        </w:rPr>
        <w:t>The following table sets forth the computation of basic and diluted net income per share (in millions except per share amounts):</w:t>
      </w:r>
    </w:p>
    <w:p>
      <w:pPr>
        <w:pStyle w:val="BodyText"/>
        <w:spacing w:before="3"/>
        <w:rPr>
          <w:sz w:val="17"/>
        </w:rPr>
      </w:pPr>
    </w:p>
    <w:p>
      <w:pPr>
        <w:spacing w:before="0" w:after="27"/>
        <w:ind w:left="0" w:right="837" w:firstLine="0"/>
        <w:jc w:val="righ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80"/>
        <w:gridCol w:w="1080"/>
        <w:gridCol w:w="200"/>
        <w:gridCol w:w="1080"/>
        <w:gridCol w:w="200"/>
        <w:gridCol w:w="1080"/>
      </w:tblGrid>
      <w:tr>
        <w:trPr>
          <w:trHeight w:val="280" w:hRule="exact"/>
        </w:trPr>
        <w:tc>
          <w:tcPr>
            <w:tcW w:w="5480" w:type="dxa"/>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2014</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2013</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2012</w:t>
            </w:r>
          </w:p>
        </w:tc>
      </w:tr>
      <w:tr>
        <w:trPr>
          <w:trHeight w:val="330" w:hRule="exact"/>
        </w:trPr>
        <w:tc>
          <w:tcPr>
            <w:tcW w:w="5480" w:type="dxa"/>
          </w:tcPr>
          <w:p>
            <w:pPr>
              <w:pStyle w:val="TableParagraph"/>
              <w:spacing w:before="63"/>
              <w:ind w:left="60"/>
              <w:rPr>
                <w:b/>
                <w:sz w:val="20"/>
              </w:rPr>
            </w:pPr>
            <w:r>
              <w:rPr>
                <w:b/>
                <w:color w:val="231F20"/>
                <w:sz w:val="20"/>
              </w:rPr>
              <w:t>NUMERATOR:</w:t>
            </w:r>
          </w:p>
        </w:tc>
        <w:tc>
          <w:tcPr>
            <w:tcW w:w="1080" w:type="dxa"/>
            <w:tcBorders>
              <w:top w:val="single" w:sz="8" w:space="0" w:color="231F20"/>
            </w:tcBorders>
          </w:tcPr>
          <w:p>
            <w:pPr/>
          </w:p>
        </w:tc>
        <w:tc>
          <w:tcPr>
            <w:tcW w:w="200" w:type="dxa"/>
          </w:tcPr>
          <w:p>
            <w:pPr/>
          </w:p>
        </w:tc>
        <w:tc>
          <w:tcPr>
            <w:tcW w:w="1080" w:type="dxa"/>
            <w:tcBorders>
              <w:top w:val="single" w:sz="8" w:space="0" w:color="231F20"/>
            </w:tcBorders>
          </w:tcPr>
          <w:p>
            <w:pPr/>
          </w:p>
        </w:tc>
        <w:tc>
          <w:tcPr>
            <w:tcW w:w="200" w:type="dxa"/>
          </w:tcPr>
          <w:p>
            <w:pPr/>
          </w:p>
        </w:tc>
        <w:tc>
          <w:tcPr>
            <w:tcW w:w="1080" w:type="dxa"/>
            <w:tcBorders>
              <w:top w:val="single" w:sz="8" w:space="0" w:color="231F20"/>
            </w:tcBorders>
          </w:tcPr>
          <w:p>
            <w:pPr/>
          </w:p>
        </w:tc>
      </w:tr>
      <w:tr>
        <w:trPr>
          <w:trHeight w:val="300" w:hRule="exact"/>
        </w:trPr>
        <w:tc>
          <w:tcPr>
            <w:tcW w:w="5480" w:type="dxa"/>
            <w:shd w:val="clear" w:color="auto" w:fill="CCECFC"/>
          </w:tcPr>
          <w:p>
            <w:pPr>
              <w:pStyle w:val="TableParagraph"/>
              <w:ind w:left="260"/>
              <w:rPr>
                <w:sz w:val="20"/>
              </w:rPr>
            </w:pPr>
            <w:r>
              <w:rPr>
                <w:color w:val="231F20"/>
                <w:sz w:val="20"/>
              </w:rPr>
              <w:t>Net income</w:t>
            </w:r>
          </w:p>
        </w:tc>
        <w:tc>
          <w:tcPr>
            <w:tcW w:w="1080" w:type="dxa"/>
            <w:shd w:val="clear" w:color="auto" w:fill="CCECFC"/>
          </w:tcPr>
          <w:p>
            <w:pPr>
              <w:pStyle w:val="TableParagraph"/>
              <w:tabs>
                <w:tab w:pos="562" w:val="left" w:leader="none"/>
              </w:tabs>
              <w:ind w:right="66"/>
              <w:jc w:val="right"/>
              <w:rPr>
                <w:sz w:val="20"/>
              </w:rPr>
            </w:pPr>
            <w:r>
              <w:rPr>
                <w:color w:val="231F20"/>
                <w:sz w:val="20"/>
              </w:rPr>
              <w:t>$</w:t>
              <w:tab/>
              <w:t>1,136</w:t>
            </w:r>
          </w:p>
        </w:tc>
        <w:tc>
          <w:tcPr>
            <w:tcW w:w="200" w:type="dxa"/>
            <w:shd w:val="clear" w:color="auto" w:fill="CCECFC"/>
          </w:tcPr>
          <w:p>
            <w:pPr/>
          </w:p>
        </w:tc>
        <w:tc>
          <w:tcPr>
            <w:tcW w:w="1080" w:type="dxa"/>
            <w:shd w:val="clear" w:color="auto" w:fill="CCECFC"/>
          </w:tcPr>
          <w:p>
            <w:pPr>
              <w:pStyle w:val="TableParagraph"/>
              <w:tabs>
                <w:tab w:pos="712" w:val="left" w:leader="none"/>
              </w:tabs>
              <w:ind w:right="66"/>
              <w:jc w:val="right"/>
              <w:rPr>
                <w:sz w:val="20"/>
              </w:rPr>
            </w:pPr>
            <w:r>
              <w:rPr>
                <w:color w:val="231F20"/>
                <w:sz w:val="20"/>
              </w:rPr>
              <w:t>$</w:t>
              <w:tab/>
              <w:t>754</w:t>
            </w:r>
          </w:p>
        </w:tc>
        <w:tc>
          <w:tcPr>
            <w:tcW w:w="200" w:type="dxa"/>
            <w:shd w:val="clear" w:color="auto" w:fill="CCECFC"/>
          </w:tcPr>
          <w:p>
            <w:pPr/>
          </w:p>
        </w:tc>
        <w:tc>
          <w:tcPr>
            <w:tcW w:w="1080" w:type="dxa"/>
            <w:shd w:val="clear" w:color="auto" w:fill="CCECFC"/>
          </w:tcPr>
          <w:p>
            <w:pPr>
              <w:pStyle w:val="TableParagraph"/>
              <w:tabs>
                <w:tab w:pos="712" w:val="left" w:leader="none"/>
              </w:tabs>
              <w:ind w:right="66"/>
              <w:jc w:val="right"/>
              <w:rPr>
                <w:sz w:val="20"/>
              </w:rPr>
            </w:pPr>
            <w:r>
              <w:rPr>
                <w:color w:val="231F20"/>
                <w:sz w:val="20"/>
              </w:rPr>
              <w:t>$</w:t>
              <w:tab/>
              <w:t>421</w:t>
            </w:r>
          </w:p>
        </w:tc>
      </w:tr>
      <w:tr>
        <w:trPr>
          <w:trHeight w:val="555" w:hRule="exact"/>
        </w:trPr>
        <w:tc>
          <w:tcPr>
            <w:tcW w:w="5480" w:type="dxa"/>
          </w:tcPr>
          <w:p>
            <w:pPr>
              <w:pStyle w:val="TableParagraph"/>
              <w:ind w:left="260"/>
              <w:rPr>
                <w:sz w:val="20"/>
              </w:rPr>
            </w:pPr>
            <w:r>
              <w:rPr>
                <w:color w:val="231F20"/>
                <w:sz w:val="20"/>
              </w:rPr>
              <w:t>Incremental income effect of</w:t>
            </w:r>
          </w:p>
          <w:p>
            <w:pPr>
              <w:pStyle w:val="TableParagraph"/>
              <w:spacing w:before="9"/>
              <w:ind w:left="460"/>
              <w:rPr>
                <w:sz w:val="20"/>
              </w:rPr>
            </w:pPr>
            <w:r>
              <w:rPr>
                <w:color w:val="231F20"/>
                <w:sz w:val="20"/>
              </w:rPr>
              <w:t>interest on 5.25% convertible notes</w:t>
            </w:r>
          </w:p>
        </w:tc>
        <w:tc>
          <w:tcPr>
            <w:tcW w:w="1080" w:type="dxa"/>
            <w:tcBorders>
              <w:bottom w:val="single" w:sz="4" w:space="0" w:color="231F20"/>
            </w:tcBorders>
          </w:tcPr>
          <w:p>
            <w:pPr>
              <w:pStyle w:val="TableParagraph"/>
              <w:spacing w:before="5"/>
              <w:rPr>
                <w:b/>
                <w:sz w:val="25"/>
              </w:rPr>
            </w:pPr>
          </w:p>
          <w:p>
            <w:pPr>
              <w:pStyle w:val="TableParagraph"/>
              <w:spacing w:before="1"/>
              <w:ind w:right="64"/>
              <w:jc w:val="right"/>
              <w:rPr>
                <w:sz w:val="20"/>
              </w:rPr>
            </w:pPr>
            <w:r>
              <w:rPr>
                <w:color w:val="231F20"/>
                <w:sz w:val="20"/>
              </w:rPr>
              <w:t>4</w:t>
            </w:r>
          </w:p>
        </w:tc>
        <w:tc>
          <w:tcPr>
            <w:tcW w:w="200" w:type="dxa"/>
          </w:tcPr>
          <w:p>
            <w:pPr/>
          </w:p>
        </w:tc>
        <w:tc>
          <w:tcPr>
            <w:tcW w:w="1080" w:type="dxa"/>
            <w:tcBorders>
              <w:bottom w:val="single" w:sz="4" w:space="0" w:color="231F20"/>
            </w:tcBorders>
          </w:tcPr>
          <w:p>
            <w:pPr>
              <w:pStyle w:val="TableParagraph"/>
              <w:spacing w:before="5"/>
              <w:rPr>
                <w:b/>
                <w:sz w:val="25"/>
              </w:rPr>
            </w:pPr>
          </w:p>
          <w:p>
            <w:pPr>
              <w:pStyle w:val="TableParagraph"/>
              <w:spacing w:before="1"/>
              <w:ind w:right="64"/>
              <w:jc w:val="right"/>
              <w:rPr>
                <w:sz w:val="20"/>
              </w:rPr>
            </w:pPr>
            <w:r>
              <w:rPr>
                <w:color w:val="231F20"/>
                <w:sz w:val="20"/>
              </w:rPr>
              <w:t>3</w:t>
            </w:r>
          </w:p>
        </w:tc>
        <w:tc>
          <w:tcPr>
            <w:tcW w:w="200" w:type="dxa"/>
          </w:tcPr>
          <w:p>
            <w:pPr/>
          </w:p>
        </w:tc>
        <w:tc>
          <w:tcPr>
            <w:tcW w:w="1080" w:type="dxa"/>
            <w:tcBorders>
              <w:bottom w:val="single" w:sz="4" w:space="0" w:color="231F20"/>
            </w:tcBorders>
          </w:tcPr>
          <w:p>
            <w:pPr>
              <w:pStyle w:val="TableParagraph"/>
              <w:spacing w:before="5"/>
              <w:rPr>
                <w:b/>
                <w:sz w:val="25"/>
              </w:rPr>
            </w:pPr>
          </w:p>
          <w:p>
            <w:pPr>
              <w:pStyle w:val="TableParagraph"/>
              <w:spacing w:before="1"/>
              <w:ind w:right="64"/>
              <w:jc w:val="right"/>
              <w:rPr>
                <w:sz w:val="20"/>
              </w:rPr>
            </w:pPr>
            <w:r>
              <w:rPr>
                <w:color w:val="231F20"/>
                <w:sz w:val="20"/>
              </w:rPr>
              <w:t>3</w:t>
            </w:r>
          </w:p>
        </w:tc>
      </w:tr>
      <w:tr>
        <w:trPr>
          <w:trHeight w:val="320" w:hRule="exact"/>
        </w:trPr>
        <w:tc>
          <w:tcPr>
            <w:tcW w:w="5480" w:type="dxa"/>
            <w:shd w:val="clear" w:color="auto" w:fill="CCECFC"/>
          </w:tcPr>
          <w:p>
            <w:pPr>
              <w:pStyle w:val="TableParagraph"/>
              <w:ind w:left="260"/>
              <w:rPr>
                <w:sz w:val="20"/>
              </w:rPr>
            </w:pPr>
            <w:r>
              <w:rPr>
                <w:color w:val="231F20"/>
                <w:sz w:val="20"/>
              </w:rPr>
              <w:t>Net income after assumed conversion</w:t>
            </w:r>
          </w:p>
        </w:tc>
        <w:tc>
          <w:tcPr>
            <w:tcW w:w="1080" w:type="dxa"/>
            <w:tcBorders>
              <w:top w:val="single" w:sz="4" w:space="0" w:color="231F20"/>
              <w:bottom w:val="single" w:sz="4" w:space="0" w:color="231F20"/>
            </w:tcBorders>
            <w:shd w:val="clear" w:color="auto" w:fill="CCECFC"/>
          </w:tcPr>
          <w:p>
            <w:pPr>
              <w:pStyle w:val="TableParagraph"/>
              <w:tabs>
                <w:tab w:pos="562" w:val="left" w:leader="none"/>
              </w:tabs>
              <w:ind w:right="64"/>
              <w:jc w:val="right"/>
              <w:rPr>
                <w:sz w:val="20"/>
              </w:rPr>
            </w:pPr>
            <w:r>
              <w:rPr>
                <w:color w:val="231F20"/>
                <w:sz w:val="20"/>
              </w:rPr>
              <w:t>$</w:t>
              <w:tab/>
              <w:t>1,140</w:t>
            </w:r>
          </w:p>
        </w:tc>
        <w:tc>
          <w:tcPr>
            <w:tcW w:w="20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712" w:val="left" w:leader="none"/>
              </w:tabs>
              <w:ind w:right="64"/>
              <w:jc w:val="right"/>
              <w:rPr>
                <w:sz w:val="20"/>
              </w:rPr>
            </w:pPr>
            <w:r>
              <w:rPr>
                <w:color w:val="231F20"/>
                <w:sz w:val="20"/>
              </w:rPr>
              <w:t>$</w:t>
              <w:tab/>
              <w:t>757</w:t>
            </w:r>
          </w:p>
        </w:tc>
        <w:tc>
          <w:tcPr>
            <w:tcW w:w="20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712" w:val="left" w:leader="none"/>
              </w:tabs>
              <w:spacing w:before="48"/>
              <w:ind w:right="64"/>
              <w:jc w:val="right"/>
              <w:rPr>
                <w:sz w:val="20"/>
              </w:rPr>
            </w:pPr>
            <w:r>
              <w:rPr>
                <w:color w:val="231F20"/>
                <w:sz w:val="20"/>
              </w:rPr>
              <w:t>$</w:t>
              <w:tab/>
              <w:t>424</w:t>
            </w:r>
          </w:p>
        </w:tc>
      </w:tr>
    </w:tbl>
    <w:p>
      <w:pPr>
        <w:pStyle w:val="BodyText"/>
        <w:spacing w:before="3"/>
        <w:rPr>
          <w:b/>
          <w:sz w:val="30"/>
        </w:rPr>
      </w:pPr>
    </w:p>
    <w:p>
      <w:pPr>
        <w:tabs>
          <w:tab w:pos="9219" w:val="left" w:leader="none"/>
        </w:tabs>
        <w:spacing w:before="0"/>
        <w:ind w:left="100" w:right="0" w:firstLine="0"/>
        <w:jc w:val="left"/>
        <w:rPr>
          <w:b/>
          <w:sz w:val="20"/>
        </w:rPr>
      </w:pPr>
      <w:r>
        <w:rPr/>
        <w:pict>
          <v:group style="position:absolute;margin-left:69pt;margin-top:27.835938pt;width:456.25pt;height:27.5pt;mso-position-horizontal-relative:page;mso-position-vertical-relative:paragraph;z-index:-405856" coordorigin="1380,557" coordsize="9125,550">
            <v:rect style="position:absolute;left:1380;top:567;width:9120;height:540" filled="true" fillcolor="#ccecfc" stroked="false">
              <v:fill type="solid"/>
            </v:rect>
            <v:line style="position:absolute" from="9420,562" to="10500,562" stroked="true" strokeweight=".5pt" strokecolor="#231f20">
              <v:stroke dashstyle="solid"/>
            </v:line>
            <w10:wrap type="none"/>
          </v:group>
        </w:pict>
      </w:r>
      <w:r>
        <w:rPr>
          <w:b/>
          <w:color w:val="231F20"/>
          <w:spacing w:val="10"/>
          <w:sz w:val="20"/>
          <w:shd w:fill="CCECFC" w:color="auto" w:val="clear"/>
        </w:rPr>
        <w:t> </w:t>
      </w:r>
      <w:r>
        <w:rPr>
          <w:b/>
          <w:color w:val="231F20"/>
          <w:sz w:val="20"/>
          <w:shd w:fill="CCECFC" w:color="auto" w:val="clear"/>
        </w:rPr>
        <w:t>DENOMINATOR:</w:t>
        <w:tab/>
      </w:r>
    </w:p>
    <w:p>
      <w:pPr>
        <w:pStyle w:val="BodyText"/>
        <w:spacing w:before="7"/>
        <w:rPr>
          <w:b/>
          <w:sz w:val="6"/>
        </w:rPr>
      </w:pPr>
    </w:p>
    <w:tbl>
      <w:tblPr>
        <w:tblW w:w="0" w:type="auto"/>
        <w:jc w:val="left"/>
        <w:tblInd w:w="3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70"/>
        <w:gridCol w:w="1080"/>
        <w:gridCol w:w="200"/>
        <w:gridCol w:w="1080"/>
        <w:gridCol w:w="1280"/>
      </w:tblGrid>
      <w:tr>
        <w:trPr>
          <w:trHeight w:val="255" w:hRule="exact"/>
        </w:trPr>
        <w:tc>
          <w:tcPr>
            <w:tcW w:w="5270" w:type="dxa"/>
          </w:tcPr>
          <w:p>
            <w:pPr>
              <w:pStyle w:val="TableParagraph"/>
              <w:spacing w:line="223" w:lineRule="exact" w:before="0"/>
              <w:ind w:left="50"/>
              <w:rPr>
                <w:sz w:val="20"/>
              </w:rPr>
            </w:pPr>
            <w:r>
              <w:rPr>
                <w:color w:val="231F20"/>
                <w:sz w:val="20"/>
              </w:rPr>
              <w:t>Weighted-average shares outstanding, basic</w:t>
            </w:r>
          </w:p>
        </w:tc>
        <w:tc>
          <w:tcPr>
            <w:tcW w:w="1080" w:type="dxa"/>
            <w:tcBorders>
              <w:bottom w:val="single" w:sz="4" w:space="0" w:color="231F20"/>
            </w:tcBorders>
          </w:tcPr>
          <w:p>
            <w:pPr>
              <w:pStyle w:val="TableParagraph"/>
              <w:spacing w:line="223" w:lineRule="exact" w:before="0"/>
              <w:ind w:right="64"/>
              <w:jc w:val="right"/>
              <w:rPr>
                <w:sz w:val="20"/>
              </w:rPr>
            </w:pPr>
            <w:r>
              <w:rPr>
                <w:color w:val="231F20"/>
                <w:sz w:val="20"/>
              </w:rPr>
              <w:t>687</w:t>
            </w:r>
          </w:p>
        </w:tc>
        <w:tc>
          <w:tcPr>
            <w:tcW w:w="200" w:type="dxa"/>
          </w:tcPr>
          <w:p>
            <w:pPr/>
          </w:p>
        </w:tc>
        <w:tc>
          <w:tcPr>
            <w:tcW w:w="1080" w:type="dxa"/>
            <w:tcBorders>
              <w:bottom w:val="single" w:sz="4" w:space="0" w:color="231F20"/>
            </w:tcBorders>
          </w:tcPr>
          <w:p>
            <w:pPr>
              <w:pStyle w:val="TableParagraph"/>
              <w:spacing w:line="223" w:lineRule="exact" w:before="0"/>
              <w:ind w:right="64"/>
              <w:jc w:val="right"/>
              <w:rPr>
                <w:sz w:val="20"/>
              </w:rPr>
            </w:pPr>
            <w:r>
              <w:rPr>
                <w:color w:val="231F20"/>
                <w:sz w:val="20"/>
              </w:rPr>
              <w:t>710</w:t>
            </w:r>
          </w:p>
        </w:tc>
        <w:tc>
          <w:tcPr>
            <w:tcW w:w="1280" w:type="dxa"/>
          </w:tcPr>
          <w:p>
            <w:pPr>
              <w:pStyle w:val="TableParagraph"/>
              <w:spacing w:line="223" w:lineRule="exact" w:before="0"/>
              <w:ind w:right="64"/>
              <w:jc w:val="right"/>
              <w:rPr>
                <w:sz w:val="20"/>
              </w:rPr>
            </w:pPr>
            <w:r>
              <w:rPr>
                <w:color w:val="231F20"/>
                <w:sz w:val="20"/>
              </w:rPr>
              <w:t>750</w:t>
            </w:r>
          </w:p>
        </w:tc>
      </w:tr>
      <w:tr>
        <w:trPr>
          <w:trHeight w:val="545" w:hRule="exact"/>
        </w:trPr>
        <w:tc>
          <w:tcPr>
            <w:tcW w:w="5270" w:type="dxa"/>
            <w:shd w:val="clear" w:color="auto" w:fill="CCECFC"/>
          </w:tcPr>
          <w:p>
            <w:pPr>
              <w:pStyle w:val="TableParagraph"/>
              <w:spacing w:line="249" w:lineRule="auto" w:before="58"/>
              <w:ind w:left="250" w:right="1512" w:hanging="200"/>
              <w:rPr>
                <w:sz w:val="20"/>
              </w:rPr>
            </w:pPr>
            <w:r>
              <w:rPr>
                <w:color w:val="231F20"/>
                <w:sz w:val="20"/>
              </w:rPr>
              <w:t>Dilutive effect of Employee stock options and restricted stock units</w:t>
            </w:r>
          </w:p>
        </w:tc>
        <w:tc>
          <w:tcPr>
            <w:tcW w:w="1080" w:type="dxa"/>
            <w:tcBorders>
              <w:top w:val="single" w:sz="4" w:space="0" w:color="231F20"/>
            </w:tcBorders>
            <w:shd w:val="clear" w:color="auto" w:fill="CCECFC"/>
          </w:tcPr>
          <w:p>
            <w:pPr>
              <w:pStyle w:val="TableParagraph"/>
              <w:spacing w:before="5"/>
              <w:rPr>
                <w:b/>
                <w:sz w:val="25"/>
              </w:rPr>
            </w:pPr>
          </w:p>
          <w:p>
            <w:pPr>
              <w:pStyle w:val="TableParagraph"/>
              <w:spacing w:before="1"/>
              <w:ind w:right="66"/>
              <w:jc w:val="right"/>
              <w:rPr>
                <w:sz w:val="20"/>
              </w:rPr>
            </w:pPr>
            <w:r>
              <w:rPr>
                <w:color w:val="231F20"/>
                <w:sz w:val="20"/>
              </w:rPr>
              <w:t>3</w:t>
            </w:r>
          </w:p>
        </w:tc>
        <w:tc>
          <w:tcPr>
            <w:tcW w:w="200" w:type="dxa"/>
            <w:shd w:val="clear" w:color="auto" w:fill="CCECFC"/>
          </w:tcPr>
          <w:p>
            <w:pPr/>
          </w:p>
        </w:tc>
        <w:tc>
          <w:tcPr>
            <w:tcW w:w="1080" w:type="dxa"/>
            <w:tcBorders>
              <w:top w:val="single" w:sz="4" w:space="0" w:color="231F20"/>
            </w:tcBorders>
            <w:shd w:val="clear" w:color="auto" w:fill="CCECFC"/>
          </w:tcPr>
          <w:p>
            <w:pPr>
              <w:pStyle w:val="TableParagraph"/>
              <w:spacing w:before="5"/>
              <w:rPr>
                <w:b/>
                <w:sz w:val="25"/>
              </w:rPr>
            </w:pPr>
          </w:p>
          <w:p>
            <w:pPr>
              <w:pStyle w:val="TableParagraph"/>
              <w:spacing w:before="1"/>
              <w:ind w:right="66"/>
              <w:jc w:val="right"/>
              <w:rPr>
                <w:sz w:val="20"/>
              </w:rPr>
            </w:pPr>
            <w:r>
              <w:rPr>
                <w:color w:val="231F20"/>
                <w:sz w:val="20"/>
              </w:rPr>
              <w:t>2</w:t>
            </w:r>
          </w:p>
        </w:tc>
        <w:tc>
          <w:tcPr>
            <w:tcW w:w="1280" w:type="dxa"/>
            <w:shd w:val="clear" w:color="auto" w:fill="CCECFC"/>
          </w:tcPr>
          <w:p>
            <w:pPr>
              <w:pStyle w:val="TableParagraph"/>
              <w:spacing w:before="10"/>
              <w:rPr>
                <w:b/>
                <w:sz w:val="25"/>
              </w:rPr>
            </w:pPr>
          </w:p>
          <w:p>
            <w:pPr>
              <w:pStyle w:val="TableParagraph"/>
              <w:spacing w:before="1"/>
              <w:ind w:right="66"/>
              <w:jc w:val="right"/>
              <w:rPr>
                <w:sz w:val="20"/>
              </w:rPr>
            </w:pPr>
            <w:r>
              <w:rPr>
                <w:color w:val="231F20"/>
                <w:sz w:val="20"/>
              </w:rPr>
              <w:t>1</w:t>
            </w:r>
          </w:p>
        </w:tc>
      </w:tr>
      <w:tr>
        <w:trPr>
          <w:trHeight w:val="315" w:hRule="exact"/>
        </w:trPr>
        <w:tc>
          <w:tcPr>
            <w:tcW w:w="5270" w:type="dxa"/>
          </w:tcPr>
          <w:p>
            <w:pPr>
              <w:pStyle w:val="TableParagraph"/>
              <w:ind w:left="50"/>
              <w:rPr>
                <w:sz w:val="20"/>
              </w:rPr>
            </w:pPr>
            <w:r>
              <w:rPr>
                <w:color w:val="231F20"/>
                <w:sz w:val="20"/>
              </w:rPr>
              <w:t>Dilutive effect of 5.25% convertible notes</w:t>
            </w:r>
          </w:p>
        </w:tc>
        <w:tc>
          <w:tcPr>
            <w:tcW w:w="1080" w:type="dxa"/>
            <w:tcBorders>
              <w:bottom w:val="single" w:sz="4" w:space="0" w:color="231F20"/>
            </w:tcBorders>
          </w:tcPr>
          <w:p>
            <w:pPr>
              <w:pStyle w:val="TableParagraph"/>
              <w:ind w:right="64"/>
              <w:jc w:val="right"/>
              <w:rPr>
                <w:sz w:val="20"/>
              </w:rPr>
            </w:pPr>
            <w:r>
              <w:rPr>
                <w:color w:val="231F20"/>
                <w:sz w:val="20"/>
              </w:rPr>
              <w:t>6</w:t>
            </w:r>
          </w:p>
        </w:tc>
        <w:tc>
          <w:tcPr>
            <w:tcW w:w="200" w:type="dxa"/>
          </w:tcPr>
          <w:p>
            <w:pPr/>
          </w:p>
        </w:tc>
        <w:tc>
          <w:tcPr>
            <w:tcW w:w="1080" w:type="dxa"/>
            <w:tcBorders>
              <w:bottom w:val="single" w:sz="4" w:space="0" w:color="231F20"/>
            </w:tcBorders>
          </w:tcPr>
          <w:p>
            <w:pPr>
              <w:pStyle w:val="TableParagraph"/>
              <w:ind w:right="64"/>
              <w:jc w:val="right"/>
              <w:rPr>
                <w:sz w:val="20"/>
              </w:rPr>
            </w:pPr>
            <w:r>
              <w:rPr>
                <w:color w:val="231F20"/>
                <w:sz w:val="20"/>
              </w:rPr>
              <w:t>6</w:t>
            </w:r>
          </w:p>
        </w:tc>
        <w:tc>
          <w:tcPr>
            <w:tcW w:w="1280" w:type="dxa"/>
          </w:tcPr>
          <w:p>
            <w:pPr>
              <w:pStyle w:val="TableParagraph"/>
              <w:ind w:right="64"/>
              <w:jc w:val="right"/>
              <w:rPr>
                <w:sz w:val="20"/>
              </w:rPr>
            </w:pPr>
            <w:r>
              <w:rPr>
                <w:color w:val="231F20"/>
                <w:sz w:val="20"/>
              </w:rPr>
              <w:t>6</w:t>
            </w:r>
          </w:p>
        </w:tc>
      </w:tr>
      <w:tr>
        <w:trPr>
          <w:trHeight w:val="320" w:hRule="exact"/>
        </w:trPr>
        <w:tc>
          <w:tcPr>
            <w:tcW w:w="5270" w:type="dxa"/>
            <w:shd w:val="clear" w:color="auto" w:fill="CCECFC"/>
          </w:tcPr>
          <w:p>
            <w:pPr>
              <w:pStyle w:val="TableParagraph"/>
              <w:spacing w:before="58"/>
              <w:ind w:left="50"/>
              <w:rPr>
                <w:sz w:val="20"/>
              </w:rPr>
            </w:pPr>
            <w:r>
              <w:rPr>
                <w:color w:val="231F20"/>
                <w:sz w:val="20"/>
              </w:rPr>
              <w:t>Adjusted weighted-average shares outstanding, diluted</w:t>
            </w:r>
          </w:p>
        </w:tc>
        <w:tc>
          <w:tcPr>
            <w:tcW w:w="1080" w:type="dxa"/>
            <w:tcBorders>
              <w:top w:val="single" w:sz="4" w:space="0" w:color="231F20"/>
              <w:bottom w:val="single" w:sz="4" w:space="0" w:color="231F20"/>
            </w:tcBorders>
            <w:shd w:val="clear" w:color="auto" w:fill="CCECFC"/>
          </w:tcPr>
          <w:p>
            <w:pPr>
              <w:pStyle w:val="TableParagraph"/>
              <w:ind w:right="64"/>
              <w:jc w:val="right"/>
              <w:rPr>
                <w:sz w:val="20"/>
              </w:rPr>
            </w:pPr>
            <w:r>
              <w:rPr>
                <w:color w:val="231F20"/>
                <w:sz w:val="20"/>
              </w:rPr>
              <w:t>696</w:t>
            </w:r>
          </w:p>
        </w:tc>
        <w:tc>
          <w:tcPr>
            <w:tcW w:w="20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ind w:right="64"/>
              <w:jc w:val="right"/>
              <w:rPr>
                <w:sz w:val="20"/>
              </w:rPr>
            </w:pPr>
            <w:r>
              <w:rPr>
                <w:color w:val="231F20"/>
                <w:sz w:val="20"/>
              </w:rPr>
              <w:t>718</w:t>
            </w:r>
          </w:p>
        </w:tc>
        <w:tc>
          <w:tcPr>
            <w:tcW w:w="1280" w:type="dxa"/>
            <w:shd w:val="clear" w:color="auto" w:fill="CCECFC"/>
          </w:tcPr>
          <w:p>
            <w:pPr>
              <w:pStyle w:val="TableParagraph"/>
              <w:spacing w:before="58"/>
              <w:ind w:right="64"/>
              <w:jc w:val="right"/>
              <w:rPr>
                <w:sz w:val="20"/>
              </w:rPr>
            </w:pPr>
            <w:r>
              <w:rPr>
                <w:color w:val="231F20"/>
                <w:sz w:val="20"/>
              </w:rPr>
              <w:t>757</w:t>
            </w:r>
          </w:p>
        </w:tc>
      </w:tr>
    </w:tbl>
    <w:p>
      <w:pPr>
        <w:pStyle w:val="BodyText"/>
        <w:spacing w:before="3"/>
        <w:rPr>
          <w:b/>
          <w:sz w:val="30"/>
        </w:rPr>
      </w:pPr>
    </w:p>
    <w:p>
      <w:pPr>
        <w:tabs>
          <w:tab w:pos="9219" w:val="left" w:leader="none"/>
        </w:tabs>
        <w:spacing w:before="1"/>
        <w:ind w:left="100" w:right="0" w:firstLine="0"/>
        <w:jc w:val="left"/>
        <w:rPr>
          <w:b/>
          <w:sz w:val="20"/>
        </w:rPr>
      </w:pPr>
      <w:r>
        <w:rPr/>
        <w:pict>
          <v:group style="position:absolute;margin-left:69pt;margin-top:-34.114063pt;width:456.25pt;height:16.5pt;mso-position-horizontal-relative:page;mso-position-vertical-relative:paragraph;z-index:-405832" coordorigin="1380,-682" coordsize="9125,330">
            <v:rect style="position:absolute;left:1380;top:-672;width:9120;height:300" filled="true" fillcolor="#ccecfc" stroked="false">
              <v:fill type="solid"/>
            </v:rect>
            <v:line style="position:absolute" from="9420,-677" to="10500,-677" stroked="true" strokeweight=".5pt" strokecolor="#231f20">
              <v:stroke dashstyle="solid"/>
            </v:line>
            <v:line style="position:absolute" from="9420,-357" to="10500,-357" stroked="true" strokeweight=".5pt" strokecolor="#231f20">
              <v:stroke dashstyle="solid"/>
            </v:line>
            <w10:wrap type="none"/>
          </v:group>
        </w:pict>
      </w:r>
      <w:r>
        <w:rPr/>
        <w:pict>
          <v:group style="position:absolute;margin-left:69pt;margin-top:27.885937pt;width:456.25pt;height:18.5pt;mso-position-horizontal-relative:page;mso-position-vertical-relative:paragraph;z-index:-405808" coordorigin="1380,558" coordsize="9125,370">
            <v:rect style="position:absolute;left:1380;top:608;width:9120;height:300" filled="true" fillcolor="#ccecfc" stroked="false">
              <v:fill type="solid"/>
            </v:rect>
            <v:line style="position:absolute" from="6860,563" to="7940,563" stroked="true" strokeweight=".5pt" strokecolor="#231f20">
              <v:stroke dashstyle="solid"/>
            </v:line>
            <v:line style="position:absolute" from="8140,563" to="9220,563" stroked="true" strokeweight=".5pt" strokecolor="#231f20">
              <v:stroke dashstyle="solid"/>
            </v:line>
            <v:line style="position:absolute" from="9420,563" to="10500,563" stroked="true" strokeweight=".5pt" strokecolor="#231f20">
              <v:stroke dashstyle="solid"/>
            </v:line>
            <v:line style="position:absolute" from="9420,603" to="10500,603" stroked="true" strokeweight=".5pt" strokecolor="#231f20">
              <v:stroke dashstyle="solid"/>
            </v:line>
            <v:line style="position:absolute" from="6860,923" to="7940,923" stroked="true" strokeweight=".5pt" strokecolor="#231f20">
              <v:stroke dashstyle="solid"/>
            </v:line>
            <v:line style="position:absolute" from="8140,923" to="9220,923" stroked="true" strokeweight=".5pt" strokecolor="#231f20">
              <v:stroke dashstyle="solid"/>
            </v:line>
            <v:line style="position:absolute" from="9420,923" to="10500,923" stroked="true" strokeweight=".5pt" strokecolor="#231f20">
              <v:stroke dashstyle="solid"/>
            </v:line>
            <w10:wrap type="none"/>
          </v:group>
        </w:pict>
      </w:r>
      <w:r>
        <w:rPr>
          <w:b/>
          <w:color w:val="231F20"/>
          <w:spacing w:val="10"/>
          <w:sz w:val="20"/>
          <w:shd w:fill="CCECFC" w:color="auto" w:val="clear"/>
        </w:rPr>
        <w:t> </w:t>
      </w:r>
      <w:r>
        <w:rPr>
          <w:b/>
          <w:color w:val="231F20"/>
          <w:sz w:val="20"/>
          <w:shd w:fill="CCECFC" w:color="auto" w:val="clear"/>
        </w:rPr>
        <w:t>NET INCOME PER</w:t>
      </w:r>
      <w:r>
        <w:rPr>
          <w:b/>
          <w:color w:val="231F20"/>
          <w:spacing w:val="-4"/>
          <w:sz w:val="20"/>
          <w:shd w:fill="CCECFC" w:color="auto" w:val="clear"/>
        </w:rPr>
        <w:t> </w:t>
      </w:r>
      <w:r>
        <w:rPr>
          <w:b/>
          <w:color w:val="231F20"/>
          <w:sz w:val="20"/>
          <w:shd w:fill="CCECFC" w:color="auto" w:val="clear"/>
        </w:rPr>
        <w:t>SHARE:</w:t>
        <w:tab/>
      </w:r>
    </w:p>
    <w:p>
      <w:pPr>
        <w:pStyle w:val="BodyText"/>
        <w:spacing w:before="8"/>
        <w:rPr>
          <w:b/>
          <w:sz w:val="6"/>
        </w:rPr>
      </w:pPr>
    </w:p>
    <w:tbl>
      <w:tblPr>
        <w:tblW w:w="0" w:type="auto"/>
        <w:jc w:val="left"/>
        <w:tblInd w:w="3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70"/>
        <w:gridCol w:w="1080"/>
        <w:gridCol w:w="200"/>
        <w:gridCol w:w="1080"/>
        <w:gridCol w:w="200"/>
        <w:gridCol w:w="1080"/>
      </w:tblGrid>
      <w:tr>
        <w:trPr>
          <w:trHeight w:val="295" w:hRule="exact"/>
        </w:trPr>
        <w:tc>
          <w:tcPr>
            <w:tcW w:w="5270" w:type="dxa"/>
          </w:tcPr>
          <w:p>
            <w:pPr>
              <w:pStyle w:val="TableParagraph"/>
              <w:spacing w:line="223" w:lineRule="exact" w:before="0"/>
              <w:ind w:left="50"/>
              <w:rPr>
                <w:sz w:val="20"/>
              </w:rPr>
            </w:pPr>
            <w:r>
              <w:rPr>
                <w:color w:val="231F20"/>
                <w:sz w:val="20"/>
              </w:rPr>
              <w:t>Basic</w:t>
            </w:r>
          </w:p>
        </w:tc>
        <w:tc>
          <w:tcPr>
            <w:tcW w:w="1080" w:type="dxa"/>
            <w:tcBorders>
              <w:bottom w:val="single" w:sz="4" w:space="0" w:color="231F20"/>
            </w:tcBorders>
          </w:tcPr>
          <w:p>
            <w:pPr>
              <w:pStyle w:val="TableParagraph"/>
              <w:tabs>
                <w:tab w:pos="662" w:val="left" w:leader="none"/>
              </w:tabs>
              <w:spacing w:line="223" w:lineRule="exact" w:before="0"/>
              <w:rPr>
                <w:sz w:val="20"/>
              </w:rPr>
            </w:pPr>
            <w:r>
              <w:rPr>
                <w:color w:val="231F20"/>
                <w:sz w:val="20"/>
              </w:rPr>
              <w:t>$</w:t>
              <w:tab/>
              <w:t>1.65</w:t>
            </w:r>
          </w:p>
        </w:tc>
        <w:tc>
          <w:tcPr>
            <w:tcW w:w="200" w:type="dxa"/>
          </w:tcPr>
          <w:p>
            <w:pPr/>
          </w:p>
        </w:tc>
        <w:tc>
          <w:tcPr>
            <w:tcW w:w="1080" w:type="dxa"/>
            <w:tcBorders>
              <w:bottom w:val="single" w:sz="4" w:space="0" w:color="231F20"/>
            </w:tcBorders>
          </w:tcPr>
          <w:p>
            <w:pPr>
              <w:pStyle w:val="TableParagraph"/>
              <w:tabs>
                <w:tab w:pos="662" w:val="left" w:leader="none"/>
              </w:tabs>
              <w:spacing w:line="223" w:lineRule="exact" w:before="0"/>
              <w:rPr>
                <w:sz w:val="20"/>
              </w:rPr>
            </w:pPr>
            <w:r>
              <w:rPr>
                <w:color w:val="231F20"/>
                <w:sz w:val="20"/>
              </w:rPr>
              <w:t>$</w:t>
              <w:tab/>
              <w:t>1.06</w:t>
            </w:r>
          </w:p>
        </w:tc>
        <w:tc>
          <w:tcPr>
            <w:tcW w:w="200" w:type="dxa"/>
          </w:tcPr>
          <w:p>
            <w:pPr/>
          </w:p>
        </w:tc>
        <w:tc>
          <w:tcPr>
            <w:tcW w:w="1080" w:type="dxa"/>
          </w:tcPr>
          <w:p>
            <w:pPr>
              <w:pStyle w:val="TableParagraph"/>
              <w:tabs>
                <w:tab w:pos="662" w:val="left" w:leader="none"/>
              </w:tabs>
              <w:spacing w:line="223" w:lineRule="exact" w:before="0"/>
              <w:rPr>
                <w:sz w:val="20"/>
              </w:rPr>
            </w:pPr>
            <w:r>
              <w:rPr>
                <w:color w:val="231F20"/>
                <w:sz w:val="20"/>
              </w:rPr>
              <w:t>$</w:t>
              <w:tab/>
              <w:t>0.56</w:t>
            </w:r>
          </w:p>
        </w:tc>
      </w:tr>
      <w:tr>
        <w:trPr>
          <w:trHeight w:val="360" w:hRule="exact"/>
        </w:trPr>
        <w:tc>
          <w:tcPr>
            <w:tcW w:w="5270" w:type="dxa"/>
            <w:shd w:val="clear" w:color="auto" w:fill="CCECFC"/>
          </w:tcPr>
          <w:p>
            <w:pPr>
              <w:pStyle w:val="TableParagraph"/>
              <w:spacing w:before="58"/>
              <w:ind w:left="50"/>
              <w:rPr>
                <w:sz w:val="20"/>
              </w:rPr>
            </w:pPr>
            <w:r>
              <w:rPr>
                <w:color w:val="231F20"/>
                <w:sz w:val="20"/>
              </w:rPr>
              <w:t>Diluted</w:t>
            </w:r>
          </w:p>
        </w:tc>
        <w:tc>
          <w:tcPr>
            <w:tcW w:w="1080" w:type="dxa"/>
            <w:tcBorders>
              <w:top w:val="single" w:sz="4" w:space="0" w:color="231F20"/>
              <w:bottom w:val="single" w:sz="4" w:space="0" w:color="231F20"/>
            </w:tcBorders>
            <w:shd w:val="clear" w:color="auto" w:fill="CCECFC"/>
          </w:tcPr>
          <w:p>
            <w:pPr>
              <w:pStyle w:val="TableParagraph"/>
              <w:tabs>
                <w:tab w:pos="662" w:val="left" w:leader="none"/>
              </w:tabs>
              <w:rPr>
                <w:sz w:val="20"/>
              </w:rPr>
            </w:pPr>
            <w:r>
              <w:rPr>
                <w:color w:val="231F20"/>
                <w:sz w:val="20"/>
              </w:rPr>
              <w:t>$</w:t>
              <w:tab/>
              <w:t>1.64</w:t>
            </w:r>
          </w:p>
        </w:tc>
        <w:tc>
          <w:tcPr>
            <w:tcW w:w="20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662" w:val="left" w:leader="none"/>
              </w:tabs>
              <w:rPr>
                <w:sz w:val="20"/>
              </w:rPr>
            </w:pPr>
            <w:r>
              <w:rPr>
                <w:color w:val="231F20"/>
                <w:sz w:val="20"/>
              </w:rPr>
              <w:t>$</w:t>
              <w:tab/>
              <w:t>1.05</w:t>
            </w:r>
          </w:p>
        </w:tc>
        <w:tc>
          <w:tcPr>
            <w:tcW w:w="200" w:type="dxa"/>
            <w:shd w:val="clear" w:color="auto" w:fill="CCECFC"/>
          </w:tcPr>
          <w:p>
            <w:pPr/>
          </w:p>
        </w:tc>
        <w:tc>
          <w:tcPr>
            <w:tcW w:w="1080" w:type="dxa"/>
            <w:tcBorders>
              <w:bottom w:val="single" w:sz="4" w:space="0" w:color="231F20"/>
            </w:tcBorders>
            <w:shd w:val="clear" w:color="auto" w:fill="CCECFC"/>
          </w:tcPr>
          <w:p>
            <w:pPr>
              <w:pStyle w:val="TableParagraph"/>
              <w:tabs>
                <w:tab w:pos="662" w:val="left" w:leader="none"/>
              </w:tabs>
              <w:spacing w:before="58"/>
              <w:rPr>
                <w:sz w:val="20"/>
              </w:rPr>
            </w:pPr>
            <w:r>
              <w:rPr>
                <w:color w:val="231F20"/>
                <w:sz w:val="20"/>
              </w:rPr>
              <w:t>$</w:t>
              <w:tab/>
              <w:t>0.56</w:t>
            </w:r>
          </w:p>
        </w:tc>
      </w:tr>
    </w:tbl>
    <w:p>
      <w:pPr>
        <w:pStyle w:val="BodyText"/>
        <w:spacing w:before="3"/>
        <w:rPr>
          <w:b/>
          <w:sz w:val="30"/>
        </w:rPr>
      </w:pPr>
    </w:p>
    <w:p>
      <w:pPr>
        <w:tabs>
          <w:tab w:pos="6392" w:val="left" w:leader="none"/>
          <w:tab w:pos="7772" w:val="left" w:leader="none"/>
          <w:tab w:pos="9152" w:val="right" w:leader="none"/>
          <w:tab w:pos="9219" w:val="left" w:leader="none"/>
        </w:tabs>
        <w:spacing w:line="312" w:lineRule="auto" w:before="0"/>
        <w:ind w:left="360" w:right="118" w:hanging="260"/>
        <w:jc w:val="left"/>
        <w:rPr>
          <w:sz w:val="20"/>
        </w:rPr>
      </w:pPr>
      <w:r>
        <w:rPr>
          <w:color w:val="231F20"/>
          <w:spacing w:val="10"/>
          <w:sz w:val="20"/>
          <w:shd w:fill="CCECFC" w:color="auto" w:val="clear"/>
        </w:rPr>
        <w:t> </w:t>
      </w:r>
      <w:r>
        <w:rPr>
          <w:color w:val="231F20"/>
          <w:sz w:val="20"/>
          <w:shd w:fill="CCECFC" w:color="auto" w:val="clear"/>
        </w:rPr>
        <w:t>Potentially dilutive amounts excluded</w:t>
      </w:r>
      <w:r>
        <w:rPr>
          <w:color w:val="231F20"/>
          <w:spacing w:val="5"/>
          <w:sz w:val="20"/>
          <w:shd w:fill="CCECFC" w:color="auto" w:val="clear"/>
        </w:rPr>
        <w:t> </w:t>
      </w:r>
      <w:r>
        <w:rPr>
          <w:color w:val="231F20"/>
          <w:sz w:val="20"/>
          <w:shd w:fill="CCECFC" w:color="auto" w:val="clear"/>
        </w:rPr>
        <w:t>from</w:t>
      </w:r>
      <w:r>
        <w:rPr>
          <w:color w:val="231F20"/>
          <w:spacing w:val="1"/>
          <w:sz w:val="20"/>
          <w:shd w:fill="CCECFC" w:color="auto" w:val="clear"/>
        </w:rPr>
        <w:t> </w:t>
      </w:r>
      <w:r>
        <w:rPr>
          <w:color w:val="231F20"/>
          <w:sz w:val="20"/>
          <w:shd w:fill="CCECFC" w:color="auto" w:val="clear"/>
        </w:rPr>
        <w:t>calculations:</w:t>
        <w:tab/>
        <w:tab/>
        <w:tab/>
        <w:tab/>
      </w:r>
      <w:r>
        <w:rPr>
          <w:color w:val="231F20"/>
          <w:sz w:val="20"/>
        </w:rPr>
        <w:t> Stock options and restricted</w:t>
      </w:r>
      <w:r>
        <w:rPr>
          <w:color w:val="231F20"/>
          <w:spacing w:val="3"/>
          <w:sz w:val="20"/>
        </w:rPr>
        <w:t> </w:t>
      </w:r>
      <w:r>
        <w:rPr>
          <w:color w:val="231F20"/>
          <w:sz w:val="20"/>
        </w:rPr>
        <w:t>stock units</w:t>
        <w:tab/>
        <w:t>—</w:t>
        <w:tab/>
        <w:t>9</w:t>
        <w:tab/>
        <w:t>35</w:t>
      </w:r>
    </w:p>
    <w:p>
      <w:pPr>
        <w:pStyle w:val="BodyText"/>
        <w:spacing w:before="3"/>
        <w:rPr>
          <w:sz w:val="21"/>
        </w:rPr>
      </w:pPr>
    </w:p>
    <w:p>
      <w:pPr>
        <w:pStyle w:val="Heading1"/>
        <w:numPr>
          <w:ilvl w:val="0"/>
          <w:numId w:val="13"/>
        </w:numPr>
        <w:tabs>
          <w:tab w:pos="320" w:val="left" w:leader="none"/>
        </w:tabs>
        <w:spacing w:line="240" w:lineRule="auto" w:before="0" w:after="0"/>
        <w:ind w:left="320" w:right="0" w:hanging="220"/>
        <w:jc w:val="left"/>
      </w:pPr>
      <w:r>
        <w:rPr>
          <w:color w:val="231F20"/>
        </w:rPr>
        <w:t>COMMITMENTS AND</w:t>
      </w:r>
      <w:r>
        <w:rPr>
          <w:color w:val="231F20"/>
          <w:spacing w:val="1"/>
        </w:rPr>
        <w:t> </w:t>
      </w:r>
      <w:r>
        <w:rPr>
          <w:color w:val="231F20"/>
        </w:rPr>
        <w:t>CONTINGENCIES</w:t>
      </w:r>
    </w:p>
    <w:p>
      <w:pPr>
        <w:pStyle w:val="BodyText"/>
        <w:spacing w:before="5"/>
        <w:rPr>
          <w:b/>
          <w:sz w:val="21"/>
        </w:rPr>
      </w:pPr>
    </w:p>
    <w:p>
      <w:pPr>
        <w:pStyle w:val="Heading2"/>
        <w:ind w:left="100"/>
        <w:rPr>
          <w:i/>
        </w:rPr>
      </w:pPr>
      <w:r>
        <w:rPr>
          <w:i/>
          <w:color w:val="231F20"/>
        </w:rPr>
        <w:t>Commitments</w:t>
      </w:r>
    </w:p>
    <w:p>
      <w:pPr>
        <w:pStyle w:val="BodyText"/>
        <w:spacing w:before="5"/>
        <w:rPr>
          <w:b/>
          <w:i/>
          <w:sz w:val="21"/>
        </w:rPr>
      </w:pPr>
    </w:p>
    <w:p>
      <w:pPr>
        <w:pStyle w:val="BodyText"/>
        <w:spacing w:line="247" w:lineRule="auto"/>
        <w:ind w:left="100" w:right="117" w:firstLine="720"/>
        <w:jc w:val="both"/>
      </w:pPr>
      <w:r>
        <w:rPr>
          <w:color w:val="231F20"/>
        </w:rPr>
        <w:t>The Company has contractual obligations and commitments primarily with regard to future purchases of aircraft, repayment of debt, and lease arrangements. During the year ended December 31, 2014, the Company purchased 33 new 737-800 aircraft from Boeing and 11 used 737-700 aircraft from third parties. In addition, the Company also leased 11 737-700 aircraft from third parties, retired from service five of its older aircraft (three 737-300 and two 737-500), and removed 66 of its 717-200</w:t>
      </w:r>
    </w:p>
    <w:p>
      <w:pPr>
        <w:spacing w:after="0" w:line="247" w:lineRule="auto"/>
        <w:jc w:val="both"/>
        <w:sectPr>
          <w:pgSz w:w="11880" w:h="15480"/>
          <w:pgMar w:header="0" w:footer="1240" w:top="1240" w:bottom="1420" w:left="1280" w:right="1260"/>
        </w:sectPr>
      </w:pPr>
    </w:p>
    <w:p>
      <w:pPr>
        <w:pStyle w:val="BodyText"/>
        <w:spacing w:line="247" w:lineRule="auto" w:before="74"/>
        <w:ind w:left="100" w:right="97"/>
      </w:pPr>
      <w:r>
        <w:rPr>
          <w:color w:val="231F20"/>
        </w:rPr>
        <w:t>aircraft from service during 2014. As of December 31, 2014, the Company had firm deliveries and options for Boeing 737-700, 737-800, 737 MAX 7, and 737 MAX 8 aircraft as follows:</w:t>
      </w:r>
    </w:p>
    <w:p>
      <w:pPr>
        <w:spacing w:after="0" w:line="247" w:lineRule="auto"/>
        <w:sectPr>
          <w:pgSz w:w="11880" w:h="15480"/>
          <w:pgMar w:header="0" w:footer="1240" w:top="1240" w:bottom="1420" w:left="1280" w:right="1260"/>
        </w:sectPr>
      </w:pPr>
    </w:p>
    <w:p>
      <w:pPr>
        <w:pStyle w:val="BodyText"/>
        <w:spacing w:before="6"/>
        <w:rPr>
          <w:sz w:val="19"/>
        </w:rPr>
      </w:pPr>
    </w:p>
    <w:p>
      <w:pPr>
        <w:spacing w:line="200" w:lineRule="exact" w:before="0"/>
        <w:ind w:left="2525" w:right="-20" w:hanging="603"/>
        <w:jc w:val="left"/>
        <w:rPr>
          <w:b/>
          <w:sz w:val="20"/>
        </w:rPr>
      </w:pPr>
      <w:r>
        <w:rPr/>
        <w:pict>
          <v:line style="position:absolute;mso-position-horizontal-relative:page;mso-position-vertical-relative:paragraph;z-index:4096" from="128.149994pt,21.5pt" to="274.849994pt,21.5pt" stroked="true" strokeweight="1pt" strokecolor="#231f20">
            <v:stroke dashstyle="solid"/>
            <w10:wrap type="none"/>
          </v:line>
        </w:pict>
      </w:r>
      <w:r>
        <w:rPr>
          <w:b/>
          <w:color w:val="231F20"/>
          <w:sz w:val="20"/>
        </w:rPr>
        <w:t>The Boeing Company</w:t>
      </w:r>
      <w:r>
        <w:rPr>
          <w:b/>
          <w:color w:val="231F20"/>
          <w:w w:val="99"/>
          <w:sz w:val="20"/>
        </w:rPr>
        <w:t> </w:t>
      </w:r>
      <w:r>
        <w:rPr>
          <w:b/>
          <w:color w:val="231F20"/>
          <w:sz w:val="20"/>
        </w:rPr>
        <w:t>737 NG</w:t>
      </w:r>
    </w:p>
    <w:p>
      <w:pPr>
        <w:pStyle w:val="BodyText"/>
        <w:spacing w:before="6"/>
        <w:rPr>
          <w:b/>
          <w:sz w:val="19"/>
        </w:rPr>
      </w:pPr>
      <w:r>
        <w:rPr/>
        <w:br w:type="column"/>
      </w:r>
      <w:r>
        <w:rPr>
          <w:b/>
          <w:sz w:val="19"/>
        </w:rPr>
      </w:r>
    </w:p>
    <w:p>
      <w:pPr>
        <w:spacing w:line="200" w:lineRule="exact" w:before="0"/>
        <w:ind w:left="2436" w:right="1469" w:hanging="514"/>
        <w:jc w:val="left"/>
        <w:rPr>
          <w:b/>
          <w:sz w:val="20"/>
        </w:rPr>
      </w:pPr>
      <w:r>
        <w:rPr>
          <w:b/>
          <w:color w:val="231F20"/>
          <w:sz w:val="20"/>
        </w:rPr>
        <w:t>The Boeing Company 737 MAX</w:t>
      </w:r>
    </w:p>
    <w:p>
      <w:pPr>
        <w:spacing w:after="0" w:line="200" w:lineRule="exact"/>
        <w:jc w:val="left"/>
        <w:rPr>
          <w:sz w:val="20"/>
        </w:rPr>
        <w:sectPr>
          <w:type w:val="continuous"/>
          <w:pgSz w:w="11880" w:h="15480"/>
          <w:pgMar w:top="1260" w:bottom="280" w:left="1280" w:right="1260"/>
          <w:cols w:num="2" w:equalWidth="0">
            <w:col w:w="3778" w:space="295"/>
            <w:col w:w="5267"/>
          </w:cols>
        </w:sectPr>
      </w:pPr>
    </w:p>
    <w:p>
      <w:pPr>
        <w:spacing w:before="53"/>
        <w:ind w:left="0" w:right="0" w:firstLine="0"/>
        <w:jc w:val="right"/>
        <w:rPr>
          <w:b/>
          <w:sz w:val="20"/>
        </w:rPr>
      </w:pPr>
      <w:r>
        <w:rPr/>
        <w:pict>
          <v:shape style="position:absolute;margin-left:69pt;margin-top:12.685938pt;width:456pt;height:236.55pt;mso-position-horizontal-relative:page;mso-position-vertical-relative:paragraph;z-index:412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83"/>
                    <w:gridCol w:w="1206"/>
                    <w:gridCol w:w="861"/>
                    <w:gridCol w:w="902"/>
                    <w:gridCol w:w="1197"/>
                    <w:gridCol w:w="893"/>
                    <w:gridCol w:w="808"/>
                    <w:gridCol w:w="1352"/>
                    <w:gridCol w:w="720"/>
                  </w:tblGrid>
                  <w:tr>
                    <w:trPr>
                      <w:trHeight w:val="466" w:hRule="exact"/>
                    </w:trPr>
                    <w:tc>
                      <w:tcPr>
                        <w:tcW w:w="1183" w:type="dxa"/>
                      </w:tcPr>
                      <w:p>
                        <w:pPr/>
                      </w:p>
                    </w:tc>
                    <w:tc>
                      <w:tcPr>
                        <w:tcW w:w="1206" w:type="dxa"/>
                        <w:tcBorders>
                          <w:bottom w:val="single" w:sz="4" w:space="0" w:color="231F20"/>
                        </w:tcBorders>
                      </w:tcPr>
                      <w:p>
                        <w:pPr>
                          <w:pStyle w:val="TableParagraph"/>
                          <w:spacing w:line="200" w:lineRule="exact" w:before="26"/>
                          <w:ind w:left="243" w:right="331" w:firstLine="89"/>
                          <w:rPr>
                            <w:b/>
                            <w:sz w:val="20"/>
                          </w:rPr>
                        </w:pPr>
                        <w:r>
                          <w:rPr>
                            <w:b/>
                            <w:color w:val="231F20"/>
                            <w:sz w:val="20"/>
                          </w:rPr>
                          <w:t>Firm Orders</w:t>
                        </w:r>
                      </w:p>
                    </w:tc>
                    <w:tc>
                      <w:tcPr>
                        <w:tcW w:w="861" w:type="dxa"/>
                        <w:tcBorders>
                          <w:bottom w:val="single" w:sz="4" w:space="0" w:color="231F20"/>
                        </w:tcBorders>
                      </w:tcPr>
                      <w:p>
                        <w:pPr>
                          <w:pStyle w:val="TableParagraph"/>
                          <w:spacing w:line="200" w:lineRule="exact" w:before="26"/>
                          <w:ind w:left="72" w:right="157" w:firstLine="89"/>
                          <w:rPr>
                            <w:b/>
                            <w:sz w:val="20"/>
                          </w:rPr>
                        </w:pPr>
                        <w:r>
                          <w:rPr>
                            <w:b/>
                            <w:color w:val="231F20"/>
                            <w:sz w:val="20"/>
                          </w:rPr>
                          <w:t>Firm Orders</w:t>
                        </w:r>
                      </w:p>
                    </w:tc>
                    <w:tc>
                      <w:tcPr>
                        <w:tcW w:w="902" w:type="dxa"/>
                        <w:tcBorders>
                          <w:bottom w:val="single" w:sz="4" w:space="0" w:color="231F20"/>
                        </w:tcBorders>
                      </w:tcPr>
                      <w:p>
                        <w:pPr>
                          <w:pStyle w:val="TableParagraph"/>
                          <w:spacing w:before="3"/>
                          <w:rPr>
                            <w:sz w:val="17"/>
                          </w:rPr>
                        </w:pPr>
                      </w:p>
                      <w:p>
                        <w:pPr>
                          <w:pStyle w:val="TableParagraph"/>
                          <w:spacing w:before="0"/>
                          <w:ind w:left="157" w:right="26"/>
                          <w:jc w:val="center"/>
                          <w:rPr>
                            <w:b/>
                            <w:sz w:val="20"/>
                          </w:rPr>
                        </w:pPr>
                        <w:r>
                          <w:rPr>
                            <w:b/>
                            <w:color w:val="231F20"/>
                            <w:sz w:val="20"/>
                          </w:rPr>
                          <w:t>Options</w:t>
                        </w:r>
                      </w:p>
                    </w:tc>
                    <w:tc>
                      <w:tcPr>
                        <w:tcW w:w="1197" w:type="dxa"/>
                        <w:tcBorders>
                          <w:bottom w:val="single" w:sz="4" w:space="0" w:color="231F20"/>
                        </w:tcBorders>
                      </w:tcPr>
                      <w:p>
                        <w:pPr>
                          <w:pStyle w:val="TableParagraph"/>
                          <w:spacing w:line="200" w:lineRule="exact" w:before="26"/>
                          <w:ind w:left="212" w:right="103" w:hanging="167"/>
                          <w:rPr>
                            <w:b/>
                            <w:sz w:val="20"/>
                          </w:rPr>
                        </w:pPr>
                        <w:r>
                          <w:rPr>
                            <w:b/>
                            <w:color w:val="231F20"/>
                            <w:sz w:val="20"/>
                          </w:rPr>
                          <w:t>Additional - 700 A/C</w:t>
                        </w:r>
                      </w:p>
                    </w:tc>
                    <w:tc>
                      <w:tcPr>
                        <w:tcW w:w="893" w:type="dxa"/>
                        <w:tcBorders>
                          <w:bottom w:val="single" w:sz="4" w:space="0" w:color="231F20"/>
                        </w:tcBorders>
                      </w:tcPr>
                      <w:p>
                        <w:pPr>
                          <w:pStyle w:val="TableParagraph"/>
                          <w:spacing w:line="200" w:lineRule="exact" w:before="26"/>
                          <w:ind w:left="122" w:right="139" w:firstLine="64"/>
                          <w:rPr>
                            <w:b/>
                            <w:sz w:val="20"/>
                          </w:rPr>
                        </w:pPr>
                        <w:r>
                          <w:rPr>
                            <w:b/>
                            <w:color w:val="231F20"/>
                            <w:sz w:val="20"/>
                          </w:rPr>
                          <w:t>Firm Orders</w:t>
                        </w:r>
                      </w:p>
                    </w:tc>
                    <w:tc>
                      <w:tcPr>
                        <w:tcW w:w="808" w:type="dxa"/>
                        <w:tcBorders>
                          <w:bottom w:val="single" w:sz="4" w:space="0" w:color="231F20"/>
                        </w:tcBorders>
                      </w:tcPr>
                      <w:p>
                        <w:pPr>
                          <w:pStyle w:val="TableParagraph"/>
                          <w:spacing w:line="200" w:lineRule="exact" w:before="26"/>
                          <w:ind w:left="159" w:right="18" w:firstLine="64"/>
                          <w:rPr>
                            <w:b/>
                            <w:sz w:val="20"/>
                          </w:rPr>
                        </w:pPr>
                        <w:r>
                          <w:rPr>
                            <w:b/>
                            <w:color w:val="231F20"/>
                            <w:sz w:val="20"/>
                          </w:rPr>
                          <w:t>Firm Orders</w:t>
                        </w:r>
                      </w:p>
                    </w:tc>
                    <w:tc>
                      <w:tcPr>
                        <w:tcW w:w="1352" w:type="dxa"/>
                        <w:tcBorders>
                          <w:bottom w:val="single" w:sz="4" w:space="0" w:color="231F20"/>
                        </w:tcBorders>
                      </w:tcPr>
                      <w:p>
                        <w:pPr>
                          <w:pStyle w:val="TableParagraph"/>
                          <w:spacing w:before="3"/>
                          <w:rPr>
                            <w:sz w:val="17"/>
                          </w:rPr>
                        </w:pPr>
                      </w:p>
                      <w:p>
                        <w:pPr>
                          <w:pStyle w:val="TableParagraph"/>
                          <w:spacing w:before="0"/>
                          <w:ind w:left="481"/>
                          <w:rPr>
                            <w:b/>
                            <w:sz w:val="20"/>
                          </w:rPr>
                        </w:pPr>
                        <w:r>
                          <w:rPr>
                            <w:b/>
                            <w:color w:val="231F20"/>
                            <w:sz w:val="20"/>
                          </w:rPr>
                          <w:t>Options</w:t>
                        </w:r>
                      </w:p>
                    </w:tc>
                    <w:tc>
                      <w:tcPr>
                        <w:tcW w:w="720" w:type="dxa"/>
                        <w:tcBorders>
                          <w:bottom w:val="single" w:sz="4" w:space="0" w:color="231F20"/>
                        </w:tcBorders>
                      </w:tcPr>
                      <w:p>
                        <w:pPr>
                          <w:pStyle w:val="TableParagraph"/>
                          <w:spacing w:before="3"/>
                          <w:rPr>
                            <w:sz w:val="17"/>
                          </w:rPr>
                        </w:pPr>
                      </w:p>
                      <w:p>
                        <w:pPr>
                          <w:pStyle w:val="TableParagraph"/>
                          <w:spacing w:before="0"/>
                          <w:ind w:left="171" w:right="52"/>
                          <w:jc w:val="center"/>
                          <w:rPr>
                            <w:b/>
                            <w:sz w:val="20"/>
                          </w:rPr>
                        </w:pPr>
                        <w:r>
                          <w:rPr>
                            <w:b/>
                            <w:color w:val="231F20"/>
                            <w:sz w:val="20"/>
                          </w:rPr>
                          <w:t>Total</w:t>
                        </w:r>
                      </w:p>
                    </w:tc>
                  </w:tr>
                  <w:tr>
                    <w:trPr>
                      <w:trHeight w:val="300" w:hRule="exact"/>
                    </w:trPr>
                    <w:tc>
                      <w:tcPr>
                        <w:tcW w:w="1183" w:type="dxa"/>
                        <w:shd w:val="clear" w:color="auto" w:fill="CCECFC"/>
                      </w:tcPr>
                      <w:p>
                        <w:pPr>
                          <w:pStyle w:val="TableParagraph"/>
                          <w:ind w:left="60"/>
                          <w:rPr>
                            <w:sz w:val="20"/>
                          </w:rPr>
                        </w:pPr>
                        <w:r>
                          <w:rPr>
                            <w:color w:val="231F20"/>
                            <w:sz w:val="20"/>
                          </w:rPr>
                          <w:t>2015</w:t>
                        </w:r>
                      </w:p>
                    </w:tc>
                    <w:tc>
                      <w:tcPr>
                        <w:tcW w:w="1206" w:type="dxa"/>
                        <w:tcBorders>
                          <w:top w:val="single" w:sz="4" w:space="0" w:color="231F20"/>
                        </w:tcBorders>
                        <w:shd w:val="clear" w:color="auto" w:fill="CCECFC"/>
                      </w:tcPr>
                      <w:p>
                        <w:pPr>
                          <w:pStyle w:val="TableParagraph"/>
                          <w:spacing w:before="48"/>
                          <w:ind w:left="450"/>
                          <w:rPr>
                            <w:sz w:val="20"/>
                          </w:rPr>
                        </w:pPr>
                        <w:r>
                          <w:rPr>
                            <w:color w:val="231F20"/>
                            <w:sz w:val="20"/>
                          </w:rPr>
                          <w:t>—</w:t>
                        </w:r>
                      </w:p>
                    </w:tc>
                    <w:tc>
                      <w:tcPr>
                        <w:tcW w:w="861" w:type="dxa"/>
                        <w:tcBorders>
                          <w:top w:val="single" w:sz="4" w:space="0" w:color="231F20"/>
                        </w:tcBorders>
                        <w:shd w:val="clear" w:color="auto" w:fill="CCECFC"/>
                      </w:tcPr>
                      <w:p>
                        <w:pPr>
                          <w:pStyle w:val="TableParagraph"/>
                          <w:spacing w:before="48"/>
                          <w:ind w:left="278"/>
                          <w:rPr>
                            <w:sz w:val="20"/>
                          </w:rPr>
                        </w:pPr>
                        <w:r>
                          <w:rPr>
                            <w:color w:val="231F20"/>
                            <w:sz w:val="20"/>
                          </w:rPr>
                          <w:t>19</w:t>
                        </w:r>
                      </w:p>
                    </w:tc>
                    <w:tc>
                      <w:tcPr>
                        <w:tcW w:w="902" w:type="dxa"/>
                        <w:tcBorders>
                          <w:top w:val="single" w:sz="4" w:space="0" w:color="231F20"/>
                        </w:tcBorders>
                        <w:shd w:val="clear" w:color="auto" w:fill="CCECFC"/>
                      </w:tcPr>
                      <w:p>
                        <w:pPr>
                          <w:pStyle w:val="TableParagraph"/>
                          <w:spacing w:before="48"/>
                          <w:ind w:left="133"/>
                          <w:jc w:val="center"/>
                          <w:rPr>
                            <w:sz w:val="20"/>
                          </w:rPr>
                        </w:pPr>
                        <w:r>
                          <w:rPr>
                            <w:color w:val="231F20"/>
                            <w:sz w:val="20"/>
                          </w:rPr>
                          <w:t>—</w:t>
                        </w:r>
                      </w:p>
                    </w:tc>
                    <w:tc>
                      <w:tcPr>
                        <w:tcW w:w="1197" w:type="dxa"/>
                        <w:tcBorders>
                          <w:top w:val="single" w:sz="4" w:space="0" w:color="231F20"/>
                        </w:tcBorders>
                        <w:shd w:val="clear" w:color="auto" w:fill="CCECFC"/>
                      </w:tcPr>
                      <w:p>
                        <w:pPr>
                          <w:pStyle w:val="TableParagraph"/>
                          <w:spacing w:before="48"/>
                          <w:ind w:right="534"/>
                          <w:jc w:val="right"/>
                          <w:rPr>
                            <w:sz w:val="20"/>
                          </w:rPr>
                        </w:pPr>
                        <w:r>
                          <w:rPr>
                            <w:color w:val="231F20"/>
                            <w:sz w:val="20"/>
                          </w:rPr>
                          <w:t>16</w:t>
                        </w:r>
                      </w:p>
                    </w:tc>
                    <w:tc>
                      <w:tcPr>
                        <w:tcW w:w="893" w:type="dxa"/>
                        <w:tcBorders>
                          <w:top w:val="single" w:sz="4" w:space="0" w:color="231F20"/>
                        </w:tcBorders>
                        <w:shd w:val="clear" w:color="auto" w:fill="CCECFC"/>
                      </w:tcPr>
                      <w:p>
                        <w:pPr>
                          <w:pStyle w:val="TableParagraph"/>
                          <w:spacing w:before="48"/>
                          <w:ind w:left="328"/>
                          <w:rPr>
                            <w:sz w:val="20"/>
                          </w:rPr>
                        </w:pPr>
                        <w:r>
                          <w:rPr>
                            <w:color w:val="231F20"/>
                            <w:sz w:val="20"/>
                          </w:rPr>
                          <w:t>—</w:t>
                        </w:r>
                      </w:p>
                    </w:tc>
                    <w:tc>
                      <w:tcPr>
                        <w:tcW w:w="808" w:type="dxa"/>
                        <w:tcBorders>
                          <w:top w:val="single" w:sz="4" w:space="0" w:color="231F20"/>
                        </w:tcBorders>
                        <w:shd w:val="clear" w:color="auto" w:fill="CCECFC"/>
                      </w:tcPr>
                      <w:p>
                        <w:pPr>
                          <w:pStyle w:val="TableParagraph"/>
                          <w:spacing w:before="48"/>
                          <w:ind w:right="240"/>
                          <w:jc w:val="right"/>
                          <w:rPr>
                            <w:sz w:val="20"/>
                          </w:rPr>
                        </w:pPr>
                        <w:r>
                          <w:rPr>
                            <w:color w:val="231F20"/>
                            <w:sz w:val="20"/>
                          </w:rPr>
                          <w:t>—</w:t>
                        </w:r>
                      </w:p>
                    </w:tc>
                    <w:tc>
                      <w:tcPr>
                        <w:tcW w:w="1352" w:type="dxa"/>
                        <w:tcBorders>
                          <w:top w:val="single" w:sz="4" w:space="0" w:color="231F20"/>
                        </w:tcBorders>
                        <w:shd w:val="clear" w:color="auto" w:fill="CCECFC"/>
                      </w:tcPr>
                      <w:p>
                        <w:pPr>
                          <w:pStyle w:val="TableParagraph"/>
                          <w:spacing w:before="48"/>
                          <w:ind w:left="721"/>
                          <w:rPr>
                            <w:sz w:val="20"/>
                          </w:rPr>
                        </w:pPr>
                        <w:r>
                          <w:rPr>
                            <w:color w:val="231F20"/>
                            <w:sz w:val="20"/>
                          </w:rPr>
                          <w:t>—</w:t>
                        </w:r>
                      </w:p>
                    </w:tc>
                    <w:tc>
                      <w:tcPr>
                        <w:tcW w:w="720" w:type="dxa"/>
                        <w:tcBorders>
                          <w:top w:val="single" w:sz="4" w:space="0" w:color="231F20"/>
                        </w:tcBorders>
                        <w:shd w:val="clear" w:color="auto" w:fill="CCECFC"/>
                      </w:tcPr>
                      <w:p>
                        <w:pPr>
                          <w:pStyle w:val="TableParagraph"/>
                          <w:spacing w:before="48"/>
                          <w:ind w:left="171" w:right="51"/>
                          <w:jc w:val="center"/>
                          <w:rPr>
                            <w:sz w:val="20"/>
                          </w:rPr>
                        </w:pPr>
                        <w:r>
                          <w:rPr>
                            <w:color w:val="231F20"/>
                            <w:sz w:val="20"/>
                          </w:rPr>
                          <w:t>35</w:t>
                        </w:r>
                      </w:p>
                    </w:tc>
                  </w:tr>
                  <w:tr>
                    <w:trPr>
                      <w:trHeight w:val="300" w:hRule="exact"/>
                    </w:trPr>
                    <w:tc>
                      <w:tcPr>
                        <w:tcW w:w="1183" w:type="dxa"/>
                      </w:tcPr>
                      <w:p>
                        <w:pPr>
                          <w:pStyle w:val="TableParagraph"/>
                          <w:ind w:left="60"/>
                          <w:rPr>
                            <w:sz w:val="20"/>
                          </w:rPr>
                        </w:pPr>
                        <w:r>
                          <w:rPr>
                            <w:color w:val="231F20"/>
                            <w:sz w:val="20"/>
                          </w:rPr>
                          <w:t>2016</w:t>
                        </w:r>
                      </w:p>
                    </w:tc>
                    <w:tc>
                      <w:tcPr>
                        <w:tcW w:w="1206" w:type="dxa"/>
                      </w:tcPr>
                      <w:p>
                        <w:pPr>
                          <w:pStyle w:val="TableParagraph"/>
                          <w:ind w:left="450"/>
                          <w:rPr>
                            <w:sz w:val="20"/>
                          </w:rPr>
                        </w:pPr>
                        <w:r>
                          <w:rPr>
                            <w:color w:val="231F20"/>
                            <w:sz w:val="20"/>
                          </w:rPr>
                          <w:t>31</w:t>
                        </w:r>
                      </w:p>
                    </w:tc>
                    <w:tc>
                      <w:tcPr>
                        <w:tcW w:w="861" w:type="dxa"/>
                      </w:tcPr>
                      <w:p>
                        <w:pPr>
                          <w:pStyle w:val="TableParagraph"/>
                          <w:ind w:left="278"/>
                          <w:rPr>
                            <w:sz w:val="20"/>
                          </w:rPr>
                        </w:pPr>
                        <w:r>
                          <w:rPr>
                            <w:color w:val="231F20"/>
                            <w:sz w:val="20"/>
                          </w:rPr>
                          <w:t>—</w:t>
                        </w:r>
                      </w:p>
                    </w:tc>
                    <w:tc>
                      <w:tcPr>
                        <w:tcW w:w="902" w:type="dxa"/>
                      </w:tcPr>
                      <w:p>
                        <w:pPr>
                          <w:pStyle w:val="TableParagraph"/>
                          <w:ind w:left="157" w:right="24"/>
                          <w:jc w:val="center"/>
                          <w:rPr>
                            <w:sz w:val="20"/>
                          </w:rPr>
                        </w:pPr>
                        <w:r>
                          <w:rPr>
                            <w:color w:val="231F20"/>
                            <w:sz w:val="20"/>
                          </w:rPr>
                          <w:t>11</w:t>
                        </w:r>
                      </w:p>
                    </w:tc>
                    <w:tc>
                      <w:tcPr>
                        <w:tcW w:w="1197" w:type="dxa"/>
                      </w:tcPr>
                      <w:p>
                        <w:pPr>
                          <w:pStyle w:val="TableParagraph"/>
                          <w:ind w:right="534"/>
                          <w:jc w:val="right"/>
                          <w:rPr>
                            <w:sz w:val="20"/>
                          </w:rPr>
                        </w:pPr>
                        <w:r>
                          <w:rPr>
                            <w:color w:val="231F20"/>
                            <w:sz w:val="20"/>
                          </w:rPr>
                          <w:t>4</w:t>
                        </w:r>
                      </w:p>
                    </w:tc>
                    <w:tc>
                      <w:tcPr>
                        <w:tcW w:w="893" w:type="dxa"/>
                      </w:tcPr>
                      <w:p>
                        <w:pPr>
                          <w:pStyle w:val="TableParagraph"/>
                          <w:ind w:left="328"/>
                          <w:rPr>
                            <w:sz w:val="20"/>
                          </w:rPr>
                        </w:pPr>
                        <w:r>
                          <w:rPr>
                            <w:color w:val="231F20"/>
                            <w:sz w:val="20"/>
                          </w:rPr>
                          <w:t>—</w:t>
                        </w:r>
                      </w:p>
                    </w:tc>
                    <w:tc>
                      <w:tcPr>
                        <w:tcW w:w="808" w:type="dxa"/>
                      </w:tcPr>
                      <w:p>
                        <w:pPr>
                          <w:pStyle w:val="TableParagraph"/>
                          <w:ind w:right="240"/>
                          <w:jc w:val="right"/>
                          <w:rPr>
                            <w:sz w:val="20"/>
                          </w:rPr>
                        </w:pPr>
                        <w:r>
                          <w:rPr>
                            <w:color w:val="231F20"/>
                            <w:sz w:val="20"/>
                          </w:rPr>
                          <w:t>—</w:t>
                        </w:r>
                      </w:p>
                    </w:tc>
                    <w:tc>
                      <w:tcPr>
                        <w:tcW w:w="1352" w:type="dxa"/>
                      </w:tcPr>
                      <w:p>
                        <w:pPr>
                          <w:pStyle w:val="TableParagraph"/>
                          <w:ind w:left="721"/>
                          <w:rPr>
                            <w:sz w:val="20"/>
                          </w:rPr>
                        </w:pPr>
                        <w:r>
                          <w:rPr>
                            <w:color w:val="231F20"/>
                            <w:sz w:val="20"/>
                          </w:rPr>
                          <w:t>—</w:t>
                        </w:r>
                      </w:p>
                    </w:tc>
                    <w:tc>
                      <w:tcPr>
                        <w:tcW w:w="720" w:type="dxa"/>
                      </w:tcPr>
                      <w:p>
                        <w:pPr>
                          <w:pStyle w:val="TableParagraph"/>
                          <w:ind w:left="171" w:right="51"/>
                          <w:jc w:val="center"/>
                          <w:rPr>
                            <w:sz w:val="20"/>
                          </w:rPr>
                        </w:pPr>
                        <w:r>
                          <w:rPr>
                            <w:color w:val="231F20"/>
                            <w:sz w:val="20"/>
                          </w:rPr>
                          <w:t>46</w:t>
                        </w:r>
                      </w:p>
                    </w:tc>
                  </w:tr>
                  <w:tr>
                    <w:trPr>
                      <w:trHeight w:val="300" w:hRule="exact"/>
                    </w:trPr>
                    <w:tc>
                      <w:tcPr>
                        <w:tcW w:w="1183" w:type="dxa"/>
                        <w:shd w:val="clear" w:color="auto" w:fill="CCECFC"/>
                      </w:tcPr>
                      <w:p>
                        <w:pPr>
                          <w:pStyle w:val="TableParagraph"/>
                          <w:ind w:left="60"/>
                          <w:rPr>
                            <w:sz w:val="20"/>
                          </w:rPr>
                        </w:pPr>
                        <w:r>
                          <w:rPr>
                            <w:color w:val="231F20"/>
                            <w:sz w:val="20"/>
                          </w:rPr>
                          <w:t>2017</w:t>
                        </w:r>
                      </w:p>
                    </w:tc>
                    <w:tc>
                      <w:tcPr>
                        <w:tcW w:w="1206" w:type="dxa"/>
                        <w:shd w:val="clear" w:color="auto" w:fill="CCECFC"/>
                      </w:tcPr>
                      <w:p>
                        <w:pPr>
                          <w:pStyle w:val="TableParagraph"/>
                          <w:ind w:left="450"/>
                          <w:rPr>
                            <w:sz w:val="20"/>
                          </w:rPr>
                        </w:pPr>
                        <w:r>
                          <w:rPr>
                            <w:color w:val="231F20"/>
                            <w:sz w:val="20"/>
                          </w:rPr>
                          <w:t>15</w:t>
                        </w:r>
                      </w:p>
                    </w:tc>
                    <w:tc>
                      <w:tcPr>
                        <w:tcW w:w="861" w:type="dxa"/>
                        <w:shd w:val="clear" w:color="auto" w:fill="CCECFC"/>
                      </w:tcPr>
                      <w:p>
                        <w:pPr>
                          <w:pStyle w:val="TableParagraph"/>
                          <w:ind w:left="278"/>
                          <w:rPr>
                            <w:sz w:val="20"/>
                          </w:rPr>
                        </w:pPr>
                        <w:r>
                          <w:rPr>
                            <w:color w:val="231F20"/>
                            <w:sz w:val="20"/>
                          </w:rPr>
                          <w:t>—</w:t>
                        </w:r>
                      </w:p>
                    </w:tc>
                    <w:tc>
                      <w:tcPr>
                        <w:tcW w:w="902" w:type="dxa"/>
                        <w:shd w:val="clear" w:color="auto" w:fill="CCECFC"/>
                      </w:tcPr>
                      <w:p>
                        <w:pPr>
                          <w:pStyle w:val="TableParagraph"/>
                          <w:ind w:left="157" w:right="24"/>
                          <w:jc w:val="center"/>
                          <w:rPr>
                            <w:sz w:val="20"/>
                          </w:rPr>
                        </w:pPr>
                        <w:r>
                          <w:rPr>
                            <w:color w:val="231F20"/>
                            <w:sz w:val="20"/>
                          </w:rPr>
                          <w:t>12</w:t>
                        </w:r>
                      </w:p>
                    </w:tc>
                    <w:tc>
                      <w:tcPr>
                        <w:tcW w:w="1197" w:type="dxa"/>
                        <w:shd w:val="clear" w:color="auto" w:fill="CCECFC"/>
                      </w:tcPr>
                      <w:p>
                        <w:pPr>
                          <w:pStyle w:val="TableParagraph"/>
                          <w:ind w:right="534"/>
                          <w:jc w:val="right"/>
                          <w:rPr>
                            <w:sz w:val="20"/>
                          </w:rPr>
                        </w:pPr>
                        <w:r>
                          <w:rPr>
                            <w:color w:val="231F20"/>
                            <w:sz w:val="20"/>
                          </w:rPr>
                          <w:t>—</w:t>
                        </w:r>
                      </w:p>
                    </w:tc>
                    <w:tc>
                      <w:tcPr>
                        <w:tcW w:w="893" w:type="dxa"/>
                        <w:shd w:val="clear" w:color="auto" w:fill="CCECFC"/>
                      </w:tcPr>
                      <w:p>
                        <w:pPr>
                          <w:pStyle w:val="TableParagraph"/>
                          <w:ind w:left="328"/>
                          <w:rPr>
                            <w:sz w:val="20"/>
                          </w:rPr>
                        </w:pPr>
                        <w:r>
                          <w:rPr>
                            <w:color w:val="231F20"/>
                            <w:sz w:val="20"/>
                          </w:rPr>
                          <w:t>—</w:t>
                        </w:r>
                      </w:p>
                    </w:tc>
                    <w:tc>
                      <w:tcPr>
                        <w:tcW w:w="808" w:type="dxa"/>
                        <w:shd w:val="clear" w:color="auto" w:fill="CCECFC"/>
                      </w:tcPr>
                      <w:p>
                        <w:pPr>
                          <w:pStyle w:val="TableParagraph"/>
                          <w:ind w:right="240"/>
                          <w:jc w:val="right"/>
                          <w:rPr>
                            <w:sz w:val="20"/>
                          </w:rPr>
                        </w:pPr>
                        <w:r>
                          <w:rPr>
                            <w:color w:val="231F20"/>
                            <w:sz w:val="20"/>
                          </w:rPr>
                          <w:t>14</w:t>
                        </w:r>
                      </w:p>
                    </w:tc>
                    <w:tc>
                      <w:tcPr>
                        <w:tcW w:w="1352" w:type="dxa"/>
                        <w:shd w:val="clear" w:color="auto" w:fill="CCECFC"/>
                      </w:tcPr>
                      <w:p>
                        <w:pPr>
                          <w:pStyle w:val="TableParagraph"/>
                          <w:ind w:left="721"/>
                          <w:rPr>
                            <w:sz w:val="20"/>
                          </w:rPr>
                        </w:pPr>
                        <w:r>
                          <w:rPr>
                            <w:color w:val="231F20"/>
                            <w:sz w:val="20"/>
                          </w:rPr>
                          <w:t>—</w:t>
                        </w:r>
                      </w:p>
                    </w:tc>
                    <w:tc>
                      <w:tcPr>
                        <w:tcW w:w="720" w:type="dxa"/>
                        <w:shd w:val="clear" w:color="auto" w:fill="CCECFC"/>
                      </w:tcPr>
                      <w:p>
                        <w:pPr>
                          <w:pStyle w:val="TableParagraph"/>
                          <w:ind w:left="171" w:right="51"/>
                          <w:jc w:val="center"/>
                          <w:rPr>
                            <w:sz w:val="20"/>
                          </w:rPr>
                        </w:pPr>
                        <w:r>
                          <w:rPr>
                            <w:color w:val="231F20"/>
                            <w:sz w:val="20"/>
                          </w:rPr>
                          <w:t>41</w:t>
                        </w:r>
                      </w:p>
                    </w:tc>
                  </w:tr>
                  <w:tr>
                    <w:trPr>
                      <w:trHeight w:val="300" w:hRule="exact"/>
                    </w:trPr>
                    <w:tc>
                      <w:tcPr>
                        <w:tcW w:w="1183" w:type="dxa"/>
                      </w:tcPr>
                      <w:p>
                        <w:pPr>
                          <w:pStyle w:val="TableParagraph"/>
                          <w:ind w:left="60"/>
                          <w:rPr>
                            <w:sz w:val="20"/>
                          </w:rPr>
                        </w:pPr>
                        <w:r>
                          <w:rPr>
                            <w:color w:val="231F20"/>
                            <w:sz w:val="20"/>
                          </w:rPr>
                          <w:t>2018</w:t>
                        </w:r>
                      </w:p>
                    </w:tc>
                    <w:tc>
                      <w:tcPr>
                        <w:tcW w:w="1206" w:type="dxa"/>
                      </w:tcPr>
                      <w:p>
                        <w:pPr>
                          <w:pStyle w:val="TableParagraph"/>
                          <w:ind w:left="450"/>
                          <w:rPr>
                            <w:sz w:val="20"/>
                          </w:rPr>
                        </w:pPr>
                        <w:r>
                          <w:rPr>
                            <w:color w:val="231F20"/>
                            <w:sz w:val="20"/>
                          </w:rPr>
                          <w:t>10</w:t>
                        </w:r>
                      </w:p>
                    </w:tc>
                    <w:tc>
                      <w:tcPr>
                        <w:tcW w:w="861" w:type="dxa"/>
                      </w:tcPr>
                      <w:p>
                        <w:pPr>
                          <w:pStyle w:val="TableParagraph"/>
                          <w:ind w:left="278"/>
                          <w:rPr>
                            <w:sz w:val="20"/>
                          </w:rPr>
                        </w:pPr>
                        <w:r>
                          <w:rPr>
                            <w:color w:val="231F20"/>
                            <w:sz w:val="20"/>
                          </w:rPr>
                          <w:t>—</w:t>
                        </w:r>
                      </w:p>
                    </w:tc>
                    <w:tc>
                      <w:tcPr>
                        <w:tcW w:w="902" w:type="dxa"/>
                      </w:tcPr>
                      <w:p>
                        <w:pPr>
                          <w:pStyle w:val="TableParagraph"/>
                          <w:ind w:left="157" w:right="24"/>
                          <w:jc w:val="center"/>
                          <w:rPr>
                            <w:sz w:val="20"/>
                          </w:rPr>
                        </w:pPr>
                        <w:r>
                          <w:rPr>
                            <w:color w:val="231F20"/>
                            <w:sz w:val="20"/>
                          </w:rPr>
                          <w:t>12</w:t>
                        </w:r>
                      </w:p>
                    </w:tc>
                    <w:tc>
                      <w:tcPr>
                        <w:tcW w:w="1197" w:type="dxa"/>
                      </w:tcPr>
                      <w:p>
                        <w:pPr>
                          <w:pStyle w:val="TableParagraph"/>
                          <w:ind w:right="534"/>
                          <w:jc w:val="right"/>
                          <w:rPr>
                            <w:sz w:val="20"/>
                          </w:rPr>
                        </w:pPr>
                        <w:r>
                          <w:rPr>
                            <w:color w:val="231F20"/>
                            <w:sz w:val="20"/>
                          </w:rPr>
                          <w:t>—</w:t>
                        </w:r>
                      </w:p>
                    </w:tc>
                    <w:tc>
                      <w:tcPr>
                        <w:tcW w:w="893" w:type="dxa"/>
                      </w:tcPr>
                      <w:p>
                        <w:pPr>
                          <w:pStyle w:val="TableParagraph"/>
                          <w:ind w:left="328"/>
                          <w:rPr>
                            <w:sz w:val="20"/>
                          </w:rPr>
                        </w:pPr>
                        <w:r>
                          <w:rPr>
                            <w:color w:val="231F20"/>
                            <w:sz w:val="20"/>
                          </w:rPr>
                          <w:t>—</w:t>
                        </w:r>
                      </w:p>
                    </w:tc>
                    <w:tc>
                      <w:tcPr>
                        <w:tcW w:w="808" w:type="dxa"/>
                      </w:tcPr>
                      <w:p>
                        <w:pPr>
                          <w:pStyle w:val="TableParagraph"/>
                          <w:ind w:right="240"/>
                          <w:jc w:val="right"/>
                          <w:rPr>
                            <w:sz w:val="20"/>
                          </w:rPr>
                        </w:pPr>
                        <w:r>
                          <w:rPr>
                            <w:color w:val="231F20"/>
                            <w:sz w:val="20"/>
                          </w:rPr>
                          <w:t>13</w:t>
                        </w:r>
                      </w:p>
                    </w:tc>
                    <w:tc>
                      <w:tcPr>
                        <w:tcW w:w="1352" w:type="dxa"/>
                      </w:tcPr>
                      <w:p>
                        <w:pPr>
                          <w:pStyle w:val="TableParagraph"/>
                          <w:ind w:left="721"/>
                          <w:rPr>
                            <w:sz w:val="20"/>
                          </w:rPr>
                        </w:pPr>
                        <w:r>
                          <w:rPr>
                            <w:color w:val="231F20"/>
                            <w:sz w:val="20"/>
                          </w:rPr>
                          <w:t>—</w:t>
                        </w:r>
                      </w:p>
                    </w:tc>
                    <w:tc>
                      <w:tcPr>
                        <w:tcW w:w="720" w:type="dxa"/>
                      </w:tcPr>
                      <w:p>
                        <w:pPr>
                          <w:pStyle w:val="TableParagraph"/>
                          <w:ind w:left="171" w:right="51"/>
                          <w:jc w:val="center"/>
                          <w:rPr>
                            <w:sz w:val="20"/>
                          </w:rPr>
                        </w:pPr>
                        <w:r>
                          <w:rPr>
                            <w:color w:val="231F20"/>
                            <w:sz w:val="20"/>
                          </w:rPr>
                          <w:t>35</w:t>
                        </w:r>
                      </w:p>
                    </w:tc>
                  </w:tr>
                  <w:tr>
                    <w:trPr>
                      <w:trHeight w:val="300" w:hRule="exact"/>
                    </w:trPr>
                    <w:tc>
                      <w:tcPr>
                        <w:tcW w:w="1183" w:type="dxa"/>
                        <w:shd w:val="clear" w:color="auto" w:fill="CCECFC"/>
                      </w:tcPr>
                      <w:p>
                        <w:pPr>
                          <w:pStyle w:val="TableParagraph"/>
                          <w:ind w:left="60"/>
                          <w:rPr>
                            <w:sz w:val="20"/>
                          </w:rPr>
                        </w:pPr>
                        <w:r>
                          <w:rPr>
                            <w:color w:val="231F20"/>
                            <w:sz w:val="20"/>
                          </w:rPr>
                          <w:t>2019</w:t>
                        </w:r>
                      </w:p>
                    </w:tc>
                    <w:tc>
                      <w:tcPr>
                        <w:tcW w:w="1206" w:type="dxa"/>
                        <w:shd w:val="clear" w:color="auto" w:fill="CCECFC"/>
                      </w:tcPr>
                      <w:p>
                        <w:pPr>
                          <w:pStyle w:val="TableParagraph"/>
                          <w:ind w:left="450"/>
                          <w:rPr>
                            <w:sz w:val="20"/>
                          </w:rPr>
                        </w:pPr>
                        <w:r>
                          <w:rPr>
                            <w:color w:val="231F20"/>
                            <w:sz w:val="20"/>
                          </w:rPr>
                          <w:t>—</w:t>
                        </w:r>
                      </w:p>
                    </w:tc>
                    <w:tc>
                      <w:tcPr>
                        <w:tcW w:w="861" w:type="dxa"/>
                        <w:shd w:val="clear" w:color="auto" w:fill="CCECFC"/>
                      </w:tcPr>
                      <w:p>
                        <w:pPr>
                          <w:pStyle w:val="TableParagraph"/>
                          <w:ind w:left="278"/>
                          <w:rPr>
                            <w:sz w:val="20"/>
                          </w:rPr>
                        </w:pPr>
                        <w:r>
                          <w:rPr>
                            <w:color w:val="231F20"/>
                            <w:sz w:val="20"/>
                          </w:rPr>
                          <w:t>—</w:t>
                        </w:r>
                      </w:p>
                    </w:tc>
                    <w:tc>
                      <w:tcPr>
                        <w:tcW w:w="902" w:type="dxa"/>
                        <w:shd w:val="clear" w:color="auto" w:fill="CCECFC"/>
                      </w:tcPr>
                      <w:p>
                        <w:pPr>
                          <w:pStyle w:val="TableParagraph"/>
                          <w:ind w:left="133"/>
                          <w:jc w:val="center"/>
                          <w:rPr>
                            <w:sz w:val="20"/>
                          </w:rPr>
                        </w:pPr>
                        <w:r>
                          <w:rPr>
                            <w:color w:val="231F20"/>
                            <w:sz w:val="20"/>
                          </w:rPr>
                          <w:t>—</w:t>
                        </w:r>
                      </w:p>
                    </w:tc>
                    <w:tc>
                      <w:tcPr>
                        <w:tcW w:w="1197" w:type="dxa"/>
                        <w:shd w:val="clear" w:color="auto" w:fill="CCECFC"/>
                      </w:tcPr>
                      <w:p>
                        <w:pPr>
                          <w:pStyle w:val="TableParagraph"/>
                          <w:ind w:right="534"/>
                          <w:jc w:val="right"/>
                          <w:rPr>
                            <w:sz w:val="20"/>
                          </w:rPr>
                        </w:pPr>
                        <w:r>
                          <w:rPr>
                            <w:color w:val="231F20"/>
                            <w:sz w:val="20"/>
                          </w:rPr>
                          <w:t>—</w:t>
                        </w:r>
                      </w:p>
                    </w:tc>
                    <w:tc>
                      <w:tcPr>
                        <w:tcW w:w="893" w:type="dxa"/>
                        <w:shd w:val="clear" w:color="auto" w:fill="CCECFC"/>
                      </w:tcPr>
                      <w:p>
                        <w:pPr>
                          <w:pStyle w:val="TableParagraph"/>
                          <w:ind w:left="328"/>
                          <w:rPr>
                            <w:sz w:val="20"/>
                          </w:rPr>
                        </w:pPr>
                        <w:r>
                          <w:rPr>
                            <w:color w:val="231F20"/>
                            <w:sz w:val="20"/>
                          </w:rPr>
                          <w:t>15</w:t>
                        </w:r>
                      </w:p>
                    </w:tc>
                    <w:tc>
                      <w:tcPr>
                        <w:tcW w:w="808" w:type="dxa"/>
                        <w:shd w:val="clear" w:color="auto" w:fill="CCECFC"/>
                      </w:tcPr>
                      <w:p>
                        <w:pPr>
                          <w:pStyle w:val="TableParagraph"/>
                          <w:ind w:right="240"/>
                          <w:jc w:val="right"/>
                          <w:rPr>
                            <w:sz w:val="20"/>
                          </w:rPr>
                        </w:pPr>
                        <w:r>
                          <w:rPr>
                            <w:color w:val="231F20"/>
                            <w:sz w:val="20"/>
                          </w:rPr>
                          <w:t>10</w:t>
                        </w:r>
                      </w:p>
                    </w:tc>
                    <w:tc>
                      <w:tcPr>
                        <w:tcW w:w="1352" w:type="dxa"/>
                        <w:shd w:val="clear" w:color="auto" w:fill="CCECFC"/>
                      </w:tcPr>
                      <w:p>
                        <w:pPr>
                          <w:pStyle w:val="TableParagraph"/>
                          <w:ind w:left="721"/>
                          <w:rPr>
                            <w:sz w:val="20"/>
                          </w:rPr>
                        </w:pPr>
                        <w:r>
                          <w:rPr>
                            <w:color w:val="231F20"/>
                            <w:sz w:val="20"/>
                          </w:rPr>
                          <w:t>—</w:t>
                        </w:r>
                      </w:p>
                    </w:tc>
                    <w:tc>
                      <w:tcPr>
                        <w:tcW w:w="720" w:type="dxa"/>
                        <w:shd w:val="clear" w:color="auto" w:fill="CCECFC"/>
                      </w:tcPr>
                      <w:p>
                        <w:pPr>
                          <w:pStyle w:val="TableParagraph"/>
                          <w:ind w:left="171" w:right="51"/>
                          <w:jc w:val="center"/>
                          <w:rPr>
                            <w:sz w:val="20"/>
                          </w:rPr>
                        </w:pPr>
                        <w:r>
                          <w:rPr>
                            <w:color w:val="231F20"/>
                            <w:sz w:val="20"/>
                          </w:rPr>
                          <w:t>25</w:t>
                        </w:r>
                      </w:p>
                    </w:tc>
                  </w:tr>
                  <w:tr>
                    <w:trPr>
                      <w:trHeight w:val="300" w:hRule="exact"/>
                    </w:trPr>
                    <w:tc>
                      <w:tcPr>
                        <w:tcW w:w="1183" w:type="dxa"/>
                      </w:tcPr>
                      <w:p>
                        <w:pPr>
                          <w:pStyle w:val="TableParagraph"/>
                          <w:ind w:left="60"/>
                          <w:rPr>
                            <w:sz w:val="20"/>
                          </w:rPr>
                        </w:pPr>
                        <w:r>
                          <w:rPr>
                            <w:color w:val="231F20"/>
                            <w:sz w:val="20"/>
                          </w:rPr>
                          <w:t>2020</w:t>
                        </w:r>
                      </w:p>
                    </w:tc>
                    <w:tc>
                      <w:tcPr>
                        <w:tcW w:w="1206" w:type="dxa"/>
                      </w:tcPr>
                      <w:p>
                        <w:pPr>
                          <w:pStyle w:val="TableParagraph"/>
                          <w:ind w:left="450"/>
                          <w:rPr>
                            <w:sz w:val="20"/>
                          </w:rPr>
                        </w:pPr>
                        <w:r>
                          <w:rPr>
                            <w:color w:val="231F20"/>
                            <w:sz w:val="20"/>
                          </w:rPr>
                          <w:t>—</w:t>
                        </w:r>
                      </w:p>
                    </w:tc>
                    <w:tc>
                      <w:tcPr>
                        <w:tcW w:w="861" w:type="dxa"/>
                      </w:tcPr>
                      <w:p>
                        <w:pPr>
                          <w:pStyle w:val="TableParagraph"/>
                          <w:ind w:left="278"/>
                          <w:rPr>
                            <w:sz w:val="20"/>
                          </w:rPr>
                        </w:pPr>
                        <w:r>
                          <w:rPr>
                            <w:color w:val="231F20"/>
                            <w:sz w:val="20"/>
                          </w:rPr>
                          <w:t>—</w:t>
                        </w:r>
                      </w:p>
                    </w:tc>
                    <w:tc>
                      <w:tcPr>
                        <w:tcW w:w="902" w:type="dxa"/>
                      </w:tcPr>
                      <w:p>
                        <w:pPr>
                          <w:pStyle w:val="TableParagraph"/>
                          <w:ind w:left="133"/>
                          <w:jc w:val="center"/>
                          <w:rPr>
                            <w:sz w:val="20"/>
                          </w:rPr>
                        </w:pPr>
                        <w:r>
                          <w:rPr>
                            <w:color w:val="231F20"/>
                            <w:sz w:val="20"/>
                          </w:rPr>
                          <w:t>—</w:t>
                        </w:r>
                      </w:p>
                    </w:tc>
                    <w:tc>
                      <w:tcPr>
                        <w:tcW w:w="1197" w:type="dxa"/>
                      </w:tcPr>
                      <w:p>
                        <w:pPr>
                          <w:pStyle w:val="TableParagraph"/>
                          <w:ind w:right="534"/>
                          <w:jc w:val="right"/>
                          <w:rPr>
                            <w:sz w:val="20"/>
                          </w:rPr>
                        </w:pPr>
                        <w:r>
                          <w:rPr>
                            <w:color w:val="231F20"/>
                            <w:sz w:val="20"/>
                          </w:rPr>
                          <w:t>—</w:t>
                        </w:r>
                      </w:p>
                    </w:tc>
                    <w:tc>
                      <w:tcPr>
                        <w:tcW w:w="893" w:type="dxa"/>
                      </w:tcPr>
                      <w:p>
                        <w:pPr>
                          <w:pStyle w:val="TableParagraph"/>
                          <w:ind w:left="328"/>
                          <w:rPr>
                            <w:sz w:val="20"/>
                          </w:rPr>
                        </w:pPr>
                        <w:r>
                          <w:rPr>
                            <w:color w:val="231F20"/>
                            <w:sz w:val="20"/>
                          </w:rPr>
                          <w:t>14</w:t>
                        </w:r>
                      </w:p>
                    </w:tc>
                    <w:tc>
                      <w:tcPr>
                        <w:tcW w:w="808" w:type="dxa"/>
                      </w:tcPr>
                      <w:p>
                        <w:pPr>
                          <w:pStyle w:val="TableParagraph"/>
                          <w:ind w:right="240"/>
                          <w:jc w:val="right"/>
                          <w:rPr>
                            <w:sz w:val="20"/>
                          </w:rPr>
                        </w:pPr>
                        <w:r>
                          <w:rPr>
                            <w:color w:val="231F20"/>
                            <w:sz w:val="20"/>
                          </w:rPr>
                          <w:t>22</w:t>
                        </w:r>
                      </w:p>
                    </w:tc>
                    <w:tc>
                      <w:tcPr>
                        <w:tcW w:w="1352" w:type="dxa"/>
                      </w:tcPr>
                      <w:p>
                        <w:pPr>
                          <w:pStyle w:val="TableParagraph"/>
                          <w:ind w:left="721"/>
                          <w:rPr>
                            <w:sz w:val="20"/>
                          </w:rPr>
                        </w:pPr>
                        <w:r>
                          <w:rPr>
                            <w:color w:val="231F20"/>
                            <w:sz w:val="20"/>
                          </w:rPr>
                          <w:t>—</w:t>
                        </w:r>
                      </w:p>
                    </w:tc>
                    <w:tc>
                      <w:tcPr>
                        <w:tcW w:w="720" w:type="dxa"/>
                      </w:tcPr>
                      <w:p>
                        <w:pPr>
                          <w:pStyle w:val="TableParagraph"/>
                          <w:ind w:left="171" w:right="51"/>
                          <w:jc w:val="center"/>
                          <w:rPr>
                            <w:sz w:val="20"/>
                          </w:rPr>
                        </w:pPr>
                        <w:r>
                          <w:rPr>
                            <w:color w:val="231F20"/>
                            <w:sz w:val="20"/>
                          </w:rPr>
                          <w:t>36</w:t>
                        </w:r>
                      </w:p>
                    </w:tc>
                  </w:tr>
                  <w:tr>
                    <w:trPr>
                      <w:trHeight w:val="300" w:hRule="exact"/>
                    </w:trPr>
                    <w:tc>
                      <w:tcPr>
                        <w:tcW w:w="1183" w:type="dxa"/>
                        <w:shd w:val="clear" w:color="auto" w:fill="CCECFC"/>
                      </w:tcPr>
                      <w:p>
                        <w:pPr>
                          <w:pStyle w:val="TableParagraph"/>
                          <w:ind w:left="60"/>
                          <w:rPr>
                            <w:sz w:val="20"/>
                          </w:rPr>
                        </w:pPr>
                        <w:r>
                          <w:rPr>
                            <w:color w:val="231F20"/>
                            <w:sz w:val="20"/>
                          </w:rPr>
                          <w:t>2021</w:t>
                        </w:r>
                      </w:p>
                    </w:tc>
                    <w:tc>
                      <w:tcPr>
                        <w:tcW w:w="1206" w:type="dxa"/>
                        <w:shd w:val="clear" w:color="auto" w:fill="CCECFC"/>
                      </w:tcPr>
                      <w:p>
                        <w:pPr>
                          <w:pStyle w:val="TableParagraph"/>
                          <w:ind w:left="450"/>
                          <w:rPr>
                            <w:sz w:val="20"/>
                          </w:rPr>
                        </w:pPr>
                        <w:r>
                          <w:rPr>
                            <w:color w:val="231F20"/>
                            <w:sz w:val="20"/>
                          </w:rPr>
                          <w:t>—</w:t>
                        </w:r>
                      </w:p>
                    </w:tc>
                    <w:tc>
                      <w:tcPr>
                        <w:tcW w:w="861" w:type="dxa"/>
                        <w:shd w:val="clear" w:color="auto" w:fill="CCECFC"/>
                      </w:tcPr>
                      <w:p>
                        <w:pPr>
                          <w:pStyle w:val="TableParagraph"/>
                          <w:ind w:left="278"/>
                          <w:rPr>
                            <w:sz w:val="20"/>
                          </w:rPr>
                        </w:pPr>
                        <w:r>
                          <w:rPr>
                            <w:color w:val="231F20"/>
                            <w:sz w:val="20"/>
                          </w:rPr>
                          <w:t>—</w:t>
                        </w:r>
                      </w:p>
                    </w:tc>
                    <w:tc>
                      <w:tcPr>
                        <w:tcW w:w="902" w:type="dxa"/>
                        <w:shd w:val="clear" w:color="auto" w:fill="CCECFC"/>
                      </w:tcPr>
                      <w:p>
                        <w:pPr>
                          <w:pStyle w:val="TableParagraph"/>
                          <w:ind w:left="133"/>
                          <w:jc w:val="center"/>
                          <w:rPr>
                            <w:sz w:val="20"/>
                          </w:rPr>
                        </w:pPr>
                        <w:r>
                          <w:rPr>
                            <w:color w:val="231F20"/>
                            <w:sz w:val="20"/>
                          </w:rPr>
                          <w:t>—</w:t>
                        </w:r>
                      </w:p>
                    </w:tc>
                    <w:tc>
                      <w:tcPr>
                        <w:tcW w:w="1197" w:type="dxa"/>
                        <w:shd w:val="clear" w:color="auto" w:fill="CCECFC"/>
                      </w:tcPr>
                      <w:p>
                        <w:pPr>
                          <w:pStyle w:val="TableParagraph"/>
                          <w:ind w:right="534"/>
                          <w:jc w:val="right"/>
                          <w:rPr>
                            <w:sz w:val="20"/>
                          </w:rPr>
                        </w:pPr>
                        <w:r>
                          <w:rPr>
                            <w:color w:val="231F20"/>
                            <w:sz w:val="20"/>
                          </w:rPr>
                          <w:t>—</w:t>
                        </w:r>
                      </w:p>
                    </w:tc>
                    <w:tc>
                      <w:tcPr>
                        <w:tcW w:w="893" w:type="dxa"/>
                        <w:shd w:val="clear" w:color="auto" w:fill="CCECFC"/>
                      </w:tcPr>
                      <w:p>
                        <w:pPr>
                          <w:pStyle w:val="TableParagraph"/>
                          <w:ind w:left="378"/>
                          <w:rPr>
                            <w:sz w:val="20"/>
                          </w:rPr>
                        </w:pPr>
                        <w:r>
                          <w:rPr>
                            <w:color w:val="231F20"/>
                            <w:sz w:val="20"/>
                          </w:rPr>
                          <w:t>1</w:t>
                        </w:r>
                      </w:p>
                    </w:tc>
                    <w:tc>
                      <w:tcPr>
                        <w:tcW w:w="808" w:type="dxa"/>
                        <w:shd w:val="clear" w:color="auto" w:fill="CCECFC"/>
                      </w:tcPr>
                      <w:p>
                        <w:pPr>
                          <w:pStyle w:val="TableParagraph"/>
                          <w:ind w:right="240"/>
                          <w:jc w:val="right"/>
                          <w:rPr>
                            <w:sz w:val="20"/>
                          </w:rPr>
                        </w:pPr>
                        <w:r>
                          <w:rPr>
                            <w:color w:val="231F20"/>
                            <w:sz w:val="20"/>
                          </w:rPr>
                          <w:t>33</w:t>
                        </w:r>
                      </w:p>
                    </w:tc>
                    <w:tc>
                      <w:tcPr>
                        <w:tcW w:w="1352" w:type="dxa"/>
                        <w:shd w:val="clear" w:color="auto" w:fill="CCECFC"/>
                      </w:tcPr>
                      <w:p>
                        <w:pPr>
                          <w:pStyle w:val="TableParagraph"/>
                          <w:ind w:left="721"/>
                          <w:rPr>
                            <w:sz w:val="20"/>
                          </w:rPr>
                        </w:pPr>
                        <w:r>
                          <w:rPr>
                            <w:color w:val="231F20"/>
                            <w:sz w:val="20"/>
                          </w:rPr>
                          <w:t>18</w:t>
                        </w:r>
                      </w:p>
                    </w:tc>
                    <w:tc>
                      <w:tcPr>
                        <w:tcW w:w="720" w:type="dxa"/>
                        <w:shd w:val="clear" w:color="auto" w:fill="CCECFC"/>
                      </w:tcPr>
                      <w:p>
                        <w:pPr>
                          <w:pStyle w:val="TableParagraph"/>
                          <w:ind w:left="171" w:right="51"/>
                          <w:jc w:val="center"/>
                          <w:rPr>
                            <w:sz w:val="20"/>
                          </w:rPr>
                        </w:pPr>
                        <w:r>
                          <w:rPr>
                            <w:color w:val="231F20"/>
                            <w:sz w:val="20"/>
                          </w:rPr>
                          <w:t>52</w:t>
                        </w:r>
                      </w:p>
                    </w:tc>
                  </w:tr>
                  <w:tr>
                    <w:trPr>
                      <w:trHeight w:val="300" w:hRule="exact"/>
                    </w:trPr>
                    <w:tc>
                      <w:tcPr>
                        <w:tcW w:w="1183" w:type="dxa"/>
                      </w:tcPr>
                      <w:p>
                        <w:pPr>
                          <w:pStyle w:val="TableParagraph"/>
                          <w:ind w:left="60"/>
                          <w:rPr>
                            <w:sz w:val="20"/>
                          </w:rPr>
                        </w:pPr>
                        <w:r>
                          <w:rPr>
                            <w:color w:val="231F20"/>
                            <w:sz w:val="20"/>
                          </w:rPr>
                          <w:t>2022</w:t>
                        </w:r>
                      </w:p>
                    </w:tc>
                    <w:tc>
                      <w:tcPr>
                        <w:tcW w:w="1206" w:type="dxa"/>
                      </w:tcPr>
                      <w:p>
                        <w:pPr>
                          <w:pStyle w:val="TableParagraph"/>
                          <w:ind w:left="450"/>
                          <w:rPr>
                            <w:sz w:val="20"/>
                          </w:rPr>
                        </w:pPr>
                        <w:r>
                          <w:rPr>
                            <w:color w:val="231F20"/>
                            <w:sz w:val="20"/>
                          </w:rPr>
                          <w:t>—</w:t>
                        </w:r>
                      </w:p>
                    </w:tc>
                    <w:tc>
                      <w:tcPr>
                        <w:tcW w:w="861" w:type="dxa"/>
                      </w:tcPr>
                      <w:p>
                        <w:pPr>
                          <w:pStyle w:val="TableParagraph"/>
                          <w:ind w:left="278"/>
                          <w:rPr>
                            <w:sz w:val="20"/>
                          </w:rPr>
                        </w:pPr>
                        <w:r>
                          <w:rPr>
                            <w:color w:val="231F20"/>
                            <w:sz w:val="20"/>
                          </w:rPr>
                          <w:t>—</w:t>
                        </w:r>
                      </w:p>
                    </w:tc>
                    <w:tc>
                      <w:tcPr>
                        <w:tcW w:w="902" w:type="dxa"/>
                      </w:tcPr>
                      <w:p>
                        <w:pPr>
                          <w:pStyle w:val="TableParagraph"/>
                          <w:ind w:left="133"/>
                          <w:jc w:val="center"/>
                          <w:rPr>
                            <w:sz w:val="20"/>
                          </w:rPr>
                        </w:pPr>
                        <w:r>
                          <w:rPr>
                            <w:color w:val="231F20"/>
                            <w:sz w:val="20"/>
                          </w:rPr>
                          <w:t>—</w:t>
                        </w:r>
                      </w:p>
                    </w:tc>
                    <w:tc>
                      <w:tcPr>
                        <w:tcW w:w="1197" w:type="dxa"/>
                      </w:tcPr>
                      <w:p>
                        <w:pPr>
                          <w:pStyle w:val="TableParagraph"/>
                          <w:ind w:right="534"/>
                          <w:jc w:val="right"/>
                          <w:rPr>
                            <w:sz w:val="20"/>
                          </w:rPr>
                        </w:pPr>
                        <w:r>
                          <w:rPr>
                            <w:color w:val="231F20"/>
                            <w:sz w:val="20"/>
                          </w:rPr>
                          <w:t>—</w:t>
                        </w:r>
                      </w:p>
                    </w:tc>
                    <w:tc>
                      <w:tcPr>
                        <w:tcW w:w="893" w:type="dxa"/>
                      </w:tcPr>
                      <w:p>
                        <w:pPr>
                          <w:pStyle w:val="TableParagraph"/>
                          <w:ind w:left="328"/>
                          <w:rPr>
                            <w:sz w:val="20"/>
                          </w:rPr>
                        </w:pPr>
                        <w:r>
                          <w:rPr>
                            <w:color w:val="231F20"/>
                            <w:sz w:val="20"/>
                          </w:rPr>
                          <w:t>—</w:t>
                        </w:r>
                      </w:p>
                    </w:tc>
                    <w:tc>
                      <w:tcPr>
                        <w:tcW w:w="808" w:type="dxa"/>
                      </w:tcPr>
                      <w:p>
                        <w:pPr>
                          <w:pStyle w:val="TableParagraph"/>
                          <w:ind w:right="240"/>
                          <w:jc w:val="right"/>
                          <w:rPr>
                            <w:sz w:val="20"/>
                          </w:rPr>
                        </w:pPr>
                        <w:r>
                          <w:rPr>
                            <w:color w:val="231F20"/>
                            <w:sz w:val="20"/>
                          </w:rPr>
                          <w:t>30</w:t>
                        </w:r>
                      </w:p>
                    </w:tc>
                    <w:tc>
                      <w:tcPr>
                        <w:tcW w:w="1352" w:type="dxa"/>
                      </w:tcPr>
                      <w:p>
                        <w:pPr>
                          <w:pStyle w:val="TableParagraph"/>
                          <w:ind w:left="721"/>
                          <w:rPr>
                            <w:sz w:val="20"/>
                          </w:rPr>
                        </w:pPr>
                        <w:r>
                          <w:rPr>
                            <w:color w:val="231F20"/>
                            <w:sz w:val="20"/>
                          </w:rPr>
                          <w:t>19</w:t>
                        </w:r>
                      </w:p>
                    </w:tc>
                    <w:tc>
                      <w:tcPr>
                        <w:tcW w:w="720" w:type="dxa"/>
                      </w:tcPr>
                      <w:p>
                        <w:pPr>
                          <w:pStyle w:val="TableParagraph"/>
                          <w:ind w:left="171" w:right="51"/>
                          <w:jc w:val="center"/>
                          <w:rPr>
                            <w:sz w:val="20"/>
                          </w:rPr>
                        </w:pPr>
                        <w:r>
                          <w:rPr>
                            <w:color w:val="231F20"/>
                            <w:sz w:val="20"/>
                          </w:rPr>
                          <w:t>49</w:t>
                        </w:r>
                      </w:p>
                    </w:tc>
                  </w:tr>
                  <w:tr>
                    <w:trPr>
                      <w:trHeight w:val="300" w:hRule="exact"/>
                    </w:trPr>
                    <w:tc>
                      <w:tcPr>
                        <w:tcW w:w="1183" w:type="dxa"/>
                        <w:shd w:val="clear" w:color="auto" w:fill="CCECFC"/>
                      </w:tcPr>
                      <w:p>
                        <w:pPr>
                          <w:pStyle w:val="TableParagraph"/>
                          <w:ind w:left="60"/>
                          <w:rPr>
                            <w:sz w:val="20"/>
                          </w:rPr>
                        </w:pPr>
                        <w:r>
                          <w:rPr>
                            <w:color w:val="231F20"/>
                            <w:sz w:val="20"/>
                          </w:rPr>
                          <w:t>2023</w:t>
                        </w:r>
                      </w:p>
                    </w:tc>
                    <w:tc>
                      <w:tcPr>
                        <w:tcW w:w="1206" w:type="dxa"/>
                        <w:shd w:val="clear" w:color="auto" w:fill="CCECFC"/>
                      </w:tcPr>
                      <w:p>
                        <w:pPr>
                          <w:pStyle w:val="TableParagraph"/>
                          <w:ind w:left="450"/>
                          <w:rPr>
                            <w:sz w:val="20"/>
                          </w:rPr>
                        </w:pPr>
                        <w:r>
                          <w:rPr>
                            <w:color w:val="231F20"/>
                            <w:sz w:val="20"/>
                          </w:rPr>
                          <w:t>—</w:t>
                        </w:r>
                      </w:p>
                    </w:tc>
                    <w:tc>
                      <w:tcPr>
                        <w:tcW w:w="861" w:type="dxa"/>
                        <w:shd w:val="clear" w:color="auto" w:fill="CCECFC"/>
                      </w:tcPr>
                      <w:p>
                        <w:pPr>
                          <w:pStyle w:val="TableParagraph"/>
                          <w:ind w:left="278"/>
                          <w:rPr>
                            <w:sz w:val="20"/>
                          </w:rPr>
                        </w:pPr>
                        <w:r>
                          <w:rPr>
                            <w:color w:val="231F20"/>
                            <w:sz w:val="20"/>
                          </w:rPr>
                          <w:t>—</w:t>
                        </w:r>
                      </w:p>
                    </w:tc>
                    <w:tc>
                      <w:tcPr>
                        <w:tcW w:w="902" w:type="dxa"/>
                        <w:shd w:val="clear" w:color="auto" w:fill="CCECFC"/>
                      </w:tcPr>
                      <w:p>
                        <w:pPr>
                          <w:pStyle w:val="TableParagraph"/>
                          <w:ind w:left="133"/>
                          <w:jc w:val="center"/>
                          <w:rPr>
                            <w:sz w:val="20"/>
                          </w:rPr>
                        </w:pPr>
                        <w:r>
                          <w:rPr>
                            <w:color w:val="231F20"/>
                            <w:sz w:val="20"/>
                          </w:rPr>
                          <w:t>—</w:t>
                        </w:r>
                      </w:p>
                    </w:tc>
                    <w:tc>
                      <w:tcPr>
                        <w:tcW w:w="1197" w:type="dxa"/>
                        <w:shd w:val="clear" w:color="auto" w:fill="CCECFC"/>
                      </w:tcPr>
                      <w:p>
                        <w:pPr>
                          <w:pStyle w:val="TableParagraph"/>
                          <w:ind w:right="534"/>
                          <w:jc w:val="right"/>
                          <w:rPr>
                            <w:sz w:val="20"/>
                          </w:rPr>
                        </w:pPr>
                        <w:r>
                          <w:rPr>
                            <w:color w:val="231F20"/>
                            <w:sz w:val="20"/>
                          </w:rPr>
                          <w:t>—</w:t>
                        </w:r>
                      </w:p>
                    </w:tc>
                    <w:tc>
                      <w:tcPr>
                        <w:tcW w:w="893" w:type="dxa"/>
                        <w:shd w:val="clear" w:color="auto" w:fill="CCECFC"/>
                      </w:tcPr>
                      <w:p>
                        <w:pPr>
                          <w:pStyle w:val="TableParagraph"/>
                          <w:ind w:left="328"/>
                          <w:rPr>
                            <w:sz w:val="20"/>
                          </w:rPr>
                        </w:pPr>
                        <w:r>
                          <w:rPr>
                            <w:color w:val="231F20"/>
                            <w:sz w:val="20"/>
                          </w:rPr>
                          <w:t>—</w:t>
                        </w:r>
                      </w:p>
                    </w:tc>
                    <w:tc>
                      <w:tcPr>
                        <w:tcW w:w="808" w:type="dxa"/>
                        <w:shd w:val="clear" w:color="auto" w:fill="CCECFC"/>
                      </w:tcPr>
                      <w:p>
                        <w:pPr>
                          <w:pStyle w:val="TableParagraph"/>
                          <w:ind w:right="240"/>
                          <w:jc w:val="right"/>
                          <w:rPr>
                            <w:sz w:val="20"/>
                          </w:rPr>
                        </w:pPr>
                        <w:r>
                          <w:rPr>
                            <w:color w:val="231F20"/>
                            <w:sz w:val="20"/>
                          </w:rPr>
                          <w:t>24</w:t>
                        </w:r>
                      </w:p>
                    </w:tc>
                    <w:tc>
                      <w:tcPr>
                        <w:tcW w:w="1352" w:type="dxa"/>
                        <w:shd w:val="clear" w:color="auto" w:fill="CCECFC"/>
                      </w:tcPr>
                      <w:p>
                        <w:pPr>
                          <w:pStyle w:val="TableParagraph"/>
                          <w:ind w:left="721"/>
                          <w:rPr>
                            <w:sz w:val="20"/>
                          </w:rPr>
                        </w:pPr>
                        <w:r>
                          <w:rPr>
                            <w:color w:val="231F20"/>
                            <w:sz w:val="20"/>
                          </w:rPr>
                          <w:t>23</w:t>
                        </w:r>
                      </w:p>
                    </w:tc>
                    <w:tc>
                      <w:tcPr>
                        <w:tcW w:w="720" w:type="dxa"/>
                        <w:shd w:val="clear" w:color="auto" w:fill="CCECFC"/>
                      </w:tcPr>
                      <w:p>
                        <w:pPr>
                          <w:pStyle w:val="TableParagraph"/>
                          <w:ind w:left="171" w:right="51"/>
                          <w:jc w:val="center"/>
                          <w:rPr>
                            <w:sz w:val="20"/>
                          </w:rPr>
                        </w:pPr>
                        <w:r>
                          <w:rPr>
                            <w:color w:val="231F20"/>
                            <w:sz w:val="20"/>
                          </w:rPr>
                          <w:t>47</w:t>
                        </w:r>
                      </w:p>
                    </w:tc>
                  </w:tr>
                  <w:tr>
                    <w:trPr>
                      <w:trHeight w:val="300" w:hRule="exact"/>
                    </w:trPr>
                    <w:tc>
                      <w:tcPr>
                        <w:tcW w:w="1183" w:type="dxa"/>
                      </w:tcPr>
                      <w:p>
                        <w:pPr>
                          <w:pStyle w:val="TableParagraph"/>
                          <w:ind w:left="60"/>
                          <w:rPr>
                            <w:sz w:val="20"/>
                          </w:rPr>
                        </w:pPr>
                        <w:r>
                          <w:rPr>
                            <w:color w:val="231F20"/>
                            <w:sz w:val="20"/>
                          </w:rPr>
                          <w:t>2024</w:t>
                        </w:r>
                      </w:p>
                    </w:tc>
                    <w:tc>
                      <w:tcPr>
                        <w:tcW w:w="1206" w:type="dxa"/>
                      </w:tcPr>
                      <w:p>
                        <w:pPr>
                          <w:pStyle w:val="TableParagraph"/>
                          <w:ind w:left="450"/>
                          <w:rPr>
                            <w:sz w:val="20"/>
                          </w:rPr>
                        </w:pPr>
                        <w:r>
                          <w:rPr>
                            <w:color w:val="231F20"/>
                            <w:sz w:val="20"/>
                          </w:rPr>
                          <w:t>—</w:t>
                        </w:r>
                      </w:p>
                    </w:tc>
                    <w:tc>
                      <w:tcPr>
                        <w:tcW w:w="861" w:type="dxa"/>
                      </w:tcPr>
                      <w:p>
                        <w:pPr>
                          <w:pStyle w:val="TableParagraph"/>
                          <w:ind w:left="278"/>
                          <w:rPr>
                            <w:sz w:val="20"/>
                          </w:rPr>
                        </w:pPr>
                        <w:r>
                          <w:rPr>
                            <w:color w:val="231F20"/>
                            <w:sz w:val="20"/>
                          </w:rPr>
                          <w:t>—</w:t>
                        </w:r>
                      </w:p>
                    </w:tc>
                    <w:tc>
                      <w:tcPr>
                        <w:tcW w:w="902" w:type="dxa"/>
                      </w:tcPr>
                      <w:p>
                        <w:pPr>
                          <w:pStyle w:val="TableParagraph"/>
                          <w:ind w:left="133"/>
                          <w:jc w:val="center"/>
                          <w:rPr>
                            <w:sz w:val="20"/>
                          </w:rPr>
                        </w:pPr>
                        <w:r>
                          <w:rPr>
                            <w:color w:val="231F20"/>
                            <w:sz w:val="20"/>
                          </w:rPr>
                          <w:t>—</w:t>
                        </w:r>
                      </w:p>
                    </w:tc>
                    <w:tc>
                      <w:tcPr>
                        <w:tcW w:w="1197" w:type="dxa"/>
                      </w:tcPr>
                      <w:p>
                        <w:pPr>
                          <w:pStyle w:val="TableParagraph"/>
                          <w:ind w:right="534"/>
                          <w:jc w:val="right"/>
                          <w:rPr>
                            <w:sz w:val="20"/>
                          </w:rPr>
                        </w:pPr>
                        <w:r>
                          <w:rPr>
                            <w:color w:val="231F20"/>
                            <w:sz w:val="20"/>
                          </w:rPr>
                          <w:t>—</w:t>
                        </w:r>
                      </w:p>
                    </w:tc>
                    <w:tc>
                      <w:tcPr>
                        <w:tcW w:w="893" w:type="dxa"/>
                      </w:tcPr>
                      <w:p>
                        <w:pPr>
                          <w:pStyle w:val="TableParagraph"/>
                          <w:ind w:left="328"/>
                          <w:rPr>
                            <w:sz w:val="20"/>
                          </w:rPr>
                        </w:pPr>
                        <w:r>
                          <w:rPr>
                            <w:color w:val="231F20"/>
                            <w:sz w:val="20"/>
                          </w:rPr>
                          <w:t>—</w:t>
                        </w:r>
                      </w:p>
                    </w:tc>
                    <w:tc>
                      <w:tcPr>
                        <w:tcW w:w="808" w:type="dxa"/>
                      </w:tcPr>
                      <w:p>
                        <w:pPr>
                          <w:pStyle w:val="TableParagraph"/>
                          <w:ind w:right="240"/>
                          <w:jc w:val="right"/>
                          <w:rPr>
                            <w:sz w:val="20"/>
                          </w:rPr>
                        </w:pPr>
                        <w:r>
                          <w:rPr>
                            <w:color w:val="231F20"/>
                            <w:sz w:val="20"/>
                          </w:rPr>
                          <w:t>24</w:t>
                        </w:r>
                      </w:p>
                    </w:tc>
                    <w:tc>
                      <w:tcPr>
                        <w:tcW w:w="1352" w:type="dxa"/>
                      </w:tcPr>
                      <w:p>
                        <w:pPr>
                          <w:pStyle w:val="TableParagraph"/>
                          <w:ind w:left="721"/>
                          <w:rPr>
                            <w:sz w:val="20"/>
                          </w:rPr>
                        </w:pPr>
                        <w:r>
                          <w:rPr>
                            <w:color w:val="231F20"/>
                            <w:sz w:val="20"/>
                          </w:rPr>
                          <w:t>23</w:t>
                        </w:r>
                      </w:p>
                    </w:tc>
                    <w:tc>
                      <w:tcPr>
                        <w:tcW w:w="720" w:type="dxa"/>
                      </w:tcPr>
                      <w:p>
                        <w:pPr>
                          <w:pStyle w:val="TableParagraph"/>
                          <w:ind w:left="171" w:right="51"/>
                          <w:jc w:val="center"/>
                          <w:rPr>
                            <w:sz w:val="20"/>
                          </w:rPr>
                        </w:pPr>
                        <w:r>
                          <w:rPr>
                            <w:color w:val="231F20"/>
                            <w:sz w:val="20"/>
                          </w:rPr>
                          <w:t>47</w:t>
                        </w:r>
                      </w:p>
                    </w:tc>
                  </w:tr>
                  <w:tr>
                    <w:trPr>
                      <w:trHeight w:val="300" w:hRule="exact"/>
                    </w:trPr>
                    <w:tc>
                      <w:tcPr>
                        <w:tcW w:w="1183" w:type="dxa"/>
                        <w:shd w:val="clear" w:color="auto" w:fill="CCECFC"/>
                      </w:tcPr>
                      <w:p>
                        <w:pPr>
                          <w:pStyle w:val="TableParagraph"/>
                          <w:ind w:left="60"/>
                          <w:rPr>
                            <w:sz w:val="20"/>
                          </w:rPr>
                        </w:pPr>
                        <w:r>
                          <w:rPr>
                            <w:color w:val="231F20"/>
                            <w:sz w:val="20"/>
                          </w:rPr>
                          <w:t>2025</w:t>
                        </w:r>
                      </w:p>
                    </w:tc>
                    <w:tc>
                      <w:tcPr>
                        <w:tcW w:w="1206" w:type="dxa"/>
                        <w:shd w:val="clear" w:color="auto" w:fill="CCECFC"/>
                      </w:tcPr>
                      <w:p>
                        <w:pPr>
                          <w:pStyle w:val="TableParagraph"/>
                          <w:ind w:left="450"/>
                          <w:rPr>
                            <w:sz w:val="20"/>
                          </w:rPr>
                        </w:pPr>
                        <w:r>
                          <w:rPr>
                            <w:color w:val="231F20"/>
                            <w:sz w:val="20"/>
                          </w:rPr>
                          <w:t>—</w:t>
                        </w:r>
                      </w:p>
                    </w:tc>
                    <w:tc>
                      <w:tcPr>
                        <w:tcW w:w="861" w:type="dxa"/>
                        <w:shd w:val="clear" w:color="auto" w:fill="CCECFC"/>
                      </w:tcPr>
                      <w:p>
                        <w:pPr>
                          <w:pStyle w:val="TableParagraph"/>
                          <w:ind w:left="278"/>
                          <w:rPr>
                            <w:sz w:val="20"/>
                          </w:rPr>
                        </w:pPr>
                        <w:r>
                          <w:rPr>
                            <w:color w:val="231F20"/>
                            <w:sz w:val="20"/>
                          </w:rPr>
                          <w:t>—</w:t>
                        </w:r>
                      </w:p>
                    </w:tc>
                    <w:tc>
                      <w:tcPr>
                        <w:tcW w:w="902" w:type="dxa"/>
                        <w:shd w:val="clear" w:color="auto" w:fill="CCECFC"/>
                      </w:tcPr>
                      <w:p>
                        <w:pPr>
                          <w:pStyle w:val="TableParagraph"/>
                          <w:ind w:left="133"/>
                          <w:jc w:val="center"/>
                          <w:rPr>
                            <w:sz w:val="20"/>
                          </w:rPr>
                        </w:pPr>
                        <w:r>
                          <w:rPr>
                            <w:color w:val="231F20"/>
                            <w:sz w:val="20"/>
                          </w:rPr>
                          <w:t>—</w:t>
                        </w:r>
                      </w:p>
                    </w:tc>
                    <w:tc>
                      <w:tcPr>
                        <w:tcW w:w="1197" w:type="dxa"/>
                        <w:shd w:val="clear" w:color="auto" w:fill="CCECFC"/>
                      </w:tcPr>
                      <w:p>
                        <w:pPr>
                          <w:pStyle w:val="TableParagraph"/>
                          <w:ind w:right="534"/>
                          <w:jc w:val="right"/>
                          <w:rPr>
                            <w:sz w:val="20"/>
                          </w:rPr>
                        </w:pPr>
                        <w:r>
                          <w:rPr>
                            <w:color w:val="231F20"/>
                            <w:sz w:val="20"/>
                          </w:rPr>
                          <w:t>—</w:t>
                        </w:r>
                      </w:p>
                    </w:tc>
                    <w:tc>
                      <w:tcPr>
                        <w:tcW w:w="893" w:type="dxa"/>
                        <w:shd w:val="clear" w:color="auto" w:fill="CCECFC"/>
                      </w:tcPr>
                      <w:p>
                        <w:pPr>
                          <w:pStyle w:val="TableParagraph"/>
                          <w:ind w:left="328"/>
                          <w:rPr>
                            <w:sz w:val="20"/>
                          </w:rPr>
                        </w:pPr>
                        <w:r>
                          <w:rPr>
                            <w:color w:val="231F20"/>
                            <w:sz w:val="20"/>
                          </w:rPr>
                          <w:t>—</w:t>
                        </w:r>
                      </w:p>
                    </w:tc>
                    <w:tc>
                      <w:tcPr>
                        <w:tcW w:w="808" w:type="dxa"/>
                        <w:shd w:val="clear" w:color="auto" w:fill="CCECFC"/>
                      </w:tcPr>
                      <w:p>
                        <w:pPr>
                          <w:pStyle w:val="TableParagraph"/>
                          <w:ind w:right="240"/>
                          <w:jc w:val="right"/>
                          <w:rPr>
                            <w:sz w:val="20"/>
                          </w:rPr>
                        </w:pPr>
                        <w:r>
                          <w:rPr>
                            <w:color w:val="231F20"/>
                            <w:sz w:val="20"/>
                          </w:rPr>
                          <w:t>—</w:t>
                        </w:r>
                      </w:p>
                    </w:tc>
                    <w:tc>
                      <w:tcPr>
                        <w:tcW w:w="1352" w:type="dxa"/>
                        <w:shd w:val="clear" w:color="auto" w:fill="CCECFC"/>
                      </w:tcPr>
                      <w:p>
                        <w:pPr>
                          <w:pStyle w:val="TableParagraph"/>
                          <w:ind w:left="721"/>
                          <w:rPr>
                            <w:sz w:val="20"/>
                          </w:rPr>
                        </w:pPr>
                        <w:r>
                          <w:rPr>
                            <w:color w:val="231F20"/>
                            <w:sz w:val="20"/>
                          </w:rPr>
                          <w:t>36</w:t>
                        </w:r>
                      </w:p>
                    </w:tc>
                    <w:tc>
                      <w:tcPr>
                        <w:tcW w:w="720" w:type="dxa"/>
                        <w:shd w:val="clear" w:color="auto" w:fill="CCECFC"/>
                      </w:tcPr>
                      <w:p>
                        <w:pPr>
                          <w:pStyle w:val="TableParagraph"/>
                          <w:ind w:left="171" w:right="51"/>
                          <w:jc w:val="center"/>
                          <w:rPr>
                            <w:sz w:val="20"/>
                          </w:rPr>
                        </w:pPr>
                        <w:r>
                          <w:rPr>
                            <w:color w:val="231F20"/>
                            <w:sz w:val="20"/>
                          </w:rPr>
                          <w:t>36</w:t>
                        </w:r>
                      </w:p>
                    </w:tc>
                  </w:tr>
                  <w:tr>
                    <w:trPr>
                      <w:trHeight w:val="300" w:hRule="exact"/>
                    </w:trPr>
                    <w:tc>
                      <w:tcPr>
                        <w:tcW w:w="1183" w:type="dxa"/>
                      </w:tcPr>
                      <w:p>
                        <w:pPr>
                          <w:pStyle w:val="TableParagraph"/>
                          <w:ind w:left="60"/>
                          <w:rPr>
                            <w:sz w:val="20"/>
                          </w:rPr>
                        </w:pPr>
                        <w:r>
                          <w:rPr>
                            <w:color w:val="231F20"/>
                            <w:sz w:val="20"/>
                          </w:rPr>
                          <w:t>2026</w:t>
                        </w:r>
                      </w:p>
                    </w:tc>
                    <w:tc>
                      <w:tcPr>
                        <w:tcW w:w="1206" w:type="dxa"/>
                      </w:tcPr>
                      <w:p>
                        <w:pPr>
                          <w:pStyle w:val="TableParagraph"/>
                          <w:ind w:left="450"/>
                          <w:rPr>
                            <w:sz w:val="20"/>
                          </w:rPr>
                        </w:pPr>
                        <w:r>
                          <w:rPr>
                            <w:color w:val="231F20"/>
                            <w:sz w:val="20"/>
                          </w:rPr>
                          <w:t>—</w:t>
                        </w:r>
                      </w:p>
                    </w:tc>
                    <w:tc>
                      <w:tcPr>
                        <w:tcW w:w="861" w:type="dxa"/>
                      </w:tcPr>
                      <w:p>
                        <w:pPr>
                          <w:pStyle w:val="TableParagraph"/>
                          <w:ind w:left="278"/>
                          <w:rPr>
                            <w:sz w:val="20"/>
                          </w:rPr>
                        </w:pPr>
                        <w:r>
                          <w:rPr>
                            <w:color w:val="231F20"/>
                            <w:sz w:val="20"/>
                          </w:rPr>
                          <w:t>—</w:t>
                        </w:r>
                      </w:p>
                    </w:tc>
                    <w:tc>
                      <w:tcPr>
                        <w:tcW w:w="902" w:type="dxa"/>
                      </w:tcPr>
                      <w:p>
                        <w:pPr>
                          <w:pStyle w:val="TableParagraph"/>
                          <w:ind w:left="133"/>
                          <w:jc w:val="center"/>
                          <w:rPr>
                            <w:sz w:val="20"/>
                          </w:rPr>
                        </w:pPr>
                        <w:r>
                          <w:rPr>
                            <w:color w:val="231F20"/>
                            <w:sz w:val="20"/>
                          </w:rPr>
                          <w:t>—</w:t>
                        </w:r>
                      </w:p>
                    </w:tc>
                    <w:tc>
                      <w:tcPr>
                        <w:tcW w:w="1197" w:type="dxa"/>
                      </w:tcPr>
                      <w:p>
                        <w:pPr>
                          <w:pStyle w:val="TableParagraph"/>
                          <w:ind w:right="534"/>
                          <w:jc w:val="right"/>
                          <w:rPr>
                            <w:sz w:val="20"/>
                          </w:rPr>
                        </w:pPr>
                        <w:r>
                          <w:rPr>
                            <w:color w:val="231F20"/>
                            <w:sz w:val="20"/>
                          </w:rPr>
                          <w:t>—</w:t>
                        </w:r>
                      </w:p>
                    </w:tc>
                    <w:tc>
                      <w:tcPr>
                        <w:tcW w:w="893" w:type="dxa"/>
                      </w:tcPr>
                      <w:p>
                        <w:pPr>
                          <w:pStyle w:val="TableParagraph"/>
                          <w:ind w:left="328"/>
                          <w:rPr>
                            <w:sz w:val="20"/>
                          </w:rPr>
                        </w:pPr>
                        <w:r>
                          <w:rPr>
                            <w:color w:val="231F20"/>
                            <w:sz w:val="20"/>
                          </w:rPr>
                          <w:t>—</w:t>
                        </w:r>
                      </w:p>
                    </w:tc>
                    <w:tc>
                      <w:tcPr>
                        <w:tcW w:w="808" w:type="dxa"/>
                      </w:tcPr>
                      <w:p>
                        <w:pPr>
                          <w:pStyle w:val="TableParagraph"/>
                          <w:ind w:right="240"/>
                          <w:jc w:val="right"/>
                          <w:rPr>
                            <w:sz w:val="20"/>
                          </w:rPr>
                        </w:pPr>
                        <w:r>
                          <w:rPr>
                            <w:color w:val="231F20"/>
                            <w:sz w:val="20"/>
                          </w:rPr>
                          <w:t>—</w:t>
                        </w:r>
                      </w:p>
                    </w:tc>
                    <w:tc>
                      <w:tcPr>
                        <w:tcW w:w="1352" w:type="dxa"/>
                      </w:tcPr>
                      <w:p>
                        <w:pPr>
                          <w:pStyle w:val="TableParagraph"/>
                          <w:ind w:left="721"/>
                          <w:rPr>
                            <w:sz w:val="20"/>
                          </w:rPr>
                        </w:pPr>
                        <w:r>
                          <w:rPr>
                            <w:color w:val="231F20"/>
                            <w:sz w:val="20"/>
                          </w:rPr>
                          <w:t>36</w:t>
                        </w:r>
                      </w:p>
                    </w:tc>
                    <w:tc>
                      <w:tcPr>
                        <w:tcW w:w="720" w:type="dxa"/>
                      </w:tcPr>
                      <w:p>
                        <w:pPr>
                          <w:pStyle w:val="TableParagraph"/>
                          <w:ind w:left="171" w:right="51"/>
                          <w:jc w:val="center"/>
                          <w:rPr>
                            <w:sz w:val="20"/>
                          </w:rPr>
                        </w:pPr>
                        <w:r>
                          <w:rPr>
                            <w:color w:val="231F20"/>
                            <w:sz w:val="20"/>
                          </w:rPr>
                          <w:t>36</w:t>
                        </w:r>
                      </w:p>
                    </w:tc>
                  </w:tr>
                  <w:tr>
                    <w:trPr>
                      <w:trHeight w:val="295" w:hRule="exact"/>
                    </w:trPr>
                    <w:tc>
                      <w:tcPr>
                        <w:tcW w:w="1183" w:type="dxa"/>
                        <w:shd w:val="clear" w:color="auto" w:fill="CCECFC"/>
                      </w:tcPr>
                      <w:p>
                        <w:pPr>
                          <w:pStyle w:val="TableParagraph"/>
                          <w:ind w:left="60"/>
                          <w:rPr>
                            <w:sz w:val="20"/>
                          </w:rPr>
                        </w:pPr>
                        <w:r>
                          <w:rPr>
                            <w:color w:val="231F20"/>
                            <w:sz w:val="20"/>
                          </w:rPr>
                          <w:t>2027</w:t>
                        </w:r>
                      </w:p>
                    </w:tc>
                    <w:tc>
                      <w:tcPr>
                        <w:tcW w:w="1206" w:type="dxa"/>
                        <w:tcBorders>
                          <w:bottom w:val="single" w:sz="4" w:space="0" w:color="231F20"/>
                        </w:tcBorders>
                        <w:shd w:val="clear" w:color="auto" w:fill="CCECFC"/>
                      </w:tcPr>
                      <w:p>
                        <w:pPr>
                          <w:pStyle w:val="TableParagraph"/>
                          <w:ind w:left="450"/>
                          <w:rPr>
                            <w:sz w:val="20"/>
                          </w:rPr>
                        </w:pPr>
                        <w:r>
                          <w:rPr>
                            <w:color w:val="231F20"/>
                            <w:sz w:val="20"/>
                          </w:rPr>
                          <w:t>—</w:t>
                        </w:r>
                      </w:p>
                    </w:tc>
                    <w:tc>
                      <w:tcPr>
                        <w:tcW w:w="861" w:type="dxa"/>
                        <w:tcBorders>
                          <w:bottom w:val="single" w:sz="4" w:space="0" w:color="231F20"/>
                        </w:tcBorders>
                        <w:shd w:val="clear" w:color="auto" w:fill="CCECFC"/>
                      </w:tcPr>
                      <w:p>
                        <w:pPr>
                          <w:pStyle w:val="TableParagraph"/>
                          <w:ind w:left="278"/>
                          <w:rPr>
                            <w:sz w:val="20"/>
                          </w:rPr>
                        </w:pPr>
                        <w:r>
                          <w:rPr>
                            <w:color w:val="231F20"/>
                            <w:sz w:val="20"/>
                          </w:rPr>
                          <w:t>—</w:t>
                        </w:r>
                      </w:p>
                    </w:tc>
                    <w:tc>
                      <w:tcPr>
                        <w:tcW w:w="902" w:type="dxa"/>
                        <w:tcBorders>
                          <w:bottom w:val="single" w:sz="4" w:space="0" w:color="231F20"/>
                        </w:tcBorders>
                        <w:shd w:val="clear" w:color="auto" w:fill="CCECFC"/>
                      </w:tcPr>
                      <w:p>
                        <w:pPr>
                          <w:pStyle w:val="TableParagraph"/>
                          <w:ind w:left="133"/>
                          <w:jc w:val="center"/>
                          <w:rPr>
                            <w:sz w:val="20"/>
                          </w:rPr>
                        </w:pPr>
                        <w:r>
                          <w:rPr>
                            <w:color w:val="231F20"/>
                            <w:sz w:val="20"/>
                          </w:rPr>
                          <w:t>—</w:t>
                        </w:r>
                      </w:p>
                    </w:tc>
                    <w:tc>
                      <w:tcPr>
                        <w:tcW w:w="1197" w:type="dxa"/>
                        <w:tcBorders>
                          <w:bottom w:val="single" w:sz="4" w:space="0" w:color="231F20"/>
                        </w:tcBorders>
                        <w:shd w:val="clear" w:color="auto" w:fill="CCECFC"/>
                      </w:tcPr>
                      <w:p>
                        <w:pPr>
                          <w:pStyle w:val="TableParagraph"/>
                          <w:ind w:right="534"/>
                          <w:jc w:val="right"/>
                          <w:rPr>
                            <w:sz w:val="20"/>
                          </w:rPr>
                        </w:pPr>
                        <w:r>
                          <w:rPr>
                            <w:color w:val="231F20"/>
                            <w:sz w:val="20"/>
                          </w:rPr>
                          <w:t>—</w:t>
                        </w:r>
                      </w:p>
                    </w:tc>
                    <w:tc>
                      <w:tcPr>
                        <w:tcW w:w="893" w:type="dxa"/>
                        <w:tcBorders>
                          <w:bottom w:val="single" w:sz="4" w:space="0" w:color="231F20"/>
                        </w:tcBorders>
                        <w:shd w:val="clear" w:color="auto" w:fill="CCECFC"/>
                      </w:tcPr>
                      <w:p>
                        <w:pPr>
                          <w:pStyle w:val="TableParagraph"/>
                          <w:ind w:left="328"/>
                          <w:rPr>
                            <w:sz w:val="20"/>
                          </w:rPr>
                        </w:pPr>
                        <w:r>
                          <w:rPr>
                            <w:color w:val="231F20"/>
                            <w:sz w:val="20"/>
                          </w:rPr>
                          <w:t>—</w:t>
                        </w:r>
                      </w:p>
                    </w:tc>
                    <w:tc>
                      <w:tcPr>
                        <w:tcW w:w="808" w:type="dxa"/>
                        <w:tcBorders>
                          <w:bottom w:val="single" w:sz="4" w:space="0" w:color="231F20"/>
                        </w:tcBorders>
                        <w:shd w:val="clear" w:color="auto" w:fill="CCECFC"/>
                      </w:tcPr>
                      <w:p>
                        <w:pPr>
                          <w:pStyle w:val="TableParagraph"/>
                          <w:ind w:right="240"/>
                          <w:jc w:val="right"/>
                          <w:rPr>
                            <w:sz w:val="20"/>
                          </w:rPr>
                        </w:pPr>
                        <w:r>
                          <w:rPr>
                            <w:color w:val="231F20"/>
                            <w:sz w:val="20"/>
                          </w:rPr>
                          <w:t>—</w:t>
                        </w:r>
                      </w:p>
                    </w:tc>
                    <w:tc>
                      <w:tcPr>
                        <w:tcW w:w="1352" w:type="dxa"/>
                        <w:tcBorders>
                          <w:bottom w:val="single" w:sz="4" w:space="0" w:color="231F20"/>
                        </w:tcBorders>
                        <w:shd w:val="clear" w:color="auto" w:fill="CCECFC"/>
                      </w:tcPr>
                      <w:p>
                        <w:pPr>
                          <w:pStyle w:val="TableParagraph"/>
                          <w:ind w:left="721"/>
                          <w:rPr>
                            <w:sz w:val="20"/>
                          </w:rPr>
                        </w:pPr>
                        <w:r>
                          <w:rPr>
                            <w:color w:val="231F20"/>
                            <w:sz w:val="20"/>
                          </w:rPr>
                          <w:t>36</w:t>
                        </w:r>
                      </w:p>
                    </w:tc>
                    <w:tc>
                      <w:tcPr>
                        <w:tcW w:w="720" w:type="dxa"/>
                        <w:tcBorders>
                          <w:bottom w:val="single" w:sz="4" w:space="0" w:color="231F20"/>
                        </w:tcBorders>
                        <w:shd w:val="clear" w:color="auto" w:fill="CCECFC"/>
                      </w:tcPr>
                      <w:p>
                        <w:pPr>
                          <w:pStyle w:val="TableParagraph"/>
                          <w:ind w:left="171" w:right="51"/>
                          <w:jc w:val="center"/>
                          <w:rPr>
                            <w:sz w:val="20"/>
                          </w:rPr>
                        </w:pPr>
                        <w:r>
                          <w:rPr>
                            <w:color w:val="231F20"/>
                            <w:sz w:val="20"/>
                          </w:rPr>
                          <w:t>36</w:t>
                        </w:r>
                      </w:p>
                    </w:tc>
                  </w:tr>
                  <w:tr>
                    <w:trPr>
                      <w:trHeight w:val="320" w:hRule="exact"/>
                    </w:trPr>
                    <w:tc>
                      <w:tcPr>
                        <w:tcW w:w="1183" w:type="dxa"/>
                      </w:tcPr>
                      <w:p>
                        <w:pPr>
                          <w:pStyle w:val="TableParagraph"/>
                          <w:spacing w:before="58"/>
                          <w:ind w:left="260"/>
                          <w:rPr>
                            <w:sz w:val="20"/>
                          </w:rPr>
                        </w:pPr>
                        <w:r>
                          <w:rPr>
                            <w:color w:val="231F20"/>
                            <w:sz w:val="20"/>
                          </w:rPr>
                          <w:t>Total</w:t>
                        </w:r>
                      </w:p>
                    </w:tc>
                    <w:tc>
                      <w:tcPr>
                        <w:tcW w:w="1206" w:type="dxa"/>
                        <w:tcBorders>
                          <w:top w:val="single" w:sz="4" w:space="0" w:color="231F20"/>
                          <w:bottom w:val="double" w:sz="7" w:space="0" w:color="231F20"/>
                        </w:tcBorders>
                      </w:tcPr>
                      <w:p>
                        <w:pPr>
                          <w:pStyle w:val="TableParagraph"/>
                          <w:tabs>
                            <w:tab w:pos="899" w:val="left" w:leader="none"/>
                          </w:tabs>
                          <w:ind w:left="450"/>
                          <w:rPr>
                            <w:sz w:val="20"/>
                          </w:rPr>
                        </w:pPr>
                        <w:r>
                          <w:rPr>
                            <w:color w:val="231F20"/>
                            <w:sz w:val="20"/>
                          </w:rPr>
                          <w:t>56</w:t>
                          <w:tab/>
                          <w:t>(1)</w:t>
                        </w:r>
                      </w:p>
                    </w:tc>
                    <w:tc>
                      <w:tcPr>
                        <w:tcW w:w="861" w:type="dxa"/>
                        <w:tcBorders>
                          <w:top w:val="single" w:sz="4" w:space="0" w:color="231F20"/>
                          <w:bottom w:val="double" w:sz="7" w:space="0" w:color="231F20"/>
                        </w:tcBorders>
                      </w:tcPr>
                      <w:p>
                        <w:pPr>
                          <w:pStyle w:val="TableParagraph"/>
                          <w:ind w:left="278"/>
                          <w:rPr>
                            <w:sz w:val="20"/>
                          </w:rPr>
                        </w:pPr>
                        <w:r>
                          <w:rPr>
                            <w:color w:val="231F20"/>
                            <w:sz w:val="20"/>
                          </w:rPr>
                          <w:t>19</w:t>
                        </w:r>
                      </w:p>
                    </w:tc>
                    <w:tc>
                      <w:tcPr>
                        <w:tcW w:w="902" w:type="dxa"/>
                        <w:tcBorders>
                          <w:top w:val="single" w:sz="4" w:space="0" w:color="231F20"/>
                          <w:bottom w:val="double" w:sz="7" w:space="0" w:color="231F20"/>
                        </w:tcBorders>
                      </w:tcPr>
                      <w:p>
                        <w:pPr>
                          <w:pStyle w:val="TableParagraph"/>
                          <w:ind w:left="157" w:right="24"/>
                          <w:jc w:val="center"/>
                          <w:rPr>
                            <w:sz w:val="20"/>
                          </w:rPr>
                        </w:pPr>
                        <w:r>
                          <w:rPr>
                            <w:color w:val="231F20"/>
                            <w:sz w:val="20"/>
                          </w:rPr>
                          <w:t>35</w:t>
                        </w:r>
                      </w:p>
                    </w:tc>
                    <w:tc>
                      <w:tcPr>
                        <w:tcW w:w="1197" w:type="dxa"/>
                        <w:tcBorders>
                          <w:top w:val="single" w:sz="4" w:space="0" w:color="231F20"/>
                          <w:bottom w:val="double" w:sz="7" w:space="0" w:color="231F20"/>
                        </w:tcBorders>
                      </w:tcPr>
                      <w:p>
                        <w:pPr>
                          <w:pStyle w:val="TableParagraph"/>
                          <w:ind w:right="534"/>
                          <w:jc w:val="right"/>
                          <w:rPr>
                            <w:sz w:val="20"/>
                          </w:rPr>
                        </w:pPr>
                        <w:r>
                          <w:rPr>
                            <w:color w:val="231F20"/>
                            <w:sz w:val="20"/>
                          </w:rPr>
                          <w:t>20</w:t>
                        </w:r>
                      </w:p>
                    </w:tc>
                    <w:tc>
                      <w:tcPr>
                        <w:tcW w:w="893" w:type="dxa"/>
                        <w:tcBorders>
                          <w:top w:val="single" w:sz="4" w:space="0" w:color="231F20"/>
                          <w:bottom w:val="double" w:sz="7" w:space="0" w:color="231F20"/>
                        </w:tcBorders>
                      </w:tcPr>
                      <w:p>
                        <w:pPr>
                          <w:pStyle w:val="TableParagraph"/>
                          <w:ind w:left="328"/>
                          <w:rPr>
                            <w:sz w:val="20"/>
                          </w:rPr>
                        </w:pPr>
                        <w:r>
                          <w:rPr>
                            <w:color w:val="231F20"/>
                            <w:sz w:val="20"/>
                          </w:rPr>
                          <w:t>30</w:t>
                        </w:r>
                      </w:p>
                    </w:tc>
                    <w:tc>
                      <w:tcPr>
                        <w:tcW w:w="808" w:type="dxa"/>
                        <w:tcBorders>
                          <w:top w:val="single" w:sz="4" w:space="0" w:color="231F20"/>
                          <w:bottom w:val="double" w:sz="7" w:space="0" w:color="231F20"/>
                        </w:tcBorders>
                      </w:tcPr>
                      <w:p>
                        <w:pPr>
                          <w:pStyle w:val="TableParagraph"/>
                          <w:ind w:right="190"/>
                          <w:jc w:val="right"/>
                          <w:rPr>
                            <w:sz w:val="20"/>
                          </w:rPr>
                        </w:pPr>
                        <w:r>
                          <w:rPr>
                            <w:color w:val="231F20"/>
                            <w:sz w:val="20"/>
                          </w:rPr>
                          <w:t>170</w:t>
                        </w:r>
                      </w:p>
                    </w:tc>
                    <w:tc>
                      <w:tcPr>
                        <w:tcW w:w="1352" w:type="dxa"/>
                        <w:tcBorders>
                          <w:top w:val="single" w:sz="4" w:space="0" w:color="231F20"/>
                          <w:bottom w:val="double" w:sz="7" w:space="0" w:color="231F20"/>
                        </w:tcBorders>
                      </w:tcPr>
                      <w:p>
                        <w:pPr>
                          <w:pStyle w:val="TableParagraph"/>
                          <w:tabs>
                            <w:tab w:pos="671" w:val="left" w:leader="none"/>
                          </w:tabs>
                          <w:ind w:left="37"/>
                          <w:rPr>
                            <w:sz w:val="20"/>
                          </w:rPr>
                        </w:pPr>
                        <w:r>
                          <w:rPr>
                            <w:color w:val="231F20"/>
                            <w:sz w:val="20"/>
                          </w:rPr>
                          <w:t>(2)</w:t>
                          <w:tab/>
                          <w:t>191</w:t>
                        </w:r>
                      </w:p>
                    </w:tc>
                    <w:tc>
                      <w:tcPr>
                        <w:tcW w:w="720" w:type="dxa"/>
                        <w:tcBorders>
                          <w:top w:val="single" w:sz="4" w:space="0" w:color="231F20"/>
                          <w:bottom w:val="double" w:sz="7" w:space="0" w:color="231F20"/>
                        </w:tcBorders>
                      </w:tcPr>
                      <w:p>
                        <w:pPr>
                          <w:pStyle w:val="TableParagraph"/>
                          <w:ind w:left="171" w:right="51"/>
                          <w:jc w:val="center"/>
                          <w:rPr>
                            <w:sz w:val="20"/>
                          </w:rPr>
                        </w:pPr>
                        <w:r>
                          <w:rPr>
                            <w:color w:val="231F20"/>
                            <w:sz w:val="20"/>
                          </w:rPr>
                          <w:t>521</w:t>
                        </w:r>
                      </w:p>
                    </w:tc>
                  </w:tr>
                </w:tbl>
                <w:p>
                  <w:pPr>
                    <w:pStyle w:val="BodyText"/>
                  </w:pPr>
                </w:p>
              </w:txbxContent>
            </v:textbox>
            <w10:wrap type="none"/>
          </v:shape>
        </w:pict>
      </w:r>
      <w:r>
        <w:rPr>
          <w:b/>
          <w:color w:val="231F20"/>
          <w:sz w:val="20"/>
        </w:rPr>
        <w:t>-700</w:t>
      </w:r>
    </w:p>
    <w:p>
      <w:pPr>
        <w:spacing w:before="53"/>
        <w:ind w:left="627" w:right="0" w:firstLine="0"/>
        <w:jc w:val="left"/>
        <w:rPr>
          <w:b/>
          <w:sz w:val="20"/>
        </w:rPr>
      </w:pPr>
      <w:r>
        <w:rPr/>
        <w:br w:type="column"/>
      </w:r>
      <w:r>
        <w:rPr>
          <w:b/>
          <w:color w:val="231F20"/>
          <w:sz w:val="20"/>
        </w:rPr>
        <w:t>-800</w:t>
      </w:r>
    </w:p>
    <w:p>
      <w:pPr>
        <w:pStyle w:val="BodyText"/>
        <w:spacing w:line="20" w:lineRule="exact"/>
        <w:ind w:left="1173"/>
        <w:rPr>
          <w:sz w:val="2"/>
        </w:rPr>
      </w:pPr>
      <w:r>
        <w:rPr/>
        <w:br w:type="column"/>
      </w:r>
      <w:r>
        <w:rPr>
          <w:sz w:val="2"/>
        </w:rPr>
        <w:pict>
          <v:group style="width:150.7pt;height:1pt;mso-position-horizontal-relative:char;mso-position-vertical-relative:line" coordorigin="0,0" coordsize="3014,20">
            <v:line style="position:absolute" from="10,10" to="3004,10" stroked="true" strokeweight="1pt" strokecolor="#231f20">
              <v:stroke dashstyle="solid"/>
            </v:line>
          </v:group>
        </w:pict>
      </w:r>
      <w:r>
        <w:rPr>
          <w:sz w:val="2"/>
        </w:rPr>
      </w:r>
    </w:p>
    <w:p>
      <w:pPr>
        <w:tabs>
          <w:tab w:pos="2578" w:val="left" w:leader="none"/>
        </w:tabs>
        <w:spacing w:before="32"/>
        <w:ind w:left="1648" w:right="0" w:firstLine="0"/>
        <w:jc w:val="left"/>
        <w:rPr>
          <w:b/>
          <w:sz w:val="20"/>
        </w:rPr>
      </w:pPr>
      <w:r>
        <w:rPr>
          <w:b/>
          <w:color w:val="231F20"/>
          <w:sz w:val="20"/>
        </w:rPr>
        <w:t>-7</w:t>
        <w:tab/>
        <w:t>-8</w:t>
      </w:r>
    </w:p>
    <w:p>
      <w:pPr>
        <w:spacing w:after="0"/>
        <w:jc w:val="left"/>
        <w:rPr>
          <w:sz w:val="20"/>
        </w:rPr>
        <w:sectPr>
          <w:type w:val="continuous"/>
          <w:pgSz w:w="11880" w:h="15480"/>
          <w:pgMar w:top="1260" w:bottom="280" w:left="1280" w:right="1260"/>
          <w:cols w:num="3" w:equalWidth="0">
            <w:col w:w="2016" w:space="40"/>
            <w:col w:w="995" w:space="1093"/>
            <w:col w:w="5196"/>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4"/>
        </w:rPr>
      </w:pPr>
    </w:p>
    <w:p>
      <w:pPr>
        <w:pStyle w:val="ListParagraph"/>
        <w:numPr>
          <w:ilvl w:val="0"/>
          <w:numId w:val="14"/>
        </w:numPr>
        <w:tabs>
          <w:tab w:pos="384" w:val="left" w:leader="none"/>
        </w:tabs>
        <w:spacing w:line="240" w:lineRule="auto" w:before="93" w:after="0"/>
        <w:ind w:left="384" w:right="0" w:hanging="284"/>
        <w:jc w:val="left"/>
        <w:rPr>
          <w:sz w:val="20"/>
        </w:rPr>
      </w:pPr>
      <w:r>
        <w:rPr>
          <w:color w:val="231F20"/>
          <w:sz w:val="20"/>
        </w:rPr>
        <w:t>The Company has flexibility to substitute 737-800s in lieu of 737-700 firm</w:t>
      </w:r>
      <w:r>
        <w:rPr>
          <w:color w:val="231F20"/>
          <w:spacing w:val="7"/>
          <w:sz w:val="20"/>
        </w:rPr>
        <w:t> </w:t>
      </w:r>
      <w:r>
        <w:rPr>
          <w:color w:val="231F20"/>
          <w:sz w:val="20"/>
        </w:rPr>
        <w:t>orders.</w:t>
      </w:r>
    </w:p>
    <w:p>
      <w:pPr>
        <w:pStyle w:val="ListParagraph"/>
        <w:numPr>
          <w:ilvl w:val="0"/>
          <w:numId w:val="14"/>
        </w:numPr>
        <w:tabs>
          <w:tab w:pos="384" w:val="left" w:leader="none"/>
        </w:tabs>
        <w:spacing w:line="240" w:lineRule="auto" w:before="10" w:after="0"/>
        <w:ind w:left="384" w:right="0" w:hanging="284"/>
        <w:jc w:val="left"/>
        <w:rPr>
          <w:sz w:val="20"/>
        </w:rPr>
      </w:pPr>
      <w:r>
        <w:rPr>
          <w:color w:val="231F20"/>
          <w:sz w:val="20"/>
        </w:rPr>
        <w:t>The Company has flexibility to substitute MAX 7 in lieu of MAX 8 firm orders beginning in</w:t>
      </w:r>
      <w:r>
        <w:rPr>
          <w:color w:val="231F20"/>
          <w:spacing w:val="7"/>
          <w:sz w:val="20"/>
        </w:rPr>
        <w:t> </w:t>
      </w:r>
      <w:r>
        <w:rPr>
          <w:color w:val="231F20"/>
          <w:sz w:val="20"/>
        </w:rPr>
        <w:t>2019.</w:t>
      </w:r>
    </w:p>
    <w:p>
      <w:pPr>
        <w:pStyle w:val="BodyText"/>
        <w:spacing w:before="10"/>
        <w:rPr>
          <w:sz w:val="21"/>
        </w:rPr>
      </w:pPr>
    </w:p>
    <w:p>
      <w:pPr>
        <w:pStyle w:val="BodyText"/>
        <w:spacing w:line="247" w:lineRule="auto"/>
        <w:ind w:left="100" w:right="117" w:firstLine="720"/>
        <w:jc w:val="both"/>
      </w:pPr>
      <w:r>
        <w:rPr>
          <w:color w:val="231F20"/>
        </w:rPr>
        <w:t>The Company’s financial commitments associated with the Boeing firm orders and additional scheduled deliveries in the above aircraft table are as follows: $836 million in 2015, $1.2 billion in 2016, $1.2 billion in 2017, $1.0 billion in 2018, $1.1 billion in 2019, and $5.7 billion thereafter.</w:t>
      </w:r>
    </w:p>
    <w:p>
      <w:pPr>
        <w:pStyle w:val="BodyText"/>
        <w:spacing w:before="9"/>
        <w:rPr>
          <w:sz w:val="20"/>
        </w:rPr>
      </w:pPr>
    </w:p>
    <w:p>
      <w:pPr>
        <w:pStyle w:val="Heading1"/>
        <w:spacing w:before="0"/>
      </w:pPr>
      <w:r>
        <w:rPr>
          <w:color w:val="231F20"/>
        </w:rPr>
        <w:t>Fort Lauderdale-Hollywood International Airport</w:t>
      </w:r>
    </w:p>
    <w:p>
      <w:pPr>
        <w:pStyle w:val="BodyText"/>
        <w:spacing w:before="4"/>
        <w:rPr>
          <w:b/>
          <w:sz w:val="21"/>
        </w:rPr>
      </w:pPr>
    </w:p>
    <w:p>
      <w:pPr>
        <w:pStyle w:val="BodyText"/>
        <w:spacing w:line="247" w:lineRule="auto" w:before="1"/>
        <w:ind w:left="100" w:right="118" w:firstLine="720"/>
        <w:jc w:val="both"/>
      </w:pPr>
      <w:r>
        <w:rPr>
          <w:color w:val="231F20"/>
        </w:rPr>
        <w:t>In </w:t>
      </w:r>
      <w:r>
        <w:rPr>
          <w:color w:val="231F20"/>
          <w:spacing w:val="-4"/>
        </w:rPr>
        <w:t>December 2013, </w:t>
      </w:r>
      <w:r>
        <w:rPr>
          <w:color w:val="231F20"/>
          <w:spacing w:val="-3"/>
        </w:rPr>
        <w:t>the </w:t>
      </w:r>
      <w:r>
        <w:rPr>
          <w:color w:val="231F20"/>
          <w:spacing w:val="-4"/>
        </w:rPr>
        <w:t>Company entered into </w:t>
      </w:r>
      <w:r>
        <w:rPr>
          <w:color w:val="231F20"/>
        </w:rPr>
        <w:t>an </w:t>
      </w:r>
      <w:r>
        <w:rPr>
          <w:color w:val="231F20"/>
          <w:spacing w:val="-4"/>
        </w:rPr>
        <w:t>agreement </w:t>
      </w:r>
      <w:r>
        <w:rPr>
          <w:color w:val="231F20"/>
          <w:spacing w:val="-3"/>
        </w:rPr>
        <w:t>with </w:t>
      </w:r>
      <w:r>
        <w:rPr>
          <w:color w:val="231F20"/>
          <w:spacing w:val="-4"/>
        </w:rPr>
        <w:t>Broward County, Florida, which </w:t>
      </w:r>
      <w:r>
        <w:rPr>
          <w:color w:val="231F20"/>
          <w:spacing w:val="-3"/>
        </w:rPr>
        <w:t>owns and </w:t>
      </w:r>
      <w:r>
        <w:rPr>
          <w:color w:val="231F20"/>
          <w:spacing w:val="-4"/>
        </w:rPr>
        <w:t>operates Fort Lauderdale-Hollywood International Airport, </w:t>
      </w:r>
      <w:r>
        <w:rPr>
          <w:color w:val="231F20"/>
        </w:rPr>
        <w:t>to </w:t>
      </w:r>
      <w:r>
        <w:rPr>
          <w:color w:val="231F20"/>
          <w:spacing w:val="-4"/>
        </w:rPr>
        <w:t>oversee </w:t>
      </w:r>
      <w:r>
        <w:rPr>
          <w:color w:val="231F20"/>
          <w:spacing w:val="-3"/>
        </w:rPr>
        <w:t>and </w:t>
      </w:r>
      <w:r>
        <w:rPr>
          <w:color w:val="231F20"/>
          <w:spacing w:val="-4"/>
        </w:rPr>
        <w:t>manage </w:t>
      </w:r>
      <w:r>
        <w:rPr>
          <w:color w:val="231F20"/>
          <w:spacing w:val="-3"/>
        </w:rPr>
        <w:t>the </w:t>
      </w:r>
      <w:r>
        <w:rPr>
          <w:color w:val="231F20"/>
          <w:spacing w:val="-4"/>
        </w:rPr>
        <w:t>design and construction </w:t>
      </w:r>
      <w:r>
        <w:rPr>
          <w:color w:val="231F20"/>
        </w:rPr>
        <w:t>of </w:t>
      </w:r>
      <w:r>
        <w:rPr>
          <w:color w:val="231F20"/>
          <w:spacing w:val="-3"/>
        </w:rPr>
        <w:t>the </w:t>
      </w:r>
      <w:r>
        <w:rPr>
          <w:color w:val="231F20"/>
          <w:spacing w:val="-4"/>
        </w:rPr>
        <w:t>airport’s Terminal </w:t>
      </w:r>
      <w:r>
        <w:rPr>
          <w:color w:val="231F20"/>
        </w:rPr>
        <w:t>1 </w:t>
      </w:r>
      <w:r>
        <w:rPr>
          <w:color w:val="231F20"/>
          <w:spacing w:val="-4"/>
        </w:rPr>
        <w:t>Modernization Project </w:t>
      </w:r>
      <w:r>
        <w:rPr>
          <w:color w:val="231F20"/>
        </w:rPr>
        <w:t>at a </w:t>
      </w:r>
      <w:r>
        <w:rPr>
          <w:color w:val="231F20"/>
          <w:spacing w:val="-3"/>
        </w:rPr>
        <w:t>cost not </w:t>
      </w:r>
      <w:r>
        <w:rPr>
          <w:color w:val="231F20"/>
        </w:rPr>
        <w:t>to </w:t>
      </w:r>
      <w:r>
        <w:rPr>
          <w:color w:val="231F20"/>
          <w:spacing w:val="-4"/>
        </w:rPr>
        <w:t>exceed </w:t>
      </w:r>
      <w:r>
        <w:rPr>
          <w:color w:val="231F20"/>
          <w:spacing w:val="-3"/>
        </w:rPr>
        <w:t>$295 </w:t>
      </w:r>
      <w:r>
        <w:rPr>
          <w:color w:val="231F20"/>
          <w:spacing w:val="-4"/>
        </w:rPr>
        <w:t>million. In addition </w:t>
      </w:r>
      <w:r>
        <w:rPr>
          <w:color w:val="231F20"/>
          <w:spacing w:val="-3"/>
        </w:rPr>
        <w:t>to </w:t>
      </w:r>
      <w:r>
        <w:rPr>
          <w:color w:val="231F20"/>
          <w:spacing w:val="-4"/>
        </w:rPr>
        <w:t>significant improvements </w:t>
      </w:r>
      <w:r>
        <w:rPr>
          <w:color w:val="231F20"/>
          <w:spacing w:val="-3"/>
        </w:rPr>
        <w:t>to the </w:t>
      </w:r>
      <w:r>
        <w:rPr>
          <w:color w:val="231F20"/>
          <w:spacing w:val="-4"/>
        </w:rPr>
        <w:t>existing Terminal </w:t>
      </w:r>
      <w:r>
        <w:rPr>
          <w:color w:val="231F20"/>
        </w:rPr>
        <w:t>1, </w:t>
      </w:r>
      <w:r>
        <w:rPr>
          <w:color w:val="231F20"/>
          <w:spacing w:val="-3"/>
        </w:rPr>
        <w:t>the </w:t>
      </w:r>
      <w:r>
        <w:rPr>
          <w:color w:val="231F20"/>
          <w:spacing w:val="-4"/>
        </w:rPr>
        <w:t>project includes </w:t>
      </w:r>
      <w:r>
        <w:rPr>
          <w:color w:val="231F20"/>
          <w:spacing w:val="-3"/>
        </w:rPr>
        <w:t>the </w:t>
      </w:r>
      <w:r>
        <w:rPr>
          <w:color w:val="231F20"/>
          <w:spacing w:val="-4"/>
        </w:rPr>
        <w:t>design and construction </w:t>
      </w:r>
      <w:r>
        <w:rPr>
          <w:color w:val="231F20"/>
        </w:rPr>
        <w:t>of a </w:t>
      </w:r>
      <w:r>
        <w:rPr>
          <w:color w:val="231F20"/>
          <w:spacing w:val="-3"/>
        </w:rPr>
        <w:t>new </w:t>
      </w:r>
      <w:r>
        <w:rPr>
          <w:color w:val="231F20"/>
          <w:spacing w:val="-4"/>
        </w:rPr>
        <w:t>five-gate Concourse </w:t>
      </w:r>
      <w:r>
        <w:rPr>
          <w:color w:val="231F20"/>
        </w:rPr>
        <w:t>A </w:t>
      </w:r>
      <w:r>
        <w:rPr>
          <w:color w:val="231F20"/>
          <w:spacing w:val="-3"/>
        </w:rPr>
        <w:t>with </w:t>
      </w:r>
      <w:r>
        <w:rPr>
          <w:color w:val="231F20"/>
        </w:rPr>
        <w:t>an </w:t>
      </w:r>
      <w:r>
        <w:rPr>
          <w:color w:val="231F20"/>
          <w:spacing w:val="-4"/>
        </w:rPr>
        <w:t>international processing facility. Funding </w:t>
      </w:r>
      <w:r>
        <w:rPr>
          <w:color w:val="231F20"/>
          <w:spacing w:val="-3"/>
        </w:rPr>
        <w:t>for </w:t>
      </w:r>
      <w:r>
        <w:rPr>
          <w:color w:val="231F20"/>
          <w:spacing w:val="-5"/>
        </w:rPr>
        <w:t>the </w:t>
      </w:r>
      <w:r>
        <w:rPr>
          <w:color w:val="231F20"/>
          <w:spacing w:val="-4"/>
        </w:rPr>
        <w:t>project </w:t>
      </w:r>
      <w:r>
        <w:rPr>
          <w:color w:val="231F20"/>
          <w:spacing w:val="-3"/>
        </w:rPr>
        <w:t>will come </w:t>
      </w:r>
      <w:r>
        <w:rPr>
          <w:color w:val="231F20"/>
          <w:spacing w:val="-4"/>
        </w:rPr>
        <w:t>directly </w:t>
      </w:r>
      <w:r>
        <w:rPr>
          <w:color w:val="231F20"/>
          <w:spacing w:val="-3"/>
        </w:rPr>
        <w:t>from </w:t>
      </w:r>
      <w:r>
        <w:rPr>
          <w:color w:val="231F20"/>
          <w:spacing w:val="-4"/>
        </w:rPr>
        <w:t>Broward County sources, </w:t>
      </w:r>
      <w:r>
        <w:rPr>
          <w:color w:val="231F20"/>
          <w:spacing w:val="-3"/>
        </w:rPr>
        <w:t>but will flow </w:t>
      </w:r>
      <w:r>
        <w:rPr>
          <w:color w:val="231F20"/>
          <w:spacing w:val="-4"/>
        </w:rPr>
        <w:t>through </w:t>
      </w:r>
      <w:r>
        <w:rPr>
          <w:color w:val="231F20"/>
          <w:spacing w:val="-3"/>
        </w:rPr>
        <w:t>the </w:t>
      </w:r>
      <w:r>
        <w:rPr>
          <w:color w:val="231F20"/>
          <w:spacing w:val="-4"/>
        </w:rPr>
        <w:t>Company </w:t>
      </w:r>
      <w:r>
        <w:rPr>
          <w:color w:val="231F20"/>
        </w:rPr>
        <w:t>in </w:t>
      </w:r>
      <w:r>
        <w:rPr>
          <w:color w:val="231F20"/>
          <w:spacing w:val="-3"/>
        </w:rPr>
        <w:t>its </w:t>
      </w:r>
      <w:r>
        <w:rPr>
          <w:color w:val="231F20"/>
          <w:spacing w:val="-4"/>
        </w:rPr>
        <w:t>capacity </w:t>
      </w:r>
      <w:r>
        <w:rPr>
          <w:color w:val="231F20"/>
        </w:rPr>
        <w:t>as </w:t>
      </w:r>
      <w:r>
        <w:rPr>
          <w:color w:val="231F20"/>
          <w:spacing w:val="-4"/>
        </w:rPr>
        <w:t>manager </w:t>
      </w:r>
      <w:r>
        <w:rPr>
          <w:color w:val="231F20"/>
          <w:spacing w:val="-3"/>
        </w:rPr>
        <w:t>of the </w:t>
      </w:r>
      <w:r>
        <w:rPr>
          <w:color w:val="231F20"/>
          <w:spacing w:val="-4"/>
        </w:rPr>
        <w:t>project. Construction </w:t>
      </w:r>
      <w:r>
        <w:rPr>
          <w:color w:val="231F20"/>
          <w:spacing w:val="-3"/>
        </w:rPr>
        <w:t>on the </w:t>
      </w:r>
      <w:r>
        <w:rPr>
          <w:color w:val="231F20"/>
          <w:spacing w:val="-4"/>
        </w:rPr>
        <w:t>project </w:t>
      </w:r>
      <w:r>
        <w:rPr>
          <w:color w:val="231F20"/>
        </w:rPr>
        <w:t>is </w:t>
      </w:r>
      <w:r>
        <w:rPr>
          <w:color w:val="231F20"/>
          <w:spacing w:val="-3"/>
        </w:rPr>
        <w:t>not </w:t>
      </w:r>
      <w:r>
        <w:rPr>
          <w:color w:val="231F20"/>
          <w:spacing w:val="-4"/>
        </w:rPr>
        <w:t>expected </w:t>
      </w:r>
      <w:r>
        <w:rPr>
          <w:color w:val="231F20"/>
        </w:rPr>
        <w:t>to </w:t>
      </w:r>
      <w:r>
        <w:rPr>
          <w:color w:val="231F20"/>
          <w:spacing w:val="-4"/>
        </w:rPr>
        <w:t>begin until </w:t>
      </w:r>
      <w:r>
        <w:rPr>
          <w:color w:val="231F20"/>
          <w:spacing w:val="-3"/>
        </w:rPr>
        <w:t>mid </w:t>
      </w:r>
      <w:r>
        <w:rPr>
          <w:color w:val="231F20"/>
        </w:rPr>
        <w:t>to </w:t>
      </w:r>
      <w:r>
        <w:rPr>
          <w:color w:val="231F20"/>
          <w:spacing w:val="-3"/>
        </w:rPr>
        <w:t>late </w:t>
      </w:r>
      <w:r>
        <w:rPr>
          <w:color w:val="231F20"/>
          <w:spacing w:val="-4"/>
        </w:rPr>
        <w:t>2015. The Company believes that </w:t>
      </w:r>
      <w:r>
        <w:rPr>
          <w:color w:val="231F20"/>
          <w:spacing w:val="-3"/>
        </w:rPr>
        <w:t>due </w:t>
      </w:r>
      <w:r>
        <w:rPr>
          <w:color w:val="231F20"/>
        </w:rPr>
        <w:t>to </w:t>
      </w:r>
      <w:r>
        <w:rPr>
          <w:color w:val="231F20"/>
          <w:spacing w:val="-3"/>
        </w:rPr>
        <w:t>its </w:t>
      </w:r>
      <w:r>
        <w:rPr>
          <w:color w:val="231F20"/>
          <w:spacing w:val="-4"/>
        </w:rPr>
        <w:t>agreed </w:t>
      </w:r>
      <w:r>
        <w:rPr>
          <w:color w:val="231F20"/>
          <w:spacing w:val="-3"/>
        </w:rPr>
        <w:t>upon role </w:t>
      </w:r>
      <w:r>
        <w:rPr>
          <w:color w:val="231F20"/>
        </w:rPr>
        <w:t>in </w:t>
      </w:r>
      <w:r>
        <w:rPr>
          <w:color w:val="231F20"/>
          <w:spacing w:val="-4"/>
        </w:rPr>
        <w:t>overseeing </w:t>
      </w:r>
      <w:r>
        <w:rPr>
          <w:color w:val="231F20"/>
          <w:spacing w:val="-3"/>
        </w:rPr>
        <w:t>and </w:t>
      </w:r>
      <w:r>
        <w:rPr>
          <w:color w:val="231F20"/>
          <w:spacing w:val="-4"/>
        </w:rPr>
        <w:t>managing </w:t>
      </w:r>
      <w:r>
        <w:rPr>
          <w:color w:val="231F20"/>
          <w:spacing w:val="-3"/>
        </w:rPr>
        <w:t>the </w:t>
      </w:r>
      <w:r>
        <w:rPr>
          <w:color w:val="231F20"/>
          <w:spacing w:val="-4"/>
        </w:rPr>
        <w:t>project, </w:t>
      </w:r>
      <w:r>
        <w:rPr>
          <w:color w:val="231F20"/>
          <w:spacing w:val="-3"/>
        </w:rPr>
        <w:t>it will </w:t>
      </w:r>
      <w:r>
        <w:rPr>
          <w:color w:val="231F20"/>
          <w:spacing w:val="-4"/>
        </w:rPr>
        <w:t>be considered </w:t>
      </w:r>
      <w:r>
        <w:rPr>
          <w:color w:val="231F20"/>
          <w:spacing w:val="-3"/>
        </w:rPr>
        <w:t>the </w:t>
      </w:r>
      <w:r>
        <w:rPr>
          <w:color w:val="231F20"/>
          <w:spacing w:val="-4"/>
        </w:rPr>
        <w:t>owner </w:t>
      </w:r>
      <w:r>
        <w:rPr>
          <w:color w:val="231F20"/>
        </w:rPr>
        <w:t>of </w:t>
      </w:r>
      <w:r>
        <w:rPr>
          <w:color w:val="231F20"/>
          <w:spacing w:val="-3"/>
        </w:rPr>
        <w:t>the </w:t>
      </w:r>
      <w:r>
        <w:rPr>
          <w:color w:val="231F20"/>
          <w:spacing w:val="-4"/>
        </w:rPr>
        <w:t>project </w:t>
      </w:r>
      <w:r>
        <w:rPr>
          <w:color w:val="231F20"/>
          <w:spacing w:val="-3"/>
        </w:rPr>
        <w:t>for </w:t>
      </w:r>
      <w:r>
        <w:rPr>
          <w:color w:val="231F20"/>
          <w:spacing w:val="-4"/>
        </w:rPr>
        <w:t>accounting purposes. </w:t>
      </w:r>
      <w:r>
        <w:rPr>
          <w:color w:val="231F20"/>
        </w:rPr>
        <w:t>As </w:t>
      </w:r>
      <w:r>
        <w:rPr>
          <w:color w:val="231F20"/>
          <w:spacing w:val="-4"/>
        </w:rPr>
        <w:t>such, </w:t>
      </w:r>
      <w:r>
        <w:rPr>
          <w:color w:val="231F20"/>
        </w:rPr>
        <w:t>in </w:t>
      </w:r>
      <w:r>
        <w:rPr>
          <w:color w:val="231F20"/>
          <w:spacing w:val="-3"/>
        </w:rPr>
        <w:t>the </w:t>
      </w:r>
      <w:r>
        <w:rPr>
          <w:color w:val="231F20"/>
          <w:spacing w:val="-4"/>
        </w:rPr>
        <w:t>Consolidated Balance </w:t>
      </w:r>
      <w:r>
        <w:rPr>
          <w:color w:val="231F20"/>
          <w:spacing w:val="-5"/>
        </w:rPr>
        <w:t>Sheet, </w:t>
      </w:r>
      <w:r>
        <w:rPr>
          <w:color w:val="231F20"/>
          <w:spacing w:val="-3"/>
        </w:rPr>
        <w:t>the </w:t>
      </w:r>
      <w:r>
        <w:rPr>
          <w:color w:val="231F20"/>
          <w:spacing w:val="-4"/>
        </w:rPr>
        <w:t>Company </w:t>
      </w:r>
      <w:r>
        <w:rPr>
          <w:color w:val="231F20"/>
        </w:rPr>
        <w:t>is </w:t>
      </w:r>
      <w:r>
        <w:rPr>
          <w:color w:val="231F20"/>
          <w:spacing w:val="-4"/>
        </w:rPr>
        <w:t>expected </w:t>
      </w:r>
      <w:r>
        <w:rPr>
          <w:color w:val="231F20"/>
        </w:rPr>
        <w:t>to </w:t>
      </w:r>
      <w:r>
        <w:rPr>
          <w:color w:val="231F20"/>
          <w:spacing w:val="-4"/>
        </w:rPr>
        <w:t>record </w:t>
      </w:r>
      <w:r>
        <w:rPr>
          <w:color w:val="231F20"/>
        </w:rPr>
        <w:t>an </w:t>
      </w:r>
      <w:r>
        <w:rPr>
          <w:color w:val="231F20"/>
          <w:spacing w:val="-4"/>
        </w:rPr>
        <w:t>increase </w:t>
      </w:r>
      <w:r>
        <w:rPr>
          <w:color w:val="231F20"/>
          <w:spacing w:val="-3"/>
        </w:rPr>
        <w:t>in </w:t>
      </w:r>
      <w:r>
        <w:rPr>
          <w:color w:val="231F20"/>
          <w:spacing w:val="-4"/>
        </w:rPr>
        <w:t>Assets constructed </w:t>
      </w:r>
      <w:r>
        <w:rPr>
          <w:color w:val="231F20"/>
          <w:spacing w:val="-3"/>
        </w:rPr>
        <w:t>for </w:t>
      </w:r>
      <w:r>
        <w:rPr>
          <w:color w:val="231F20"/>
          <w:spacing w:val="-4"/>
        </w:rPr>
        <w:t>others </w:t>
      </w:r>
      <w:r>
        <w:rPr>
          <w:color w:val="231F20"/>
        </w:rPr>
        <w:t>as </w:t>
      </w:r>
      <w:r>
        <w:rPr>
          <w:color w:val="231F20"/>
          <w:spacing w:val="-3"/>
        </w:rPr>
        <w:t>the </w:t>
      </w:r>
      <w:r>
        <w:rPr>
          <w:color w:val="231F20"/>
          <w:spacing w:val="-4"/>
        </w:rPr>
        <w:t>project </w:t>
      </w:r>
      <w:r>
        <w:rPr>
          <w:color w:val="231F20"/>
        </w:rPr>
        <w:t>is </w:t>
      </w:r>
      <w:r>
        <w:rPr>
          <w:color w:val="231F20"/>
          <w:spacing w:val="-4"/>
        </w:rPr>
        <w:t>built, along </w:t>
      </w:r>
      <w:r>
        <w:rPr>
          <w:color w:val="231F20"/>
          <w:spacing w:val="-3"/>
        </w:rPr>
        <w:t>with </w:t>
      </w:r>
      <w:r>
        <w:rPr>
          <w:color w:val="231F20"/>
        </w:rPr>
        <w:t>a </w:t>
      </w:r>
      <w:r>
        <w:rPr>
          <w:color w:val="231F20"/>
          <w:spacing w:val="-4"/>
        </w:rPr>
        <w:t>corresponding outflow within Capital expenditures, </w:t>
      </w:r>
      <w:r>
        <w:rPr>
          <w:color w:val="231F20"/>
        </w:rPr>
        <w:t>in </w:t>
      </w:r>
      <w:r>
        <w:rPr>
          <w:color w:val="231F20"/>
          <w:spacing w:val="-3"/>
        </w:rPr>
        <w:t>the </w:t>
      </w:r>
      <w:r>
        <w:rPr>
          <w:color w:val="231F20"/>
          <w:spacing w:val="-4"/>
        </w:rPr>
        <w:t>Consolidated Statement </w:t>
      </w:r>
      <w:r>
        <w:rPr>
          <w:color w:val="231F20"/>
        </w:rPr>
        <w:t>of </w:t>
      </w:r>
      <w:r>
        <w:rPr>
          <w:color w:val="231F20"/>
          <w:spacing w:val="-3"/>
        </w:rPr>
        <w:t>Cash </w:t>
      </w:r>
      <w:r>
        <w:rPr>
          <w:color w:val="231F20"/>
          <w:spacing w:val="-5"/>
        </w:rPr>
        <w:t>Flows, </w:t>
      </w:r>
      <w:r>
        <w:rPr>
          <w:color w:val="231F20"/>
          <w:spacing w:val="-3"/>
        </w:rPr>
        <w:t>and </w:t>
      </w:r>
      <w:r>
        <w:rPr>
          <w:color w:val="231F20"/>
        </w:rPr>
        <w:t>an </w:t>
      </w:r>
      <w:r>
        <w:rPr>
          <w:color w:val="231F20"/>
          <w:spacing w:val="-4"/>
        </w:rPr>
        <w:t>increase </w:t>
      </w:r>
      <w:r>
        <w:rPr>
          <w:color w:val="231F20"/>
          <w:spacing w:val="-3"/>
        </w:rPr>
        <w:t>to </w:t>
      </w:r>
      <w:r>
        <w:rPr>
          <w:color w:val="231F20"/>
          <w:spacing w:val="-4"/>
        </w:rPr>
        <w:t>Construction obligation (with </w:t>
      </w:r>
      <w:r>
        <w:rPr>
          <w:color w:val="231F20"/>
        </w:rPr>
        <w:t>a </w:t>
      </w:r>
      <w:r>
        <w:rPr>
          <w:color w:val="231F20"/>
          <w:spacing w:val="-4"/>
        </w:rPr>
        <w:t>corresponding </w:t>
      </w:r>
      <w:r>
        <w:rPr>
          <w:color w:val="231F20"/>
          <w:spacing w:val="-3"/>
        </w:rPr>
        <w:t>cash </w:t>
      </w:r>
      <w:r>
        <w:rPr>
          <w:color w:val="231F20"/>
          <w:spacing w:val="-4"/>
        </w:rPr>
        <w:t>inflow </w:t>
      </w:r>
      <w:r>
        <w:rPr>
          <w:color w:val="231F20"/>
          <w:spacing w:val="-3"/>
        </w:rPr>
        <w:t>from </w:t>
      </w:r>
      <w:r>
        <w:rPr>
          <w:color w:val="231F20"/>
          <w:spacing w:val="-4"/>
        </w:rPr>
        <w:t>Financing activities </w:t>
      </w:r>
      <w:r>
        <w:rPr>
          <w:color w:val="231F20"/>
          <w:spacing w:val="-3"/>
        </w:rPr>
        <w:t>in the </w:t>
      </w:r>
      <w:r>
        <w:rPr>
          <w:color w:val="231F20"/>
          <w:spacing w:val="-4"/>
        </w:rPr>
        <w:t>Consolidated Statement </w:t>
      </w:r>
      <w:r>
        <w:rPr>
          <w:color w:val="231F20"/>
        </w:rPr>
        <w:t>of </w:t>
      </w:r>
      <w:r>
        <w:rPr>
          <w:color w:val="231F20"/>
          <w:spacing w:val="-3"/>
        </w:rPr>
        <w:t>Cash </w:t>
      </w:r>
      <w:r>
        <w:rPr>
          <w:color w:val="231F20"/>
          <w:spacing w:val="-4"/>
        </w:rPr>
        <w:t>Flows) </w:t>
      </w:r>
      <w:r>
        <w:rPr>
          <w:color w:val="231F20"/>
        </w:rPr>
        <w:t>as </w:t>
      </w:r>
      <w:r>
        <w:rPr>
          <w:color w:val="231F20"/>
          <w:spacing w:val="-4"/>
        </w:rPr>
        <w:t>reimbursements </w:t>
      </w:r>
      <w:r>
        <w:rPr>
          <w:color w:val="231F20"/>
          <w:spacing w:val="-3"/>
        </w:rPr>
        <w:t>are </w:t>
      </w:r>
      <w:r>
        <w:rPr>
          <w:color w:val="231F20"/>
          <w:spacing w:val="-4"/>
        </w:rPr>
        <w:t>received </w:t>
      </w:r>
      <w:r>
        <w:rPr>
          <w:color w:val="231F20"/>
          <w:spacing w:val="-3"/>
        </w:rPr>
        <w:t>from </w:t>
      </w:r>
      <w:r>
        <w:rPr>
          <w:color w:val="231F20"/>
          <w:spacing w:val="-4"/>
        </w:rPr>
        <w:t>Broward County.</w:t>
      </w:r>
    </w:p>
    <w:p>
      <w:pPr>
        <w:spacing w:after="0" w:line="247" w:lineRule="auto"/>
        <w:jc w:val="both"/>
        <w:sectPr>
          <w:type w:val="continuous"/>
          <w:pgSz w:w="11880" w:h="15480"/>
          <w:pgMar w:top="1260" w:bottom="280" w:left="1280" w:right="1260"/>
        </w:sectPr>
      </w:pPr>
    </w:p>
    <w:p>
      <w:pPr>
        <w:pStyle w:val="Heading1"/>
      </w:pPr>
      <w:r>
        <w:rPr>
          <w:color w:val="231F20"/>
        </w:rPr>
        <w:t>Houston William P. Hobby Airport</w:t>
      </w:r>
    </w:p>
    <w:p>
      <w:pPr>
        <w:pStyle w:val="BodyText"/>
        <w:spacing w:before="3"/>
        <w:rPr>
          <w:b/>
          <w:sz w:val="19"/>
        </w:rPr>
      </w:pPr>
    </w:p>
    <w:p>
      <w:pPr>
        <w:pStyle w:val="BodyText"/>
        <w:spacing w:line="247" w:lineRule="auto" w:before="1"/>
        <w:ind w:left="100" w:right="117" w:firstLine="720"/>
        <w:jc w:val="both"/>
      </w:pPr>
      <w:r>
        <w:rPr>
          <w:color w:val="231F20"/>
          <w:spacing w:val="-4"/>
        </w:rPr>
        <w:t>The </w:t>
      </w:r>
      <w:r>
        <w:rPr>
          <w:color w:val="231F20"/>
          <w:spacing w:val="-6"/>
        </w:rPr>
        <w:t>Company entered </w:t>
      </w:r>
      <w:r>
        <w:rPr>
          <w:color w:val="231F20"/>
          <w:spacing w:val="-5"/>
        </w:rPr>
        <w:t>into </w:t>
      </w:r>
      <w:r>
        <w:rPr>
          <w:color w:val="231F20"/>
        </w:rPr>
        <w:t>a </w:t>
      </w:r>
      <w:r>
        <w:rPr>
          <w:color w:val="231F20"/>
          <w:spacing w:val="-6"/>
        </w:rPr>
        <w:t>Memorandum </w:t>
      </w:r>
      <w:r>
        <w:rPr>
          <w:color w:val="231F20"/>
          <w:spacing w:val="-3"/>
        </w:rPr>
        <w:t>of </w:t>
      </w:r>
      <w:r>
        <w:rPr>
          <w:color w:val="231F20"/>
          <w:spacing w:val="-6"/>
        </w:rPr>
        <w:t>Agreement (“MOA”) </w:t>
      </w:r>
      <w:r>
        <w:rPr>
          <w:color w:val="231F20"/>
          <w:spacing w:val="-5"/>
        </w:rPr>
        <w:t>with </w:t>
      </w:r>
      <w:r>
        <w:rPr>
          <w:color w:val="231F20"/>
          <w:spacing w:val="-4"/>
        </w:rPr>
        <w:t>the </w:t>
      </w:r>
      <w:r>
        <w:rPr>
          <w:color w:val="231F20"/>
          <w:spacing w:val="-5"/>
        </w:rPr>
        <w:t>City </w:t>
      </w:r>
      <w:r>
        <w:rPr>
          <w:color w:val="231F20"/>
          <w:spacing w:val="-3"/>
        </w:rPr>
        <w:t>of </w:t>
      </w:r>
      <w:r>
        <w:rPr>
          <w:color w:val="231F20"/>
          <w:spacing w:val="-6"/>
        </w:rPr>
        <w:t>Houston (“City”),</w:t>
      </w:r>
      <w:r>
        <w:rPr>
          <w:color w:val="231F20"/>
          <w:spacing w:val="-7"/>
        </w:rPr>
        <w:t> </w:t>
      </w:r>
      <w:r>
        <w:rPr>
          <w:color w:val="231F20"/>
          <w:spacing w:val="-6"/>
        </w:rPr>
        <w:t>effective</w:t>
      </w:r>
      <w:r>
        <w:rPr>
          <w:color w:val="231F20"/>
          <w:spacing w:val="-7"/>
        </w:rPr>
        <w:t> </w:t>
      </w:r>
      <w:r>
        <w:rPr>
          <w:color w:val="231F20"/>
          <w:spacing w:val="-5"/>
        </w:rPr>
        <w:t>June</w:t>
      </w:r>
      <w:r>
        <w:rPr>
          <w:color w:val="231F20"/>
          <w:spacing w:val="-7"/>
        </w:rPr>
        <w:t> </w:t>
      </w:r>
      <w:r>
        <w:rPr>
          <w:color w:val="231F20"/>
          <w:spacing w:val="-5"/>
        </w:rPr>
        <w:t>2012,</w:t>
      </w:r>
      <w:r>
        <w:rPr>
          <w:color w:val="231F20"/>
          <w:spacing w:val="-7"/>
        </w:rPr>
        <w:t> </w:t>
      </w:r>
      <w:r>
        <w:rPr>
          <w:color w:val="231F20"/>
          <w:spacing w:val="-3"/>
        </w:rPr>
        <w:t>to</w:t>
      </w:r>
      <w:r>
        <w:rPr>
          <w:color w:val="231F20"/>
          <w:spacing w:val="-7"/>
        </w:rPr>
        <w:t> </w:t>
      </w:r>
      <w:r>
        <w:rPr>
          <w:color w:val="231F20"/>
          <w:spacing w:val="-5"/>
        </w:rPr>
        <w:t>expand</w:t>
      </w:r>
      <w:r>
        <w:rPr>
          <w:color w:val="231F20"/>
          <w:spacing w:val="-7"/>
        </w:rPr>
        <w:t> </w:t>
      </w:r>
      <w:r>
        <w:rPr>
          <w:color w:val="231F20"/>
          <w:spacing w:val="-4"/>
        </w:rPr>
        <w:t>the</w:t>
      </w:r>
      <w:r>
        <w:rPr>
          <w:color w:val="231F20"/>
          <w:spacing w:val="-7"/>
        </w:rPr>
        <w:t> </w:t>
      </w:r>
      <w:r>
        <w:rPr>
          <w:color w:val="231F20"/>
          <w:spacing w:val="-6"/>
        </w:rPr>
        <w:t>existing</w:t>
      </w:r>
      <w:r>
        <w:rPr>
          <w:color w:val="231F20"/>
          <w:spacing w:val="-7"/>
        </w:rPr>
        <w:t> </w:t>
      </w:r>
      <w:r>
        <w:rPr>
          <w:color w:val="231F20"/>
          <w:spacing w:val="-6"/>
        </w:rPr>
        <w:t>Houston</w:t>
      </w:r>
      <w:r>
        <w:rPr>
          <w:color w:val="231F20"/>
          <w:spacing w:val="-7"/>
        </w:rPr>
        <w:t> </w:t>
      </w:r>
      <w:r>
        <w:rPr>
          <w:color w:val="231F20"/>
          <w:spacing w:val="-5"/>
        </w:rPr>
        <w:t>Hobby</w:t>
      </w:r>
      <w:r>
        <w:rPr>
          <w:color w:val="231F20"/>
          <w:spacing w:val="-8"/>
        </w:rPr>
        <w:t> </w:t>
      </w:r>
      <w:r>
        <w:rPr>
          <w:color w:val="231F20"/>
          <w:spacing w:val="-6"/>
        </w:rPr>
        <w:t>airport</w:t>
      </w:r>
      <w:r>
        <w:rPr>
          <w:color w:val="231F20"/>
          <w:spacing w:val="-10"/>
        </w:rPr>
        <w:t> </w:t>
      </w:r>
      <w:r>
        <w:rPr>
          <w:color w:val="231F20"/>
          <w:spacing w:val="-6"/>
        </w:rPr>
        <w:t>facility.</w:t>
      </w:r>
      <w:r>
        <w:rPr>
          <w:color w:val="231F20"/>
          <w:spacing w:val="-8"/>
        </w:rPr>
        <w:t> </w:t>
      </w:r>
      <w:r>
        <w:rPr>
          <w:color w:val="231F20"/>
          <w:spacing w:val="-3"/>
        </w:rPr>
        <w:t>As</w:t>
      </w:r>
      <w:r>
        <w:rPr>
          <w:color w:val="231F20"/>
          <w:spacing w:val="-8"/>
        </w:rPr>
        <w:t> </w:t>
      </w:r>
      <w:r>
        <w:rPr>
          <w:color w:val="231F20"/>
          <w:spacing w:val="-6"/>
        </w:rPr>
        <w:t>provided</w:t>
      </w:r>
      <w:r>
        <w:rPr>
          <w:color w:val="231F20"/>
          <w:spacing w:val="-8"/>
        </w:rPr>
        <w:t> </w:t>
      </w:r>
      <w:r>
        <w:rPr>
          <w:color w:val="231F20"/>
          <w:spacing w:val="-4"/>
        </w:rPr>
        <w:t>in</w:t>
      </w:r>
      <w:r>
        <w:rPr>
          <w:color w:val="231F20"/>
          <w:spacing w:val="-8"/>
        </w:rPr>
        <w:t> </w:t>
      </w:r>
      <w:r>
        <w:rPr>
          <w:color w:val="231F20"/>
          <w:spacing w:val="-5"/>
        </w:rPr>
        <w:t>the</w:t>
      </w:r>
      <w:r>
        <w:rPr>
          <w:color w:val="231F20"/>
          <w:spacing w:val="-8"/>
        </w:rPr>
        <w:t> </w:t>
      </w:r>
      <w:r>
        <w:rPr>
          <w:color w:val="231F20"/>
          <w:spacing w:val="-6"/>
        </w:rPr>
        <w:t>MOA, </w:t>
      </w:r>
      <w:r>
        <w:rPr>
          <w:color w:val="231F20"/>
          <w:spacing w:val="-4"/>
        </w:rPr>
        <w:t>the </w:t>
      </w:r>
      <w:r>
        <w:rPr>
          <w:color w:val="231F20"/>
          <w:spacing w:val="-6"/>
        </w:rPr>
        <w:t>Company </w:t>
      </w:r>
      <w:r>
        <w:rPr>
          <w:color w:val="231F20"/>
          <w:spacing w:val="-4"/>
        </w:rPr>
        <w:t>and </w:t>
      </w:r>
      <w:r>
        <w:rPr>
          <w:color w:val="231F20"/>
          <w:spacing w:val="-5"/>
        </w:rPr>
        <w:t>the City have </w:t>
      </w:r>
      <w:r>
        <w:rPr>
          <w:color w:val="231F20"/>
          <w:spacing w:val="-6"/>
        </w:rPr>
        <w:t>entered </w:t>
      </w:r>
      <w:r>
        <w:rPr>
          <w:color w:val="231F20"/>
          <w:spacing w:val="-5"/>
        </w:rPr>
        <w:t>into </w:t>
      </w:r>
      <w:r>
        <w:rPr>
          <w:color w:val="231F20"/>
          <w:spacing w:val="-3"/>
        </w:rPr>
        <w:t>an </w:t>
      </w:r>
      <w:r>
        <w:rPr>
          <w:color w:val="231F20"/>
          <w:spacing w:val="-6"/>
        </w:rPr>
        <w:t>Airport </w:t>
      </w:r>
      <w:r>
        <w:rPr>
          <w:color w:val="231F20"/>
          <w:spacing w:val="-4"/>
        </w:rPr>
        <w:t>Use and </w:t>
      </w:r>
      <w:r>
        <w:rPr>
          <w:color w:val="231F20"/>
          <w:spacing w:val="-5"/>
        </w:rPr>
        <w:t>Lease </w:t>
      </w:r>
      <w:r>
        <w:rPr>
          <w:color w:val="231F20"/>
          <w:spacing w:val="-6"/>
        </w:rPr>
        <w:t>Agreement (“Lease”) </w:t>
      </w:r>
      <w:r>
        <w:rPr>
          <w:color w:val="231F20"/>
          <w:spacing w:val="-3"/>
        </w:rPr>
        <w:t>to </w:t>
      </w:r>
      <w:r>
        <w:rPr>
          <w:color w:val="231F20"/>
          <w:spacing w:val="-6"/>
        </w:rPr>
        <w:t>control </w:t>
      </w:r>
      <w:r>
        <w:rPr>
          <w:color w:val="231F20"/>
          <w:spacing w:val="-7"/>
        </w:rPr>
        <w:t>the </w:t>
      </w:r>
      <w:r>
        <w:rPr>
          <w:color w:val="231F20"/>
          <w:spacing w:val="-6"/>
        </w:rPr>
        <w:t>execution</w:t>
      </w:r>
      <w:r>
        <w:rPr>
          <w:color w:val="231F20"/>
          <w:spacing w:val="-10"/>
        </w:rPr>
        <w:t> </w:t>
      </w:r>
      <w:r>
        <w:rPr>
          <w:color w:val="231F20"/>
          <w:spacing w:val="-4"/>
        </w:rPr>
        <w:t>of</w:t>
      </w:r>
      <w:r>
        <w:rPr>
          <w:color w:val="231F20"/>
          <w:spacing w:val="-10"/>
        </w:rPr>
        <w:t> </w:t>
      </w:r>
      <w:r>
        <w:rPr>
          <w:color w:val="231F20"/>
          <w:spacing w:val="-5"/>
        </w:rPr>
        <w:t>this</w:t>
      </w:r>
      <w:r>
        <w:rPr>
          <w:color w:val="231F20"/>
          <w:spacing w:val="-9"/>
        </w:rPr>
        <w:t> </w:t>
      </w:r>
      <w:r>
        <w:rPr>
          <w:color w:val="231F20"/>
          <w:spacing w:val="-6"/>
        </w:rPr>
        <w:t>expansion</w:t>
      </w:r>
      <w:r>
        <w:rPr>
          <w:color w:val="231F20"/>
          <w:spacing w:val="-10"/>
        </w:rPr>
        <w:t> </w:t>
      </w:r>
      <w:r>
        <w:rPr>
          <w:color w:val="231F20"/>
          <w:spacing w:val="-4"/>
        </w:rPr>
        <w:t>and</w:t>
      </w:r>
      <w:r>
        <w:rPr>
          <w:color w:val="231F20"/>
          <w:spacing w:val="-10"/>
        </w:rPr>
        <w:t> </w:t>
      </w:r>
      <w:r>
        <w:rPr>
          <w:color w:val="231F20"/>
          <w:spacing w:val="-4"/>
        </w:rPr>
        <w:t>the</w:t>
      </w:r>
      <w:r>
        <w:rPr>
          <w:color w:val="231F20"/>
          <w:spacing w:val="-9"/>
        </w:rPr>
        <w:t> </w:t>
      </w:r>
      <w:r>
        <w:rPr>
          <w:color w:val="231F20"/>
          <w:spacing w:val="-6"/>
        </w:rPr>
        <w:t>financial</w:t>
      </w:r>
      <w:r>
        <w:rPr>
          <w:color w:val="231F20"/>
          <w:spacing w:val="-10"/>
        </w:rPr>
        <w:t> </w:t>
      </w:r>
      <w:r>
        <w:rPr>
          <w:color w:val="231F20"/>
          <w:spacing w:val="-5"/>
        </w:rPr>
        <w:t>terms</w:t>
      </w:r>
      <w:r>
        <w:rPr>
          <w:color w:val="231F20"/>
          <w:spacing w:val="-9"/>
        </w:rPr>
        <w:t> </w:t>
      </w:r>
      <w:r>
        <w:rPr>
          <w:color w:val="231F20"/>
          <w:spacing w:val="-6"/>
        </w:rPr>
        <w:t>thereof.</w:t>
      </w:r>
      <w:r>
        <w:rPr>
          <w:color w:val="231F20"/>
          <w:spacing w:val="-10"/>
        </w:rPr>
        <w:t> </w:t>
      </w:r>
      <w:r>
        <w:rPr>
          <w:color w:val="231F20"/>
          <w:spacing w:val="-5"/>
        </w:rPr>
        <w:t>Per</w:t>
      </w:r>
      <w:r>
        <w:rPr>
          <w:color w:val="231F20"/>
          <w:spacing w:val="-10"/>
        </w:rPr>
        <w:t> </w:t>
      </w:r>
      <w:r>
        <w:rPr>
          <w:color w:val="231F20"/>
          <w:spacing w:val="-4"/>
        </w:rPr>
        <w:t>the</w:t>
      </w:r>
      <w:r>
        <w:rPr>
          <w:color w:val="231F20"/>
          <w:spacing w:val="-9"/>
        </w:rPr>
        <w:t> </w:t>
      </w:r>
      <w:r>
        <w:rPr>
          <w:color w:val="231F20"/>
          <w:spacing w:val="-4"/>
        </w:rPr>
        <w:t>MOA</w:t>
      </w:r>
      <w:r>
        <w:rPr>
          <w:color w:val="231F20"/>
          <w:spacing w:val="-9"/>
        </w:rPr>
        <w:t> </w:t>
      </w:r>
      <w:r>
        <w:rPr>
          <w:color w:val="231F20"/>
          <w:spacing w:val="-4"/>
        </w:rPr>
        <w:t>and</w:t>
      </w:r>
      <w:r>
        <w:rPr>
          <w:color w:val="231F20"/>
          <w:spacing w:val="-10"/>
        </w:rPr>
        <w:t> </w:t>
      </w:r>
      <w:r>
        <w:rPr>
          <w:color w:val="231F20"/>
          <w:spacing w:val="-6"/>
        </w:rPr>
        <w:t>Lease,</w:t>
      </w:r>
      <w:r>
        <w:rPr>
          <w:color w:val="231F20"/>
          <w:spacing w:val="-10"/>
        </w:rPr>
        <w:t> </w:t>
      </w:r>
      <w:r>
        <w:rPr>
          <w:color w:val="231F20"/>
          <w:spacing w:val="-5"/>
        </w:rPr>
        <w:t>this</w:t>
      </w:r>
      <w:r>
        <w:rPr>
          <w:color w:val="231F20"/>
          <w:spacing w:val="-10"/>
        </w:rPr>
        <w:t> </w:t>
      </w:r>
      <w:r>
        <w:rPr>
          <w:color w:val="231F20"/>
          <w:spacing w:val="-6"/>
        </w:rPr>
        <w:t>project</w:t>
      </w:r>
      <w:r>
        <w:rPr>
          <w:color w:val="231F20"/>
          <w:spacing w:val="-11"/>
        </w:rPr>
        <w:t> </w:t>
      </w:r>
      <w:r>
        <w:rPr>
          <w:color w:val="231F20"/>
          <w:spacing w:val="-6"/>
        </w:rPr>
        <w:t>provides</w:t>
      </w:r>
      <w:r>
        <w:rPr>
          <w:color w:val="231F20"/>
          <w:spacing w:val="-10"/>
        </w:rPr>
        <w:t> </w:t>
      </w:r>
      <w:r>
        <w:rPr>
          <w:color w:val="231F20"/>
          <w:spacing w:val="-5"/>
        </w:rPr>
        <w:t>for</w:t>
      </w:r>
      <w:r>
        <w:rPr>
          <w:color w:val="231F20"/>
          <w:spacing w:val="-11"/>
        </w:rPr>
        <w:t> </w:t>
      </w:r>
      <w:r>
        <w:rPr>
          <w:color w:val="231F20"/>
        </w:rPr>
        <w:t>a </w:t>
      </w:r>
      <w:r>
        <w:rPr>
          <w:color w:val="231F20"/>
          <w:spacing w:val="-4"/>
        </w:rPr>
        <w:t>new </w:t>
      </w:r>
      <w:r>
        <w:rPr>
          <w:color w:val="231F20"/>
          <w:spacing w:val="-6"/>
        </w:rPr>
        <w:t>five-gate international terminal </w:t>
      </w:r>
      <w:r>
        <w:rPr>
          <w:color w:val="231F20"/>
          <w:spacing w:val="-5"/>
        </w:rPr>
        <w:t>with </w:t>
      </w:r>
      <w:r>
        <w:rPr>
          <w:color w:val="231F20"/>
          <w:spacing w:val="-6"/>
        </w:rPr>
        <w:t>international passenger processing facilities, expansion </w:t>
      </w:r>
      <w:r>
        <w:rPr>
          <w:color w:val="231F20"/>
          <w:spacing w:val="-3"/>
        </w:rPr>
        <w:t>of </w:t>
      </w:r>
      <w:r>
        <w:rPr>
          <w:color w:val="231F20"/>
          <w:spacing w:val="-7"/>
        </w:rPr>
        <w:t>the</w:t>
      </w:r>
      <w:r>
        <w:rPr>
          <w:color w:val="231F20"/>
          <w:spacing w:val="41"/>
        </w:rPr>
        <w:t> </w:t>
      </w:r>
      <w:r>
        <w:rPr>
          <w:color w:val="231F20"/>
          <w:spacing w:val="-6"/>
        </w:rPr>
        <w:t>existing security checkpoint, </w:t>
      </w:r>
      <w:r>
        <w:rPr>
          <w:color w:val="231F20"/>
          <w:spacing w:val="-4"/>
        </w:rPr>
        <w:t>and </w:t>
      </w:r>
      <w:r>
        <w:rPr>
          <w:color w:val="231F20"/>
          <w:spacing w:val="-6"/>
        </w:rPr>
        <w:t>upgrades </w:t>
      </w:r>
      <w:r>
        <w:rPr>
          <w:color w:val="231F20"/>
          <w:spacing w:val="-3"/>
        </w:rPr>
        <w:t>to </w:t>
      </w:r>
      <w:r>
        <w:rPr>
          <w:color w:val="231F20"/>
          <w:spacing w:val="-4"/>
        </w:rPr>
        <w:t>the </w:t>
      </w:r>
      <w:r>
        <w:rPr>
          <w:color w:val="231F20"/>
          <w:spacing w:val="-6"/>
        </w:rPr>
        <w:t>Southwest </w:t>
      </w:r>
      <w:r>
        <w:rPr>
          <w:color w:val="231F20"/>
          <w:spacing w:val="-5"/>
        </w:rPr>
        <w:t>ticket </w:t>
      </w:r>
      <w:r>
        <w:rPr>
          <w:color w:val="231F20"/>
          <w:spacing w:val="-6"/>
        </w:rPr>
        <w:t>counter </w:t>
      </w:r>
      <w:r>
        <w:rPr>
          <w:color w:val="231F20"/>
          <w:spacing w:val="-5"/>
        </w:rPr>
        <w:t>area. </w:t>
      </w:r>
      <w:r>
        <w:rPr>
          <w:color w:val="231F20"/>
          <w:spacing w:val="-4"/>
        </w:rPr>
        <w:t>The </w:t>
      </w:r>
      <w:r>
        <w:rPr>
          <w:color w:val="231F20"/>
          <w:spacing w:val="-6"/>
        </w:rPr>
        <w:t>project </w:t>
      </w:r>
      <w:r>
        <w:rPr>
          <w:color w:val="231F20"/>
          <w:spacing w:val="-3"/>
        </w:rPr>
        <w:t>is </w:t>
      </w:r>
      <w:r>
        <w:rPr>
          <w:color w:val="231F20"/>
          <w:spacing w:val="-6"/>
        </w:rPr>
        <w:t>estimated </w:t>
      </w:r>
      <w:r>
        <w:rPr>
          <w:color w:val="231F20"/>
          <w:spacing w:val="-4"/>
        </w:rPr>
        <w:t>to </w:t>
      </w:r>
      <w:r>
        <w:rPr>
          <w:color w:val="231F20"/>
          <w:spacing w:val="-5"/>
        </w:rPr>
        <w:t>cost $156 </w:t>
      </w:r>
      <w:r>
        <w:rPr>
          <w:color w:val="231F20"/>
          <w:spacing w:val="-6"/>
        </w:rPr>
        <w:t>million, </w:t>
      </w:r>
      <w:r>
        <w:rPr>
          <w:color w:val="231F20"/>
          <w:spacing w:val="-4"/>
        </w:rPr>
        <w:t>and </w:t>
      </w:r>
      <w:r>
        <w:rPr>
          <w:color w:val="231F20"/>
          <w:spacing w:val="-5"/>
        </w:rPr>
        <w:t>the </w:t>
      </w:r>
      <w:r>
        <w:rPr>
          <w:color w:val="231F20"/>
          <w:spacing w:val="-6"/>
        </w:rPr>
        <w:t>Company </w:t>
      </w:r>
      <w:r>
        <w:rPr>
          <w:color w:val="231F20"/>
          <w:spacing w:val="-4"/>
        </w:rPr>
        <w:t>has </w:t>
      </w:r>
      <w:r>
        <w:rPr>
          <w:color w:val="231F20"/>
          <w:spacing w:val="-5"/>
        </w:rPr>
        <w:t>agreed </w:t>
      </w:r>
      <w:r>
        <w:rPr>
          <w:color w:val="231F20"/>
          <w:spacing w:val="-3"/>
        </w:rPr>
        <w:t>to </w:t>
      </w:r>
      <w:r>
        <w:rPr>
          <w:color w:val="231F20"/>
          <w:spacing w:val="-6"/>
        </w:rPr>
        <w:t>provide </w:t>
      </w:r>
      <w:r>
        <w:rPr>
          <w:color w:val="231F20"/>
          <w:spacing w:val="-4"/>
        </w:rPr>
        <w:t>the </w:t>
      </w:r>
      <w:r>
        <w:rPr>
          <w:color w:val="231F20"/>
          <w:spacing w:val="-6"/>
        </w:rPr>
        <w:t>funding </w:t>
      </w:r>
      <w:r>
        <w:rPr>
          <w:color w:val="231F20"/>
          <w:spacing w:val="-5"/>
        </w:rPr>
        <w:t>for, </w:t>
      </w:r>
      <w:r>
        <w:rPr>
          <w:color w:val="231F20"/>
          <w:spacing w:val="-3"/>
        </w:rPr>
        <w:t>as </w:t>
      </w:r>
      <w:r>
        <w:rPr>
          <w:color w:val="231F20"/>
          <w:spacing w:val="-5"/>
        </w:rPr>
        <w:t>well </w:t>
      </w:r>
      <w:r>
        <w:rPr>
          <w:color w:val="231F20"/>
          <w:spacing w:val="-3"/>
        </w:rPr>
        <w:t>as </w:t>
      </w:r>
      <w:r>
        <w:rPr>
          <w:color w:val="231F20"/>
          <w:spacing w:val="-6"/>
        </w:rPr>
        <w:t>management </w:t>
      </w:r>
      <w:r>
        <w:rPr>
          <w:color w:val="231F20"/>
          <w:spacing w:val="-5"/>
        </w:rPr>
        <w:t>over, </w:t>
      </w:r>
      <w:r>
        <w:rPr>
          <w:color w:val="231F20"/>
          <w:spacing w:val="-6"/>
        </w:rPr>
        <w:t>the project. </w:t>
      </w:r>
      <w:r>
        <w:rPr>
          <w:color w:val="231F20"/>
          <w:spacing w:val="-4"/>
        </w:rPr>
        <w:t>In </w:t>
      </w:r>
      <w:r>
        <w:rPr>
          <w:color w:val="231F20"/>
          <w:spacing w:val="-6"/>
        </w:rPr>
        <w:t>return, </w:t>
      </w:r>
      <w:r>
        <w:rPr>
          <w:color w:val="231F20"/>
          <w:spacing w:val="-4"/>
        </w:rPr>
        <w:t>the </w:t>
      </w:r>
      <w:r>
        <w:rPr>
          <w:color w:val="231F20"/>
          <w:spacing w:val="-6"/>
        </w:rPr>
        <w:t>capital </w:t>
      </w:r>
      <w:r>
        <w:rPr>
          <w:color w:val="231F20"/>
          <w:spacing w:val="-5"/>
        </w:rPr>
        <w:t>cost </w:t>
      </w:r>
      <w:r>
        <w:rPr>
          <w:color w:val="231F20"/>
          <w:spacing w:val="-6"/>
        </w:rPr>
        <w:t>portion </w:t>
      </w:r>
      <w:r>
        <w:rPr>
          <w:color w:val="231F20"/>
          <w:spacing w:val="-3"/>
        </w:rPr>
        <w:t>of </w:t>
      </w:r>
      <w:r>
        <w:rPr>
          <w:color w:val="231F20"/>
          <w:spacing w:val="-5"/>
        </w:rPr>
        <w:t>the rent </w:t>
      </w:r>
      <w:r>
        <w:rPr>
          <w:color w:val="231F20"/>
          <w:spacing w:val="-4"/>
        </w:rPr>
        <w:t>the </w:t>
      </w:r>
      <w:r>
        <w:rPr>
          <w:color w:val="231F20"/>
          <w:spacing w:val="-6"/>
        </w:rPr>
        <w:t>Company </w:t>
      </w:r>
      <w:r>
        <w:rPr>
          <w:color w:val="231F20"/>
          <w:spacing w:val="-5"/>
        </w:rPr>
        <w:t>pays </w:t>
      </w:r>
      <w:r>
        <w:rPr>
          <w:color w:val="231F20"/>
          <w:spacing w:val="-4"/>
        </w:rPr>
        <w:t>for </w:t>
      </w:r>
      <w:r>
        <w:rPr>
          <w:color w:val="231F20"/>
          <w:spacing w:val="-5"/>
        </w:rPr>
        <w:t>the </w:t>
      </w:r>
      <w:r>
        <w:rPr>
          <w:color w:val="231F20"/>
          <w:spacing w:val="-6"/>
        </w:rPr>
        <w:t>international facility </w:t>
      </w:r>
      <w:r>
        <w:rPr>
          <w:color w:val="231F20"/>
          <w:spacing w:val="-5"/>
        </w:rPr>
        <w:t>will </w:t>
      </w:r>
      <w:r>
        <w:rPr>
          <w:color w:val="231F20"/>
          <w:spacing w:val="-6"/>
        </w:rPr>
        <w:t>be </w:t>
      </w:r>
      <w:r>
        <w:rPr>
          <w:color w:val="231F20"/>
          <w:spacing w:val="-5"/>
        </w:rPr>
        <w:t>waived from the </w:t>
      </w:r>
      <w:r>
        <w:rPr>
          <w:color w:val="231F20"/>
          <w:spacing w:val="-6"/>
        </w:rPr>
        <w:t>initial occupancy </w:t>
      </w:r>
      <w:r>
        <w:rPr>
          <w:color w:val="231F20"/>
          <w:spacing w:val="-5"/>
        </w:rPr>
        <w:t>until </w:t>
      </w:r>
      <w:r>
        <w:rPr>
          <w:color w:val="231F20"/>
          <w:spacing w:val="-4"/>
        </w:rPr>
        <w:t>the </w:t>
      </w:r>
      <w:r>
        <w:rPr>
          <w:color w:val="231F20"/>
          <w:spacing w:val="-6"/>
        </w:rPr>
        <w:t>expiration </w:t>
      </w:r>
      <w:r>
        <w:rPr>
          <w:color w:val="231F20"/>
          <w:spacing w:val="-4"/>
        </w:rPr>
        <w:t>of </w:t>
      </w:r>
      <w:r>
        <w:rPr>
          <w:color w:val="231F20"/>
          <w:spacing w:val="-5"/>
        </w:rPr>
        <w:t>the Lease. </w:t>
      </w:r>
      <w:r>
        <w:rPr>
          <w:color w:val="231F20"/>
          <w:spacing w:val="-6"/>
        </w:rPr>
        <w:t>However, </w:t>
      </w:r>
      <w:r>
        <w:rPr>
          <w:color w:val="231F20"/>
          <w:spacing w:val="-5"/>
        </w:rPr>
        <w:t>after </w:t>
      </w:r>
      <w:r>
        <w:rPr>
          <w:color w:val="231F20"/>
          <w:spacing w:val="-6"/>
        </w:rPr>
        <w:t>completion </w:t>
      </w:r>
      <w:r>
        <w:rPr>
          <w:color w:val="231F20"/>
          <w:spacing w:val="-4"/>
        </w:rPr>
        <w:t>of </w:t>
      </w:r>
      <w:r>
        <w:rPr>
          <w:color w:val="231F20"/>
          <w:spacing w:val="-5"/>
        </w:rPr>
        <w:t>the </w:t>
      </w:r>
      <w:r>
        <w:rPr>
          <w:color w:val="231F20"/>
          <w:spacing w:val="-6"/>
        </w:rPr>
        <w:t>project, </w:t>
      </w:r>
      <w:r>
        <w:rPr>
          <w:color w:val="231F20"/>
          <w:spacing w:val="-4"/>
        </w:rPr>
        <w:t>the </w:t>
      </w:r>
      <w:r>
        <w:rPr>
          <w:color w:val="231F20"/>
          <w:spacing w:val="-5"/>
        </w:rPr>
        <w:t>City </w:t>
      </w:r>
      <w:r>
        <w:rPr>
          <w:color w:val="231F20"/>
          <w:spacing w:val="-4"/>
        </w:rPr>
        <w:t>has </w:t>
      </w:r>
      <w:r>
        <w:rPr>
          <w:color w:val="231F20"/>
          <w:spacing w:val="-5"/>
        </w:rPr>
        <w:t>the option </w:t>
      </w:r>
      <w:r>
        <w:rPr>
          <w:color w:val="231F20"/>
          <w:spacing w:val="-4"/>
        </w:rPr>
        <w:t>to </w:t>
      </w:r>
      <w:r>
        <w:rPr>
          <w:color w:val="231F20"/>
          <w:spacing w:val="-6"/>
        </w:rPr>
        <w:t>buy-out Southwest’s investment </w:t>
      </w:r>
      <w:r>
        <w:rPr>
          <w:color w:val="231F20"/>
          <w:spacing w:val="-3"/>
        </w:rPr>
        <w:t>at </w:t>
      </w:r>
      <w:r>
        <w:rPr>
          <w:color w:val="231F20"/>
          <w:spacing w:val="-4"/>
        </w:rPr>
        <w:t>the </w:t>
      </w:r>
      <w:r>
        <w:rPr>
          <w:color w:val="231F20"/>
          <w:spacing w:val="-6"/>
        </w:rPr>
        <w:t>then-unamortized </w:t>
      </w:r>
      <w:r>
        <w:rPr>
          <w:color w:val="231F20"/>
          <w:spacing w:val="-5"/>
        </w:rPr>
        <w:t>cost </w:t>
      </w:r>
      <w:r>
        <w:rPr>
          <w:color w:val="231F20"/>
          <w:spacing w:val="-3"/>
        </w:rPr>
        <w:t>of </w:t>
      </w:r>
      <w:r>
        <w:rPr>
          <w:color w:val="231F20"/>
          <w:spacing w:val="-4"/>
        </w:rPr>
        <w:t>the </w:t>
      </w:r>
      <w:r>
        <w:rPr>
          <w:color w:val="231F20"/>
          <w:spacing w:val="-6"/>
        </w:rPr>
        <w:t>facility. </w:t>
      </w:r>
      <w:r>
        <w:rPr>
          <w:color w:val="231F20"/>
          <w:spacing w:val="-7"/>
        </w:rPr>
        <w:t>This </w:t>
      </w:r>
      <w:r>
        <w:rPr>
          <w:color w:val="231F20"/>
          <w:spacing w:val="-6"/>
        </w:rPr>
        <w:t>purchase </w:t>
      </w:r>
      <w:r>
        <w:rPr>
          <w:color w:val="231F20"/>
          <w:spacing w:val="-5"/>
        </w:rPr>
        <w:t>would </w:t>
      </w:r>
      <w:r>
        <w:rPr>
          <w:color w:val="231F20"/>
          <w:spacing w:val="-6"/>
        </w:rPr>
        <w:t>trigger payment </w:t>
      </w:r>
      <w:r>
        <w:rPr>
          <w:color w:val="231F20"/>
          <w:spacing w:val="-3"/>
        </w:rPr>
        <w:t>of </w:t>
      </w:r>
      <w:r>
        <w:rPr>
          <w:color w:val="231F20"/>
          <w:spacing w:val="-4"/>
        </w:rPr>
        <w:t>the </w:t>
      </w:r>
      <w:r>
        <w:rPr>
          <w:color w:val="231F20"/>
          <w:spacing w:val="-6"/>
        </w:rPr>
        <w:t>previously </w:t>
      </w:r>
      <w:r>
        <w:rPr>
          <w:color w:val="231F20"/>
          <w:spacing w:val="-5"/>
        </w:rPr>
        <w:t>waived </w:t>
      </w:r>
      <w:r>
        <w:rPr>
          <w:color w:val="231F20"/>
          <w:spacing w:val="-6"/>
        </w:rPr>
        <w:t>capital </w:t>
      </w:r>
      <w:r>
        <w:rPr>
          <w:color w:val="231F20"/>
          <w:spacing w:val="-5"/>
        </w:rPr>
        <w:t>cost </w:t>
      </w:r>
      <w:r>
        <w:rPr>
          <w:color w:val="231F20"/>
          <w:spacing w:val="-6"/>
        </w:rPr>
        <w:t>component </w:t>
      </w:r>
      <w:r>
        <w:rPr>
          <w:color w:val="231F20"/>
          <w:spacing w:val="-3"/>
        </w:rPr>
        <w:t>of </w:t>
      </w:r>
      <w:r>
        <w:rPr>
          <w:color w:val="231F20"/>
          <w:spacing w:val="-5"/>
        </w:rPr>
        <w:t>rents owed the </w:t>
      </w:r>
      <w:r>
        <w:rPr>
          <w:color w:val="231F20"/>
          <w:spacing w:val="-6"/>
        </w:rPr>
        <w:t>City. Additionally, </w:t>
      </w:r>
      <w:r>
        <w:rPr>
          <w:color w:val="231F20"/>
          <w:spacing w:val="-5"/>
        </w:rPr>
        <w:t>some </w:t>
      </w:r>
      <w:r>
        <w:rPr>
          <w:color w:val="231F20"/>
          <w:spacing w:val="-6"/>
        </w:rPr>
        <w:t>portion </w:t>
      </w:r>
      <w:r>
        <w:rPr>
          <w:color w:val="231F20"/>
          <w:spacing w:val="-3"/>
        </w:rPr>
        <w:t>of </w:t>
      </w:r>
      <w:r>
        <w:rPr>
          <w:color w:val="231F20"/>
          <w:spacing w:val="-5"/>
        </w:rPr>
        <w:t>the </w:t>
      </w:r>
      <w:r>
        <w:rPr>
          <w:color w:val="231F20"/>
          <w:spacing w:val="-6"/>
        </w:rPr>
        <w:t>project </w:t>
      </w:r>
      <w:r>
        <w:rPr>
          <w:color w:val="231F20"/>
          <w:spacing w:val="-3"/>
        </w:rPr>
        <w:t>is </w:t>
      </w:r>
      <w:r>
        <w:rPr>
          <w:color w:val="231F20"/>
          <w:spacing w:val="-6"/>
        </w:rPr>
        <w:t>expected </w:t>
      </w:r>
      <w:r>
        <w:rPr>
          <w:color w:val="231F20"/>
          <w:spacing w:val="-3"/>
        </w:rPr>
        <w:t>to </w:t>
      </w:r>
      <w:r>
        <w:rPr>
          <w:color w:val="231F20"/>
          <w:spacing w:val="-6"/>
        </w:rPr>
        <w:t>qualify </w:t>
      </w:r>
      <w:r>
        <w:rPr>
          <w:color w:val="231F20"/>
          <w:spacing w:val="-5"/>
        </w:rPr>
        <w:t>for rental </w:t>
      </w:r>
      <w:r>
        <w:rPr>
          <w:color w:val="231F20"/>
          <w:spacing w:val="-6"/>
        </w:rPr>
        <w:t>credits </w:t>
      </w:r>
      <w:r>
        <w:rPr>
          <w:color w:val="231F20"/>
          <w:spacing w:val="-5"/>
        </w:rPr>
        <w:t>that would </w:t>
      </w:r>
      <w:r>
        <w:rPr>
          <w:color w:val="231F20"/>
          <w:spacing w:val="-3"/>
        </w:rPr>
        <w:t>be </w:t>
      </w:r>
      <w:r>
        <w:rPr>
          <w:color w:val="231F20"/>
          <w:spacing w:val="-6"/>
        </w:rPr>
        <w:t>utilized upon completion </w:t>
      </w:r>
      <w:r>
        <w:rPr>
          <w:color w:val="231F20"/>
          <w:spacing w:val="-3"/>
        </w:rPr>
        <w:t>of </w:t>
      </w:r>
      <w:r>
        <w:rPr>
          <w:color w:val="231F20"/>
          <w:spacing w:val="-5"/>
        </w:rPr>
        <w:t>the </w:t>
      </w:r>
      <w:r>
        <w:rPr>
          <w:color w:val="231F20"/>
          <w:spacing w:val="-6"/>
        </w:rPr>
        <w:t>facility against </w:t>
      </w:r>
      <w:r>
        <w:rPr>
          <w:color w:val="231F20"/>
          <w:spacing w:val="-5"/>
        </w:rPr>
        <w:t>the </w:t>
      </w:r>
      <w:r>
        <w:rPr>
          <w:color w:val="231F20"/>
          <w:spacing w:val="-6"/>
        </w:rPr>
        <w:t>Company’s </w:t>
      </w:r>
      <w:r>
        <w:rPr>
          <w:color w:val="231F20"/>
          <w:spacing w:val="-5"/>
        </w:rPr>
        <w:t>lease </w:t>
      </w:r>
      <w:r>
        <w:rPr>
          <w:color w:val="231F20"/>
          <w:spacing w:val="-6"/>
        </w:rPr>
        <w:t>payments </w:t>
      </w:r>
      <w:r>
        <w:rPr>
          <w:color w:val="231F20"/>
          <w:spacing w:val="-3"/>
        </w:rPr>
        <w:t>at </w:t>
      </w:r>
      <w:r>
        <w:rPr>
          <w:color w:val="231F20"/>
          <w:spacing w:val="-5"/>
        </w:rPr>
        <w:t>the </w:t>
      </w:r>
      <w:r>
        <w:rPr>
          <w:color w:val="231F20"/>
          <w:spacing w:val="-6"/>
        </w:rPr>
        <w:t>airport. Construction </w:t>
      </w:r>
      <w:r>
        <w:rPr>
          <w:color w:val="231F20"/>
          <w:spacing w:val="-5"/>
        </w:rPr>
        <w:t>began </w:t>
      </w:r>
      <w:r>
        <w:rPr>
          <w:color w:val="231F20"/>
          <w:spacing w:val="-6"/>
        </w:rPr>
        <w:t>during </w:t>
      </w:r>
      <w:r>
        <w:rPr>
          <w:color w:val="231F20"/>
          <w:spacing w:val="-5"/>
        </w:rPr>
        <w:t>third</w:t>
      </w:r>
      <w:r>
        <w:rPr>
          <w:color w:val="231F20"/>
          <w:spacing w:val="-10"/>
        </w:rPr>
        <w:t> </w:t>
      </w:r>
      <w:r>
        <w:rPr>
          <w:color w:val="231F20"/>
          <w:spacing w:val="-6"/>
        </w:rPr>
        <w:t>quarter</w:t>
      </w:r>
      <w:r>
        <w:rPr>
          <w:color w:val="231F20"/>
          <w:spacing w:val="-12"/>
        </w:rPr>
        <w:t> </w:t>
      </w:r>
      <w:r>
        <w:rPr>
          <w:color w:val="231F20"/>
          <w:spacing w:val="-5"/>
        </w:rPr>
        <w:t>2013</w:t>
      </w:r>
      <w:r>
        <w:rPr>
          <w:color w:val="231F20"/>
          <w:spacing w:val="-10"/>
        </w:rPr>
        <w:t> </w:t>
      </w:r>
      <w:r>
        <w:rPr>
          <w:color w:val="231F20"/>
          <w:spacing w:val="-4"/>
        </w:rPr>
        <w:t>and</w:t>
      </w:r>
      <w:r>
        <w:rPr>
          <w:color w:val="231F20"/>
          <w:spacing w:val="-10"/>
        </w:rPr>
        <w:t> </w:t>
      </w:r>
      <w:r>
        <w:rPr>
          <w:color w:val="231F20"/>
          <w:spacing w:val="-4"/>
        </w:rPr>
        <w:t>is</w:t>
      </w:r>
      <w:r>
        <w:rPr>
          <w:color w:val="231F20"/>
          <w:spacing w:val="-10"/>
        </w:rPr>
        <w:t> </w:t>
      </w:r>
      <w:r>
        <w:rPr>
          <w:color w:val="231F20"/>
          <w:spacing w:val="-6"/>
        </w:rPr>
        <w:t>estimated</w:t>
      </w:r>
      <w:r>
        <w:rPr>
          <w:color w:val="231F20"/>
          <w:spacing w:val="-10"/>
        </w:rPr>
        <w:t> </w:t>
      </w:r>
      <w:r>
        <w:rPr>
          <w:color w:val="231F20"/>
          <w:spacing w:val="-4"/>
        </w:rPr>
        <w:t>to</w:t>
      </w:r>
      <w:r>
        <w:rPr>
          <w:color w:val="231F20"/>
          <w:spacing w:val="-10"/>
        </w:rPr>
        <w:t> </w:t>
      </w:r>
      <w:r>
        <w:rPr>
          <w:color w:val="231F20"/>
          <w:spacing w:val="-3"/>
        </w:rPr>
        <w:t>be</w:t>
      </w:r>
      <w:r>
        <w:rPr>
          <w:color w:val="231F20"/>
          <w:spacing w:val="-10"/>
        </w:rPr>
        <w:t> </w:t>
      </w:r>
      <w:r>
        <w:rPr>
          <w:color w:val="231F20"/>
          <w:spacing w:val="-6"/>
        </w:rPr>
        <w:t>completed</w:t>
      </w:r>
      <w:r>
        <w:rPr>
          <w:color w:val="231F20"/>
          <w:spacing w:val="-10"/>
        </w:rPr>
        <w:t> </w:t>
      </w:r>
      <w:r>
        <w:rPr>
          <w:color w:val="231F20"/>
          <w:spacing w:val="-5"/>
        </w:rPr>
        <w:t>during</w:t>
      </w:r>
      <w:r>
        <w:rPr>
          <w:color w:val="231F20"/>
          <w:spacing w:val="-10"/>
        </w:rPr>
        <w:t> </w:t>
      </w:r>
      <w:r>
        <w:rPr>
          <w:color w:val="231F20"/>
          <w:spacing w:val="-5"/>
        </w:rPr>
        <w:t>the</w:t>
      </w:r>
      <w:r>
        <w:rPr>
          <w:color w:val="231F20"/>
          <w:spacing w:val="-10"/>
        </w:rPr>
        <w:t> </w:t>
      </w:r>
      <w:r>
        <w:rPr>
          <w:color w:val="231F20"/>
          <w:spacing w:val="-5"/>
        </w:rPr>
        <w:t>second</w:t>
      </w:r>
      <w:r>
        <w:rPr>
          <w:color w:val="231F20"/>
          <w:spacing w:val="-10"/>
        </w:rPr>
        <w:t> </w:t>
      </w:r>
      <w:r>
        <w:rPr>
          <w:color w:val="231F20"/>
          <w:spacing w:val="-5"/>
        </w:rPr>
        <w:t>half</w:t>
      </w:r>
      <w:r>
        <w:rPr>
          <w:color w:val="231F20"/>
          <w:spacing w:val="-12"/>
        </w:rPr>
        <w:t> </w:t>
      </w:r>
      <w:r>
        <w:rPr>
          <w:color w:val="231F20"/>
          <w:spacing w:val="-3"/>
        </w:rPr>
        <w:t>of</w:t>
      </w:r>
      <w:r>
        <w:rPr>
          <w:color w:val="231F20"/>
          <w:spacing w:val="-12"/>
        </w:rPr>
        <w:t> </w:t>
      </w:r>
      <w:r>
        <w:rPr>
          <w:color w:val="231F20"/>
          <w:spacing w:val="-6"/>
        </w:rPr>
        <w:t>2015.</w:t>
      </w:r>
    </w:p>
    <w:p>
      <w:pPr>
        <w:pStyle w:val="BodyText"/>
        <w:spacing w:line="247" w:lineRule="auto" w:before="215"/>
        <w:ind w:left="100" w:right="118" w:firstLine="720"/>
        <w:jc w:val="both"/>
      </w:pPr>
      <w:r>
        <w:rPr>
          <w:color w:val="231F20"/>
        </w:rPr>
        <w:t>As a result of its significant involvement in the Houston Hobby project, the Company </w:t>
      </w:r>
      <w:r>
        <w:rPr>
          <w:color w:val="231F20"/>
          <w:spacing w:val="-2"/>
        </w:rPr>
        <w:t>has </w:t>
      </w:r>
      <w:r>
        <w:rPr>
          <w:color w:val="231F20"/>
        </w:rPr>
        <w:t>evaluated its ongoing accounting requirements in consideration of accounting guidance provided </w:t>
      </w:r>
      <w:r>
        <w:rPr>
          <w:color w:val="231F20"/>
          <w:spacing w:val="-3"/>
        </w:rPr>
        <w:t>for </w:t>
      </w:r>
      <w:r>
        <w:rPr>
          <w:color w:val="231F20"/>
        </w:rPr>
        <w:t>lessees</w:t>
      </w:r>
      <w:r>
        <w:rPr>
          <w:color w:val="231F20"/>
          <w:spacing w:val="-7"/>
        </w:rPr>
        <w:t> </w:t>
      </w:r>
      <w:r>
        <w:rPr>
          <w:color w:val="231F20"/>
        </w:rPr>
        <w:t>involved</w:t>
      </w:r>
      <w:r>
        <w:rPr>
          <w:color w:val="231F20"/>
          <w:spacing w:val="-7"/>
        </w:rPr>
        <w:t> </w:t>
      </w:r>
      <w:r>
        <w:rPr>
          <w:color w:val="231F20"/>
        </w:rPr>
        <w:t>in</w:t>
      </w:r>
      <w:r>
        <w:rPr>
          <w:color w:val="231F20"/>
          <w:spacing w:val="-7"/>
        </w:rPr>
        <w:t> </w:t>
      </w:r>
      <w:r>
        <w:rPr>
          <w:color w:val="231F20"/>
        </w:rPr>
        <w:t>asset</w:t>
      </w:r>
      <w:r>
        <w:rPr>
          <w:color w:val="231F20"/>
          <w:spacing w:val="-8"/>
        </w:rPr>
        <w:t> </w:t>
      </w:r>
      <w:r>
        <w:rPr>
          <w:color w:val="231F20"/>
        </w:rPr>
        <w:t>construction,</w:t>
      </w:r>
      <w:r>
        <w:rPr>
          <w:color w:val="231F20"/>
          <w:spacing w:val="-7"/>
        </w:rPr>
        <w:t> </w:t>
      </w:r>
      <w:r>
        <w:rPr>
          <w:color w:val="231F20"/>
        </w:rPr>
        <w:t>and</w:t>
      </w:r>
      <w:r>
        <w:rPr>
          <w:color w:val="231F20"/>
          <w:spacing w:val="-7"/>
        </w:rPr>
        <w:t> </w:t>
      </w:r>
      <w:r>
        <w:rPr>
          <w:color w:val="231F20"/>
        </w:rPr>
        <w:t>has</w:t>
      </w:r>
      <w:r>
        <w:rPr>
          <w:color w:val="231F20"/>
          <w:spacing w:val="-7"/>
        </w:rPr>
        <w:t> </w:t>
      </w:r>
      <w:r>
        <w:rPr>
          <w:color w:val="231F20"/>
        </w:rPr>
        <w:t>determined</w:t>
      </w:r>
      <w:r>
        <w:rPr>
          <w:color w:val="231F20"/>
          <w:spacing w:val="-7"/>
        </w:rPr>
        <w:t> </w:t>
      </w:r>
      <w:r>
        <w:rPr>
          <w:color w:val="231F20"/>
        </w:rPr>
        <w:t>that</w:t>
      </w:r>
      <w:r>
        <w:rPr>
          <w:color w:val="231F20"/>
          <w:spacing w:val="-8"/>
        </w:rPr>
        <w:t> </w:t>
      </w:r>
      <w:r>
        <w:rPr>
          <w:color w:val="231F20"/>
        </w:rPr>
        <w:t>it</w:t>
      </w:r>
      <w:r>
        <w:rPr>
          <w:color w:val="231F20"/>
          <w:spacing w:val="-8"/>
        </w:rPr>
        <w:t> </w:t>
      </w:r>
      <w:r>
        <w:rPr>
          <w:color w:val="231F20"/>
        </w:rPr>
        <w:t>qualifies</w:t>
      </w:r>
      <w:r>
        <w:rPr>
          <w:color w:val="231F20"/>
          <w:spacing w:val="-7"/>
        </w:rPr>
        <w:t> </w:t>
      </w:r>
      <w:r>
        <w:rPr>
          <w:color w:val="231F20"/>
        </w:rPr>
        <w:t>as</w:t>
      </w:r>
      <w:r>
        <w:rPr>
          <w:color w:val="231F20"/>
          <w:spacing w:val="-7"/>
        </w:rPr>
        <w:t> </w:t>
      </w:r>
      <w:r>
        <w:rPr>
          <w:color w:val="231F20"/>
        </w:rPr>
        <w:t>the</w:t>
      </w:r>
      <w:r>
        <w:rPr>
          <w:color w:val="231F20"/>
          <w:spacing w:val="-7"/>
        </w:rPr>
        <w:t> </w:t>
      </w:r>
      <w:r>
        <w:rPr>
          <w:color w:val="231F20"/>
        </w:rPr>
        <w:t>accounting</w:t>
      </w:r>
      <w:r>
        <w:rPr>
          <w:color w:val="231F20"/>
          <w:spacing w:val="-8"/>
        </w:rPr>
        <w:t> </w:t>
      </w:r>
      <w:r>
        <w:rPr>
          <w:color w:val="231F20"/>
        </w:rPr>
        <w:t>owner</w:t>
      </w:r>
      <w:r>
        <w:rPr>
          <w:color w:val="231F20"/>
          <w:spacing w:val="-9"/>
        </w:rPr>
        <w:t> </w:t>
      </w:r>
      <w:r>
        <w:rPr>
          <w:color w:val="231F20"/>
        </w:rPr>
        <w:t>of</w:t>
      </w:r>
      <w:r>
        <w:rPr>
          <w:color w:val="231F20"/>
          <w:spacing w:val="-9"/>
        </w:rPr>
        <w:t> </w:t>
      </w:r>
      <w:r>
        <w:rPr>
          <w:color w:val="231F20"/>
          <w:spacing w:val="-2"/>
        </w:rPr>
        <w:t>the </w:t>
      </w:r>
      <w:r>
        <w:rPr>
          <w:color w:val="231F20"/>
        </w:rPr>
        <w:t>facility during the construction period. As such, during construction, the Company records</w:t>
      </w:r>
      <w:r>
        <w:rPr>
          <w:color w:val="231F20"/>
          <w:spacing w:val="-7"/>
        </w:rPr>
        <w:t> </w:t>
      </w:r>
      <w:r>
        <w:rPr>
          <w:color w:val="231F20"/>
          <w:spacing w:val="-2"/>
        </w:rPr>
        <w:t>expenditures </w:t>
      </w:r>
      <w:r>
        <w:rPr>
          <w:color w:val="231F20"/>
        </w:rPr>
        <w:t>as Assets constructed for others in the Consolidated Balance Sheet, along with a corresponding outflow within</w:t>
      </w:r>
      <w:r>
        <w:rPr>
          <w:color w:val="231F20"/>
          <w:spacing w:val="-11"/>
        </w:rPr>
        <w:t> </w:t>
      </w:r>
      <w:r>
        <w:rPr>
          <w:color w:val="231F20"/>
        </w:rPr>
        <w:t>Capital</w:t>
      </w:r>
      <w:r>
        <w:rPr>
          <w:color w:val="231F20"/>
          <w:spacing w:val="-11"/>
        </w:rPr>
        <w:t> </w:t>
      </w:r>
      <w:r>
        <w:rPr>
          <w:color w:val="231F20"/>
        </w:rPr>
        <w:t>expenditures,</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Consolidated</w:t>
      </w:r>
      <w:r>
        <w:rPr>
          <w:color w:val="231F20"/>
          <w:spacing w:val="-11"/>
        </w:rPr>
        <w:t> </w:t>
      </w:r>
      <w:r>
        <w:rPr>
          <w:color w:val="231F20"/>
        </w:rPr>
        <w:t>Statement</w:t>
      </w:r>
      <w:r>
        <w:rPr>
          <w:color w:val="231F20"/>
          <w:spacing w:val="-11"/>
        </w:rPr>
        <w:t> </w:t>
      </w:r>
      <w:r>
        <w:rPr>
          <w:color w:val="231F20"/>
        </w:rPr>
        <w:t>of</w:t>
      </w:r>
      <w:r>
        <w:rPr>
          <w:color w:val="231F20"/>
          <w:spacing w:val="-11"/>
        </w:rPr>
        <w:t> </w:t>
      </w:r>
      <w:r>
        <w:rPr>
          <w:color w:val="231F20"/>
        </w:rPr>
        <w:t>Cash</w:t>
      </w:r>
      <w:r>
        <w:rPr>
          <w:color w:val="231F20"/>
          <w:spacing w:val="-11"/>
        </w:rPr>
        <w:t> </w:t>
      </w:r>
      <w:r>
        <w:rPr>
          <w:color w:val="231F20"/>
        </w:rPr>
        <w:t>Flows.</w:t>
      </w:r>
      <w:r>
        <w:rPr>
          <w:color w:val="231F20"/>
          <w:spacing w:val="-11"/>
        </w:rPr>
        <w:t> </w:t>
      </w:r>
      <w:r>
        <w:rPr>
          <w:color w:val="231F20"/>
        </w:rPr>
        <w:t>As</w:t>
      </w:r>
      <w:r>
        <w:rPr>
          <w:color w:val="231F20"/>
          <w:spacing w:val="-11"/>
        </w:rPr>
        <w:t> </w:t>
      </w:r>
      <w:r>
        <w:rPr>
          <w:color w:val="231F20"/>
        </w:rPr>
        <w:t>of</w:t>
      </w:r>
      <w:r>
        <w:rPr>
          <w:color w:val="231F20"/>
          <w:spacing w:val="-11"/>
        </w:rPr>
        <w:t> </w:t>
      </w:r>
      <w:r>
        <w:rPr>
          <w:color w:val="231F20"/>
        </w:rPr>
        <w:t>December</w:t>
      </w:r>
      <w:r>
        <w:rPr>
          <w:color w:val="231F20"/>
          <w:spacing w:val="-11"/>
        </w:rPr>
        <w:t> </w:t>
      </w:r>
      <w:r>
        <w:rPr>
          <w:color w:val="231F20"/>
        </w:rPr>
        <w:t>31,</w:t>
      </w:r>
      <w:r>
        <w:rPr>
          <w:color w:val="231F20"/>
          <w:spacing w:val="-11"/>
        </w:rPr>
        <w:t> </w:t>
      </w:r>
      <w:r>
        <w:rPr>
          <w:color w:val="231F20"/>
        </w:rPr>
        <w:t>2014,</w:t>
      </w:r>
      <w:r>
        <w:rPr>
          <w:color w:val="231F20"/>
          <w:spacing w:val="-11"/>
        </w:rPr>
        <w:t> </w:t>
      </w:r>
      <w:r>
        <w:rPr>
          <w:color w:val="231F20"/>
          <w:spacing w:val="-2"/>
        </w:rPr>
        <w:t>the </w:t>
      </w:r>
      <w:r>
        <w:rPr>
          <w:color w:val="231F20"/>
        </w:rPr>
        <w:t>Company</w:t>
      </w:r>
      <w:r>
        <w:rPr>
          <w:color w:val="231F20"/>
          <w:spacing w:val="-15"/>
        </w:rPr>
        <w:t> </w:t>
      </w:r>
      <w:r>
        <w:rPr>
          <w:color w:val="231F20"/>
        </w:rPr>
        <w:t>had</w:t>
      </w:r>
      <w:r>
        <w:rPr>
          <w:color w:val="231F20"/>
          <w:spacing w:val="-15"/>
        </w:rPr>
        <w:t> </w:t>
      </w:r>
      <w:r>
        <w:rPr>
          <w:color w:val="231F20"/>
        </w:rPr>
        <w:t>recorded</w:t>
      </w:r>
      <w:r>
        <w:rPr>
          <w:color w:val="231F20"/>
          <w:spacing w:val="-15"/>
        </w:rPr>
        <w:t> </w:t>
      </w:r>
      <w:r>
        <w:rPr>
          <w:color w:val="231F20"/>
        </w:rPr>
        <w:t>construction</w:t>
      </w:r>
      <w:r>
        <w:rPr>
          <w:color w:val="231F20"/>
          <w:spacing w:val="-15"/>
        </w:rPr>
        <w:t> </w:t>
      </w:r>
      <w:r>
        <w:rPr>
          <w:color w:val="231F20"/>
        </w:rPr>
        <w:t>costs</w:t>
      </w:r>
      <w:r>
        <w:rPr>
          <w:color w:val="231F20"/>
          <w:spacing w:val="-15"/>
        </w:rPr>
        <w:t> </w:t>
      </w:r>
      <w:r>
        <w:rPr>
          <w:color w:val="231F20"/>
        </w:rPr>
        <w:t>related</w:t>
      </w:r>
      <w:r>
        <w:rPr>
          <w:color w:val="231F20"/>
          <w:spacing w:val="-15"/>
        </w:rPr>
        <w:t> </w:t>
      </w:r>
      <w:r>
        <w:rPr>
          <w:color w:val="231F20"/>
        </w:rPr>
        <w:t>to</w:t>
      </w:r>
      <w:r>
        <w:rPr>
          <w:color w:val="231F20"/>
          <w:spacing w:val="-15"/>
        </w:rPr>
        <w:t> </w:t>
      </w:r>
      <w:r>
        <w:rPr>
          <w:color w:val="231F20"/>
        </w:rPr>
        <w:t>Houston</w:t>
      </w:r>
      <w:r>
        <w:rPr>
          <w:color w:val="231F20"/>
          <w:spacing w:val="-15"/>
        </w:rPr>
        <w:t> </w:t>
      </w:r>
      <w:r>
        <w:rPr>
          <w:color w:val="231F20"/>
        </w:rPr>
        <w:t>Hobby</w:t>
      </w:r>
      <w:r>
        <w:rPr>
          <w:color w:val="231F20"/>
          <w:spacing w:val="-15"/>
        </w:rPr>
        <w:t> </w:t>
      </w:r>
      <w:r>
        <w:rPr>
          <w:color w:val="231F20"/>
        </w:rPr>
        <w:t>of</w:t>
      </w:r>
      <w:r>
        <w:rPr>
          <w:color w:val="231F20"/>
          <w:spacing w:val="-16"/>
        </w:rPr>
        <w:t> </w:t>
      </w:r>
      <w:r>
        <w:rPr>
          <w:color w:val="231F20"/>
        </w:rPr>
        <w:t>$64</w:t>
      </w:r>
      <w:r>
        <w:rPr>
          <w:color w:val="231F20"/>
          <w:spacing w:val="-15"/>
        </w:rPr>
        <w:t> </w:t>
      </w:r>
      <w:r>
        <w:rPr>
          <w:color w:val="231F20"/>
        </w:rPr>
        <w:t>million.</w:t>
      </w:r>
    </w:p>
    <w:p>
      <w:pPr>
        <w:pStyle w:val="Heading1"/>
        <w:spacing w:before="215"/>
      </w:pPr>
      <w:r>
        <w:rPr>
          <w:color w:val="231F20"/>
        </w:rPr>
        <w:t>Los Angeles International Airport</w:t>
      </w:r>
    </w:p>
    <w:p>
      <w:pPr>
        <w:pStyle w:val="BodyText"/>
        <w:spacing w:before="4"/>
        <w:rPr>
          <w:b/>
          <w:sz w:val="19"/>
        </w:rPr>
      </w:pPr>
    </w:p>
    <w:p>
      <w:pPr>
        <w:pStyle w:val="BodyText"/>
        <w:spacing w:line="247" w:lineRule="auto"/>
        <w:ind w:left="100" w:right="119" w:firstLine="720"/>
        <w:jc w:val="both"/>
      </w:pPr>
      <w:r>
        <w:rPr>
          <w:color w:val="231F20"/>
        </w:rPr>
        <w:t>In </w:t>
      </w:r>
      <w:r>
        <w:rPr>
          <w:color w:val="231F20"/>
          <w:spacing w:val="-4"/>
        </w:rPr>
        <w:t>March 2013, </w:t>
      </w:r>
      <w:r>
        <w:rPr>
          <w:color w:val="231F20"/>
          <w:spacing w:val="-3"/>
        </w:rPr>
        <w:t>the </w:t>
      </w:r>
      <w:r>
        <w:rPr>
          <w:color w:val="231F20"/>
          <w:spacing w:val="-4"/>
        </w:rPr>
        <w:t>Company executed </w:t>
      </w:r>
      <w:r>
        <w:rPr>
          <w:color w:val="231F20"/>
        </w:rPr>
        <w:t>a </w:t>
      </w:r>
      <w:r>
        <w:rPr>
          <w:color w:val="231F20"/>
          <w:spacing w:val="-4"/>
        </w:rPr>
        <w:t>lease agreement </w:t>
      </w:r>
      <w:r>
        <w:rPr>
          <w:color w:val="231F20"/>
          <w:spacing w:val="-3"/>
        </w:rPr>
        <w:t>with Los </w:t>
      </w:r>
      <w:r>
        <w:rPr>
          <w:color w:val="231F20"/>
          <w:spacing w:val="-4"/>
        </w:rPr>
        <w:t>Angeles World Airports (“LAWA”), which </w:t>
      </w:r>
      <w:r>
        <w:rPr>
          <w:color w:val="231F20"/>
          <w:spacing w:val="-3"/>
        </w:rPr>
        <w:t>owns and </w:t>
      </w:r>
      <w:r>
        <w:rPr>
          <w:color w:val="231F20"/>
          <w:spacing w:val="-4"/>
        </w:rPr>
        <w:t>operates </w:t>
      </w:r>
      <w:r>
        <w:rPr>
          <w:color w:val="231F20"/>
          <w:spacing w:val="-3"/>
        </w:rPr>
        <w:t>Los </w:t>
      </w:r>
      <w:r>
        <w:rPr>
          <w:color w:val="231F20"/>
          <w:spacing w:val="-4"/>
        </w:rPr>
        <w:t>Angeles International Airport (“LAX”). Under </w:t>
      </w:r>
      <w:r>
        <w:rPr>
          <w:color w:val="231F20"/>
          <w:spacing w:val="-3"/>
        </w:rPr>
        <w:t>the </w:t>
      </w:r>
      <w:r>
        <w:rPr>
          <w:color w:val="231F20"/>
          <w:spacing w:val="-4"/>
        </w:rPr>
        <w:t>lease agreement, which </w:t>
      </w:r>
      <w:r>
        <w:rPr>
          <w:color w:val="231F20"/>
          <w:spacing w:val="-3"/>
        </w:rPr>
        <w:t>was </w:t>
      </w:r>
      <w:r>
        <w:rPr>
          <w:color w:val="231F20"/>
          <w:spacing w:val="-4"/>
        </w:rPr>
        <w:t>amended </w:t>
      </w:r>
      <w:r>
        <w:rPr>
          <w:color w:val="231F20"/>
          <w:spacing w:val="-3"/>
        </w:rPr>
        <w:t>in June </w:t>
      </w:r>
      <w:r>
        <w:rPr>
          <w:color w:val="231F20"/>
          <w:spacing w:val="-4"/>
        </w:rPr>
        <w:t>2014, </w:t>
      </w:r>
      <w:r>
        <w:rPr>
          <w:color w:val="231F20"/>
          <w:spacing w:val="-3"/>
        </w:rPr>
        <w:t>the </w:t>
      </w:r>
      <w:r>
        <w:rPr>
          <w:color w:val="231F20"/>
          <w:spacing w:val="-4"/>
        </w:rPr>
        <w:t>Company </w:t>
      </w:r>
      <w:r>
        <w:rPr>
          <w:color w:val="231F20"/>
          <w:spacing w:val="-3"/>
        </w:rPr>
        <w:t>will </w:t>
      </w:r>
      <w:r>
        <w:rPr>
          <w:color w:val="231F20"/>
          <w:spacing w:val="-4"/>
        </w:rPr>
        <w:t>oversee </w:t>
      </w:r>
      <w:r>
        <w:rPr>
          <w:color w:val="231F20"/>
          <w:spacing w:val="-3"/>
        </w:rPr>
        <w:t>and </w:t>
      </w:r>
      <w:r>
        <w:rPr>
          <w:color w:val="231F20"/>
          <w:spacing w:val="-4"/>
        </w:rPr>
        <w:t>manage </w:t>
      </w:r>
      <w:r>
        <w:rPr>
          <w:color w:val="231F20"/>
          <w:spacing w:val="-3"/>
        </w:rPr>
        <w:t>the </w:t>
      </w:r>
      <w:r>
        <w:rPr>
          <w:color w:val="231F20"/>
          <w:spacing w:val="-4"/>
        </w:rPr>
        <w:t>design, development, financing, construction </w:t>
      </w:r>
      <w:r>
        <w:rPr>
          <w:color w:val="231F20"/>
          <w:spacing w:val="-3"/>
        </w:rPr>
        <w:t>and </w:t>
      </w:r>
      <w:r>
        <w:rPr>
          <w:color w:val="231F20"/>
          <w:spacing w:val="-4"/>
        </w:rPr>
        <w:t>commissioning </w:t>
      </w:r>
      <w:r>
        <w:rPr>
          <w:color w:val="231F20"/>
        </w:rPr>
        <w:t>of </w:t>
      </w:r>
      <w:r>
        <w:rPr>
          <w:color w:val="231F20"/>
          <w:spacing w:val="-3"/>
        </w:rPr>
        <w:t>the </w:t>
      </w:r>
      <w:r>
        <w:rPr>
          <w:color w:val="231F20"/>
          <w:spacing w:val="-4"/>
        </w:rPr>
        <w:t>airport’s Terminal </w:t>
      </w:r>
      <w:r>
        <w:rPr>
          <w:color w:val="231F20"/>
        </w:rPr>
        <w:t>1 </w:t>
      </w:r>
      <w:r>
        <w:rPr>
          <w:color w:val="231F20"/>
          <w:spacing w:val="-4"/>
        </w:rPr>
        <w:t>Modernization </w:t>
      </w:r>
      <w:r>
        <w:rPr>
          <w:color w:val="231F20"/>
          <w:spacing w:val="-5"/>
        </w:rPr>
        <w:t>Project </w:t>
      </w:r>
      <w:r>
        <w:rPr>
          <w:color w:val="231F20"/>
          <w:spacing w:val="-3"/>
        </w:rPr>
        <w:t>(the </w:t>
      </w:r>
      <w:r>
        <w:rPr>
          <w:color w:val="231F20"/>
          <w:spacing w:val="-4"/>
        </w:rPr>
        <w:t>“Project”) </w:t>
      </w:r>
      <w:r>
        <w:rPr>
          <w:color w:val="231F20"/>
        </w:rPr>
        <w:t>at a </w:t>
      </w:r>
      <w:r>
        <w:rPr>
          <w:color w:val="231F20"/>
          <w:spacing w:val="-3"/>
        </w:rPr>
        <w:t>cost not </w:t>
      </w:r>
      <w:r>
        <w:rPr>
          <w:color w:val="231F20"/>
        </w:rPr>
        <w:t>to </w:t>
      </w:r>
      <w:r>
        <w:rPr>
          <w:color w:val="231F20"/>
          <w:spacing w:val="-4"/>
        </w:rPr>
        <w:t>exceed </w:t>
      </w:r>
      <w:r>
        <w:rPr>
          <w:color w:val="231F20"/>
          <w:spacing w:val="-3"/>
        </w:rPr>
        <w:t>$525 </w:t>
      </w:r>
      <w:r>
        <w:rPr>
          <w:color w:val="231F20"/>
          <w:spacing w:val="-4"/>
        </w:rPr>
        <w:t>million. </w:t>
      </w:r>
      <w:r>
        <w:rPr>
          <w:color w:val="231F20"/>
          <w:spacing w:val="-3"/>
        </w:rPr>
        <w:t>The </w:t>
      </w:r>
      <w:r>
        <w:rPr>
          <w:color w:val="231F20"/>
          <w:spacing w:val="-4"/>
        </w:rPr>
        <w:t>Project </w:t>
      </w:r>
      <w:r>
        <w:rPr>
          <w:color w:val="231F20"/>
          <w:spacing w:val="-3"/>
        </w:rPr>
        <w:t>will </w:t>
      </w:r>
      <w:r>
        <w:rPr>
          <w:color w:val="231F20"/>
        </w:rPr>
        <w:t>be </w:t>
      </w:r>
      <w:r>
        <w:rPr>
          <w:color w:val="231F20"/>
          <w:spacing w:val="-4"/>
        </w:rPr>
        <w:t>funded using </w:t>
      </w:r>
      <w:r>
        <w:rPr>
          <w:color w:val="231F20"/>
          <w:spacing w:val="-3"/>
        </w:rPr>
        <w:t>the </w:t>
      </w:r>
      <w:r>
        <w:rPr>
          <w:color w:val="231F20"/>
          <w:spacing w:val="-4"/>
        </w:rPr>
        <w:t>Regional Airports Improvement Corporation (“RAIC”), which </w:t>
      </w:r>
      <w:r>
        <w:rPr>
          <w:color w:val="231F20"/>
          <w:spacing w:val="-3"/>
        </w:rPr>
        <w:t>is </w:t>
      </w:r>
      <w:r>
        <w:rPr>
          <w:color w:val="231F20"/>
        </w:rPr>
        <w:t>a </w:t>
      </w:r>
      <w:r>
        <w:rPr>
          <w:color w:val="231F20"/>
          <w:spacing w:val="-4"/>
        </w:rPr>
        <w:t>quasi-governmental special purpose entity which </w:t>
      </w:r>
      <w:r>
        <w:rPr>
          <w:color w:val="231F20"/>
          <w:spacing w:val="-3"/>
        </w:rPr>
        <w:t>will </w:t>
      </w:r>
      <w:r>
        <w:rPr>
          <w:color w:val="231F20"/>
          <w:spacing w:val="-4"/>
        </w:rPr>
        <w:t>act </w:t>
      </w:r>
      <w:r>
        <w:rPr>
          <w:color w:val="231F20"/>
        </w:rPr>
        <w:t>as a </w:t>
      </w:r>
      <w:r>
        <w:rPr>
          <w:color w:val="231F20"/>
          <w:spacing w:val="-4"/>
        </w:rPr>
        <w:t>conduit borrower under </w:t>
      </w:r>
      <w:r>
        <w:rPr>
          <w:color w:val="231F20"/>
        </w:rPr>
        <w:t>a </w:t>
      </w:r>
      <w:r>
        <w:rPr>
          <w:color w:val="231F20"/>
          <w:spacing w:val="-4"/>
        </w:rPr>
        <w:t>syndicated credit facility provided </w:t>
      </w:r>
      <w:r>
        <w:rPr>
          <w:color w:val="231F20"/>
        </w:rPr>
        <w:t>by a </w:t>
      </w:r>
      <w:r>
        <w:rPr>
          <w:color w:val="231F20"/>
          <w:spacing w:val="-4"/>
        </w:rPr>
        <w:t>group </w:t>
      </w:r>
      <w:r>
        <w:rPr>
          <w:color w:val="231F20"/>
        </w:rPr>
        <w:t>of </w:t>
      </w:r>
      <w:r>
        <w:rPr>
          <w:color w:val="231F20"/>
          <w:spacing w:val="-4"/>
        </w:rPr>
        <w:t>lenders. Loans </w:t>
      </w:r>
      <w:r>
        <w:rPr>
          <w:color w:val="231F20"/>
          <w:spacing w:val="-3"/>
        </w:rPr>
        <w:t>made </w:t>
      </w:r>
      <w:r>
        <w:rPr>
          <w:color w:val="231F20"/>
          <w:spacing w:val="-4"/>
        </w:rPr>
        <w:t>under </w:t>
      </w:r>
      <w:r>
        <w:rPr>
          <w:color w:val="231F20"/>
          <w:spacing w:val="-3"/>
        </w:rPr>
        <w:t>the </w:t>
      </w:r>
      <w:r>
        <w:rPr>
          <w:color w:val="231F20"/>
          <w:spacing w:val="-4"/>
        </w:rPr>
        <w:t>credit facility </w:t>
      </w:r>
      <w:r>
        <w:rPr>
          <w:color w:val="231F20"/>
          <w:spacing w:val="-3"/>
        </w:rPr>
        <w:t>will </w:t>
      </w:r>
      <w:r>
        <w:rPr>
          <w:color w:val="231F20"/>
        </w:rPr>
        <w:t>be </w:t>
      </w:r>
      <w:r>
        <w:rPr>
          <w:color w:val="231F20"/>
          <w:spacing w:val="-3"/>
        </w:rPr>
        <w:t>used </w:t>
      </w:r>
      <w:r>
        <w:rPr>
          <w:color w:val="231F20"/>
        </w:rPr>
        <w:t>to </w:t>
      </w:r>
      <w:r>
        <w:rPr>
          <w:color w:val="231F20"/>
          <w:spacing w:val="-3"/>
        </w:rPr>
        <w:t>fund the </w:t>
      </w:r>
      <w:r>
        <w:rPr>
          <w:color w:val="231F20"/>
          <w:spacing w:val="-4"/>
        </w:rPr>
        <w:t>development </w:t>
      </w:r>
      <w:r>
        <w:rPr>
          <w:color w:val="231F20"/>
        </w:rPr>
        <w:t>of </w:t>
      </w:r>
      <w:r>
        <w:rPr>
          <w:color w:val="231F20"/>
          <w:spacing w:val="-3"/>
        </w:rPr>
        <w:t>the </w:t>
      </w:r>
      <w:r>
        <w:rPr>
          <w:color w:val="231F20"/>
          <w:spacing w:val="-4"/>
        </w:rPr>
        <w:t>Project, </w:t>
      </w:r>
      <w:r>
        <w:rPr>
          <w:color w:val="231F20"/>
          <w:spacing w:val="-3"/>
        </w:rPr>
        <w:t>and the </w:t>
      </w:r>
      <w:r>
        <w:rPr>
          <w:color w:val="231F20"/>
          <w:spacing w:val="-4"/>
        </w:rPr>
        <w:t>outstanding loans </w:t>
      </w:r>
      <w:r>
        <w:rPr>
          <w:color w:val="231F20"/>
          <w:spacing w:val="-3"/>
        </w:rPr>
        <w:t>will </w:t>
      </w:r>
      <w:r>
        <w:rPr>
          <w:color w:val="231F20"/>
          <w:spacing w:val="-4"/>
        </w:rPr>
        <w:t>be repaid </w:t>
      </w:r>
      <w:r>
        <w:rPr>
          <w:color w:val="231F20"/>
          <w:spacing w:val="-3"/>
        </w:rPr>
        <w:t>with the </w:t>
      </w:r>
      <w:r>
        <w:rPr>
          <w:color w:val="231F20"/>
          <w:spacing w:val="-4"/>
        </w:rPr>
        <w:t>proceeds </w:t>
      </w:r>
      <w:r>
        <w:rPr>
          <w:color w:val="231F20"/>
        </w:rPr>
        <w:t>of </w:t>
      </w:r>
      <w:r>
        <w:rPr>
          <w:color w:val="231F20"/>
          <w:spacing w:val="-4"/>
        </w:rPr>
        <w:t>LAWA’s payments </w:t>
      </w:r>
      <w:r>
        <w:rPr>
          <w:color w:val="231F20"/>
          <w:spacing w:val="-3"/>
        </w:rPr>
        <w:t>to </w:t>
      </w:r>
      <w:r>
        <w:rPr>
          <w:color w:val="231F20"/>
          <w:spacing w:val="-4"/>
        </w:rPr>
        <w:t>purchase completed Project phases. </w:t>
      </w:r>
      <w:r>
        <w:rPr>
          <w:color w:val="231F20"/>
          <w:spacing w:val="-3"/>
        </w:rPr>
        <w:t>The </w:t>
      </w:r>
      <w:r>
        <w:rPr>
          <w:color w:val="231F20"/>
          <w:spacing w:val="-4"/>
        </w:rPr>
        <w:t>Company has guaranteed </w:t>
      </w:r>
      <w:r>
        <w:rPr>
          <w:color w:val="231F20"/>
          <w:spacing w:val="-3"/>
        </w:rPr>
        <w:t>the </w:t>
      </w:r>
      <w:r>
        <w:rPr>
          <w:color w:val="231F20"/>
          <w:spacing w:val="-4"/>
        </w:rPr>
        <w:t>obligations </w:t>
      </w:r>
      <w:r>
        <w:rPr>
          <w:color w:val="231F20"/>
        </w:rPr>
        <w:t>of </w:t>
      </w:r>
      <w:r>
        <w:rPr>
          <w:color w:val="231F20"/>
          <w:spacing w:val="-3"/>
        </w:rPr>
        <w:t>the RAIC </w:t>
      </w:r>
      <w:r>
        <w:rPr>
          <w:color w:val="231F20"/>
          <w:spacing w:val="-4"/>
        </w:rPr>
        <w:t>under </w:t>
      </w:r>
      <w:r>
        <w:rPr>
          <w:color w:val="231F20"/>
          <w:spacing w:val="-3"/>
        </w:rPr>
        <w:t>the </w:t>
      </w:r>
      <w:r>
        <w:rPr>
          <w:color w:val="231F20"/>
          <w:spacing w:val="-4"/>
        </w:rPr>
        <w:t>credit facility. Construction </w:t>
      </w:r>
      <w:r>
        <w:rPr>
          <w:color w:val="231F20"/>
        </w:rPr>
        <w:t>on </w:t>
      </w:r>
      <w:r>
        <w:rPr>
          <w:color w:val="231F20"/>
          <w:spacing w:val="-3"/>
        </w:rPr>
        <w:t>the </w:t>
      </w:r>
      <w:r>
        <w:rPr>
          <w:color w:val="231F20"/>
          <w:spacing w:val="-4"/>
        </w:rPr>
        <w:t>project began during 2014. </w:t>
      </w:r>
      <w:r>
        <w:rPr>
          <w:color w:val="231F20"/>
          <w:spacing w:val="-3"/>
        </w:rPr>
        <w:t>The </w:t>
      </w:r>
      <w:r>
        <w:rPr>
          <w:color w:val="231F20"/>
          <w:spacing w:val="-4"/>
        </w:rPr>
        <w:t>Company believes that </w:t>
      </w:r>
      <w:r>
        <w:rPr>
          <w:color w:val="231F20"/>
          <w:spacing w:val="-3"/>
        </w:rPr>
        <w:t>due </w:t>
      </w:r>
      <w:r>
        <w:rPr>
          <w:color w:val="231F20"/>
        </w:rPr>
        <w:t>to </w:t>
      </w:r>
      <w:r>
        <w:rPr>
          <w:color w:val="231F20"/>
          <w:spacing w:val="-3"/>
        </w:rPr>
        <w:t>its </w:t>
      </w:r>
      <w:r>
        <w:rPr>
          <w:color w:val="231F20"/>
          <w:spacing w:val="-4"/>
        </w:rPr>
        <w:t>agreed </w:t>
      </w:r>
      <w:r>
        <w:rPr>
          <w:color w:val="231F20"/>
          <w:spacing w:val="-3"/>
        </w:rPr>
        <w:t>upon role </w:t>
      </w:r>
      <w:r>
        <w:rPr>
          <w:color w:val="231F20"/>
        </w:rPr>
        <w:t>in </w:t>
      </w:r>
      <w:r>
        <w:rPr>
          <w:color w:val="231F20"/>
          <w:spacing w:val="-4"/>
        </w:rPr>
        <w:t>overseeing </w:t>
      </w:r>
      <w:r>
        <w:rPr>
          <w:color w:val="231F20"/>
          <w:spacing w:val="-3"/>
        </w:rPr>
        <w:t>and </w:t>
      </w:r>
      <w:r>
        <w:rPr>
          <w:color w:val="231F20"/>
          <w:spacing w:val="-4"/>
        </w:rPr>
        <w:t>managing </w:t>
      </w:r>
      <w:r>
        <w:rPr>
          <w:color w:val="231F20"/>
          <w:spacing w:val="-3"/>
        </w:rPr>
        <w:t>the </w:t>
      </w:r>
      <w:r>
        <w:rPr>
          <w:color w:val="231F20"/>
          <w:spacing w:val="-4"/>
        </w:rPr>
        <w:t>project, </w:t>
      </w:r>
      <w:r>
        <w:rPr>
          <w:color w:val="231F20"/>
          <w:spacing w:val="-3"/>
        </w:rPr>
        <w:t>it is </w:t>
      </w:r>
      <w:r>
        <w:rPr>
          <w:color w:val="231F20"/>
          <w:spacing w:val="-4"/>
        </w:rPr>
        <w:t>considered </w:t>
      </w:r>
      <w:r>
        <w:rPr>
          <w:color w:val="231F20"/>
          <w:spacing w:val="-3"/>
        </w:rPr>
        <w:t>the </w:t>
      </w:r>
      <w:r>
        <w:rPr>
          <w:color w:val="231F20"/>
          <w:spacing w:val="-4"/>
        </w:rPr>
        <w:t>owner </w:t>
      </w:r>
      <w:r>
        <w:rPr>
          <w:color w:val="231F20"/>
        </w:rPr>
        <w:t>of </w:t>
      </w:r>
      <w:r>
        <w:rPr>
          <w:color w:val="231F20"/>
          <w:spacing w:val="-3"/>
        </w:rPr>
        <w:t>the </w:t>
      </w:r>
      <w:r>
        <w:rPr>
          <w:color w:val="231F20"/>
          <w:spacing w:val="-4"/>
        </w:rPr>
        <w:t>project </w:t>
      </w:r>
      <w:r>
        <w:rPr>
          <w:color w:val="231F20"/>
          <w:spacing w:val="-3"/>
        </w:rPr>
        <w:t>for </w:t>
      </w:r>
      <w:r>
        <w:rPr>
          <w:color w:val="231F20"/>
          <w:spacing w:val="-4"/>
        </w:rPr>
        <w:t>accounting purposes. </w:t>
      </w:r>
      <w:r>
        <w:rPr>
          <w:color w:val="231F20"/>
        </w:rPr>
        <w:t>As of </w:t>
      </w:r>
      <w:r>
        <w:rPr>
          <w:color w:val="231F20"/>
          <w:spacing w:val="-4"/>
        </w:rPr>
        <w:t>December </w:t>
      </w:r>
      <w:r>
        <w:rPr>
          <w:color w:val="231F20"/>
          <w:spacing w:val="-3"/>
        </w:rPr>
        <w:t>31, </w:t>
      </w:r>
      <w:r>
        <w:rPr>
          <w:color w:val="231F20"/>
          <w:spacing w:val="-4"/>
        </w:rPr>
        <w:t>2014, </w:t>
      </w:r>
      <w:r>
        <w:rPr>
          <w:color w:val="231F20"/>
          <w:spacing w:val="-3"/>
        </w:rPr>
        <w:t>the </w:t>
      </w:r>
      <w:r>
        <w:rPr>
          <w:color w:val="231F20"/>
          <w:spacing w:val="-4"/>
        </w:rPr>
        <w:t>Company had recorded construction costs related </w:t>
      </w:r>
      <w:r>
        <w:rPr>
          <w:color w:val="231F20"/>
          <w:spacing w:val="-3"/>
        </w:rPr>
        <w:t>to LAX </w:t>
      </w:r>
      <w:r>
        <w:rPr>
          <w:color w:val="231F20"/>
        </w:rPr>
        <w:t>of </w:t>
      </w:r>
      <w:r>
        <w:rPr>
          <w:color w:val="231F20"/>
          <w:spacing w:val="-3"/>
        </w:rPr>
        <w:t>$52 </w:t>
      </w:r>
      <w:r>
        <w:rPr>
          <w:color w:val="231F20"/>
          <w:spacing w:val="-4"/>
        </w:rPr>
        <w:t>million, which </w:t>
      </w:r>
      <w:r>
        <w:rPr>
          <w:color w:val="231F20"/>
          <w:spacing w:val="-3"/>
        </w:rPr>
        <w:t>are </w:t>
      </w:r>
      <w:r>
        <w:rPr>
          <w:color w:val="231F20"/>
          <w:spacing w:val="-4"/>
        </w:rPr>
        <w:t>classified </w:t>
      </w:r>
      <w:r>
        <w:rPr>
          <w:color w:val="231F20"/>
          <w:spacing w:val="-3"/>
        </w:rPr>
        <w:t>with </w:t>
      </w:r>
      <w:r>
        <w:rPr>
          <w:color w:val="231F20"/>
          <w:spacing w:val="-4"/>
        </w:rPr>
        <w:t>Assets constructed </w:t>
      </w:r>
      <w:r>
        <w:rPr>
          <w:color w:val="231F20"/>
          <w:spacing w:val="-5"/>
        </w:rPr>
        <w:t>for </w:t>
      </w:r>
      <w:r>
        <w:rPr>
          <w:color w:val="231F20"/>
          <w:spacing w:val="-4"/>
        </w:rPr>
        <w:t>others </w:t>
      </w:r>
      <w:r>
        <w:rPr>
          <w:color w:val="231F20"/>
          <w:spacing w:val="-3"/>
        </w:rPr>
        <w:t>and </w:t>
      </w:r>
      <w:r>
        <w:rPr>
          <w:color w:val="231F20"/>
        </w:rPr>
        <w:t>as </w:t>
      </w:r>
      <w:r>
        <w:rPr>
          <w:color w:val="231F20"/>
          <w:spacing w:val="-4"/>
        </w:rPr>
        <w:t>Construction obligation </w:t>
      </w:r>
      <w:r>
        <w:rPr>
          <w:color w:val="231F20"/>
          <w:spacing w:val="-3"/>
        </w:rPr>
        <w:t>in the </w:t>
      </w:r>
      <w:r>
        <w:rPr>
          <w:color w:val="231F20"/>
          <w:spacing w:val="-4"/>
        </w:rPr>
        <w:t>accompanying Consolidated Balance</w:t>
      </w:r>
      <w:r>
        <w:rPr>
          <w:color w:val="231F20"/>
          <w:spacing w:val="-22"/>
        </w:rPr>
        <w:t> </w:t>
      </w:r>
      <w:r>
        <w:rPr>
          <w:color w:val="231F20"/>
          <w:spacing w:val="-5"/>
        </w:rPr>
        <w:t>Sheet.</w:t>
      </w:r>
    </w:p>
    <w:p>
      <w:pPr>
        <w:pStyle w:val="Heading1"/>
        <w:spacing w:before="215"/>
      </w:pPr>
      <w:r>
        <w:rPr>
          <w:color w:val="231F20"/>
        </w:rPr>
        <w:t>Dallas Love Field</w:t>
      </w:r>
    </w:p>
    <w:p>
      <w:pPr>
        <w:pStyle w:val="BodyText"/>
        <w:spacing w:before="4"/>
        <w:rPr>
          <w:b/>
          <w:sz w:val="19"/>
        </w:rPr>
      </w:pPr>
    </w:p>
    <w:p>
      <w:pPr>
        <w:pStyle w:val="BodyText"/>
        <w:spacing w:line="247" w:lineRule="auto"/>
        <w:ind w:left="100" w:right="117" w:firstLine="720"/>
        <w:jc w:val="both"/>
      </w:pPr>
      <w:r>
        <w:rPr>
          <w:color w:val="231F20"/>
        </w:rPr>
        <w:t>During 2008, the City of Dallas approved the Love Field Modernization Program (“LFMP”), a project to reconstruct Dallas Love Field with modern, convenient air travel facilities. Pursuant to a Program Development Agreement with the City of Dallas and the Love Field Airport Modernization Corporation (or “LFAMC,” a Texas non-profit “local government corporation” established by the City of Dallas to act on the City of Dallas’ behalf to facilitate the development of the LFMP), the  Company</w:t>
      </w:r>
    </w:p>
    <w:p>
      <w:pPr>
        <w:spacing w:after="0" w:line="247" w:lineRule="auto"/>
        <w:jc w:val="both"/>
        <w:sectPr>
          <w:footerReference w:type="default" r:id="rId24"/>
          <w:pgSz w:w="11880" w:h="15480"/>
          <w:pgMar w:footer="1240" w:header="0" w:top="1240" w:bottom="1420" w:left="1280" w:right="1260"/>
        </w:sectPr>
      </w:pPr>
    </w:p>
    <w:p>
      <w:pPr>
        <w:pStyle w:val="BodyText"/>
        <w:spacing w:line="247" w:lineRule="auto" w:before="74"/>
        <w:ind w:left="100" w:right="117"/>
        <w:jc w:val="both"/>
      </w:pPr>
      <w:r>
        <w:rPr>
          <w:color w:val="231F20"/>
        </w:rPr>
        <w:t>is managing this project. Major construction commenced during 2010. The project consists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New ticketing and check-in areas opened during fourth quarter 2012, 12 new gates and new  concessions opened in 2013, and the remaining gates opened during October 2014. The majority of the project had been completed as of December 31, 2014.</w:t>
      </w:r>
    </w:p>
    <w:p>
      <w:pPr>
        <w:pStyle w:val="BodyText"/>
        <w:spacing w:before="9"/>
        <w:rPr>
          <w:sz w:val="20"/>
        </w:rPr>
      </w:pPr>
    </w:p>
    <w:p>
      <w:pPr>
        <w:pStyle w:val="BodyText"/>
        <w:spacing w:line="247" w:lineRule="auto"/>
        <w:ind w:left="100" w:right="117" w:firstLine="720"/>
        <w:jc w:val="both"/>
      </w:pPr>
      <w:r>
        <w:rPr>
          <w:color w:val="231F20"/>
        </w:rPr>
        <w:t>It is currently expected that the total construction costs associated with the LFMP project will be approximately $519 million. Although the City of Dallas has received commitments from various sources that are helping to fund portions of the LFMP project, including the Federal Aviation Administration (“FAA”), the Transportation Security Administration, and the City of Dallas’ Aviation Fund, the majority of the funds used are from the issuance of bonds. During fourth quarter 2010, $310 million of such bonds were issued by the LFAMC, and the Company has guaranteed principal and interest payments on the bonds. An additional tranche of such bonds totaling $146 million was issued during second quarter 2012, and the Company has guaranteed the principal and interest payments on these bonds as well. The Company currently expects that as a result of the funding commitments from the above mentioned sources and the bonds that have been issued thus far, no further bond issuances guaranteed by the Company will be required to complete the LFMP project.</w:t>
      </w:r>
    </w:p>
    <w:p>
      <w:pPr>
        <w:pStyle w:val="BodyText"/>
        <w:spacing w:before="9"/>
        <w:rPr>
          <w:sz w:val="20"/>
        </w:rPr>
      </w:pPr>
    </w:p>
    <w:p>
      <w:pPr>
        <w:pStyle w:val="BodyText"/>
        <w:spacing w:line="247" w:lineRule="auto"/>
        <w:ind w:left="100" w:right="116" w:firstLine="720"/>
        <w:jc w:val="both"/>
      </w:pPr>
      <w:r>
        <w:rPr>
          <w:color w:val="231F20"/>
        </w:rPr>
        <w:t>In </w:t>
      </w:r>
      <w:r>
        <w:rPr>
          <w:color w:val="231F20"/>
          <w:spacing w:val="-4"/>
        </w:rPr>
        <w:t>conjunction </w:t>
      </w:r>
      <w:r>
        <w:rPr>
          <w:color w:val="231F20"/>
          <w:spacing w:val="-3"/>
        </w:rPr>
        <w:t>with the </w:t>
      </w:r>
      <w:r>
        <w:rPr>
          <w:color w:val="231F20"/>
          <w:spacing w:val="-4"/>
        </w:rPr>
        <w:t>Company’s significant presence </w:t>
      </w:r>
      <w:r>
        <w:rPr>
          <w:color w:val="231F20"/>
        </w:rPr>
        <w:t>at </w:t>
      </w:r>
      <w:r>
        <w:rPr>
          <w:color w:val="231F20"/>
          <w:spacing w:val="-4"/>
        </w:rPr>
        <w:t>Dallas Love Field, </w:t>
      </w:r>
      <w:r>
        <w:rPr>
          <w:color w:val="231F20"/>
          <w:spacing w:val="-3"/>
        </w:rPr>
        <w:t>its </w:t>
      </w:r>
      <w:r>
        <w:rPr>
          <w:color w:val="231F20"/>
          <w:spacing w:val="-4"/>
        </w:rPr>
        <w:t>rights </w:t>
      </w:r>
      <w:r>
        <w:rPr>
          <w:color w:val="231F20"/>
          <w:spacing w:val="-3"/>
        </w:rPr>
        <w:t>to </w:t>
      </w:r>
      <w:r>
        <w:rPr>
          <w:color w:val="231F20"/>
          <w:spacing w:val="-4"/>
        </w:rPr>
        <w:t>occupy </w:t>
      </w:r>
      <w:r>
        <w:rPr>
          <w:color w:val="231F20"/>
        </w:rPr>
        <w:t>16 of </w:t>
      </w:r>
      <w:r>
        <w:rPr>
          <w:color w:val="231F20"/>
          <w:spacing w:val="-3"/>
        </w:rPr>
        <w:t>the </w:t>
      </w:r>
      <w:r>
        <w:rPr>
          <w:color w:val="231F20"/>
          <w:spacing w:val="-4"/>
        </w:rPr>
        <w:t>available gates </w:t>
      </w:r>
      <w:r>
        <w:rPr>
          <w:color w:val="231F20"/>
          <w:spacing w:val="-3"/>
        </w:rPr>
        <w:t>upon </w:t>
      </w:r>
      <w:r>
        <w:rPr>
          <w:color w:val="231F20"/>
          <w:spacing w:val="-4"/>
        </w:rPr>
        <w:t>completion </w:t>
      </w:r>
      <w:r>
        <w:rPr>
          <w:color w:val="231F20"/>
        </w:rPr>
        <w:t>of </w:t>
      </w:r>
      <w:r>
        <w:rPr>
          <w:color w:val="231F20"/>
          <w:spacing w:val="-3"/>
        </w:rPr>
        <w:t>the </w:t>
      </w:r>
      <w:r>
        <w:rPr>
          <w:color w:val="231F20"/>
          <w:spacing w:val="-4"/>
        </w:rPr>
        <w:t>facility, </w:t>
      </w:r>
      <w:r>
        <w:rPr>
          <w:color w:val="231F20"/>
          <w:spacing w:val="-3"/>
        </w:rPr>
        <w:t>and </w:t>
      </w:r>
      <w:r>
        <w:rPr>
          <w:color w:val="231F20"/>
          <w:spacing w:val="-4"/>
        </w:rPr>
        <w:t>other factors, </w:t>
      </w:r>
      <w:r>
        <w:rPr>
          <w:color w:val="231F20"/>
          <w:spacing w:val="-3"/>
        </w:rPr>
        <w:t>the </w:t>
      </w:r>
      <w:r>
        <w:rPr>
          <w:color w:val="231F20"/>
          <w:spacing w:val="-4"/>
        </w:rPr>
        <w:t>Company agreed </w:t>
      </w:r>
      <w:r>
        <w:rPr>
          <w:color w:val="231F20"/>
        </w:rPr>
        <w:t>to </w:t>
      </w:r>
      <w:r>
        <w:rPr>
          <w:color w:val="231F20"/>
          <w:spacing w:val="-4"/>
        </w:rPr>
        <w:t>manage </w:t>
      </w:r>
      <w:r>
        <w:rPr>
          <w:color w:val="231F20"/>
          <w:spacing w:val="-3"/>
        </w:rPr>
        <w:t>the </w:t>
      </w:r>
      <w:r>
        <w:rPr>
          <w:color w:val="231F20"/>
          <w:spacing w:val="-4"/>
        </w:rPr>
        <w:t>majority </w:t>
      </w:r>
      <w:r>
        <w:rPr>
          <w:color w:val="231F20"/>
        </w:rPr>
        <w:t>of </w:t>
      </w:r>
      <w:r>
        <w:rPr>
          <w:color w:val="231F20"/>
          <w:spacing w:val="-3"/>
        </w:rPr>
        <w:t>the </w:t>
      </w:r>
      <w:r>
        <w:rPr>
          <w:color w:val="231F20"/>
          <w:spacing w:val="-4"/>
        </w:rPr>
        <w:t>LFMP project. </w:t>
      </w:r>
      <w:r>
        <w:rPr>
          <w:color w:val="231F20"/>
          <w:spacing w:val="-3"/>
        </w:rPr>
        <w:t>In </w:t>
      </w:r>
      <w:r>
        <w:rPr>
          <w:color w:val="231F20"/>
          <w:spacing w:val="-4"/>
        </w:rPr>
        <w:t>January 2015, </w:t>
      </w:r>
      <w:r>
        <w:rPr>
          <w:color w:val="231F20"/>
          <w:spacing w:val="-3"/>
        </w:rPr>
        <w:t>the </w:t>
      </w:r>
      <w:r>
        <w:rPr>
          <w:color w:val="231F20"/>
          <w:spacing w:val="-4"/>
        </w:rPr>
        <w:t>Company announced </w:t>
      </w:r>
      <w:r>
        <w:rPr>
          <w:color w:val="231F20"/>
        </w:rPr>
        <w:t>a </w:t>
      </w:r>
      <w:r>
        <w:rPr>
          <w:color w:val="231F20"/>
          <w:spacing w:val="-4"/>
        </w:rPr>
        <w:t>long-term sublease agreement that </w:t>
      </w:r>
      <w:r>
        <w:rPr>
          <w:color w:val="231F20"/>
          <w:spacing w:val="-3"/>
        </w:rPr>
        <w:t>will </w:t>
      </w:r>
      <w:r>
        <w:rPr>
          <w:color w:val="231F20"/>
          <w:spacing w:val="-4"/>
        </w:rPr>
        <w:t>transfer usage </w:t>
      </w:r>
      <w:r>
        <w:rPr>
          <w:color w:val="231F20"/>
        </w:rPr>
        <w:t>of </w:t>
      </w:r>
      <w:r>
        <w:rPr>
          <w:color w:val="231F20"/>
          <w:spacing w:val="-3"/>
        </w:rPr>
        <w:t>two </w:t>
      </w:r>
      <w:r>
        <w:rPr>
          <w:color w:val="231F20"/>
          <w:spacing w:val="-4"/>
        </w:rPr>
        <w:t>additional gates, giving </w:t>
      </w:r>
      <w:r>
        <w:rPr>
          <w:color w:val="231F20"/>
          <w:spacing w:val="-3"/>
        </w:rPr>
        <w:t>the </w:t>
      </w:r>
      <w:r>
        <w:rPr>
          <w:color w:val="231F20"/>
          <w:spacing w:val="-4"/>
        </w:rPr>
        <w:t>Company </w:t>
      </w:r>
      <w:r>
        <w:rPr>
          <w:color w:val="231F20"/>
        </w:rPr>
        <w:t>18 </w:t>
      </w:r>
      <w:r>
        <w:rPr>
          <w:color w:val="231F20"/>
          <w:spacing w:val="-4"/>
        </w:rPr>
        <w:t>gates </w:t>
      </w:r>
      <w:r>
        <w:rPr>
          <w:color w:val="231F20"/>
        </w:rPr>
        <w:t>in </w:t>
      </w:r>
      <w:r>
        <w:rPr>
          <w:color w:val="231F20"/>
          <w:spacing w:val="-3"/>
        </w:rPr>
        <w:t>the </w:t>
      </w:r>
      <w:r>
        <w:rPr>
          <w:color w:val="231F20"/>
          <w:spacing w:val="-4"/>
        </w:rPr>
        <w:t>newly</w:t>
      </w:r>
      <w:r>
        <w:rPr>
          <w:color w:val="231F20"/>
          <w:spacing w:val="-28"/>
        </w:rPr>
        <w:t> </w:t>
      </w:r>
      <w:r>
        <w:rPr>
          <w:color w:val="231F20"/>
          <w:spacing w:val="-4"/>
        </w:rPr>
        <w:t>rebuilt 20-gate facility </w:t>
      </w:r>
      <w:r>
        <w:rPr>
          <w:color w:val="231F20"/>
        </w:rPr>
        <w:t>at </w:t>
      </w:r>
      <w:r>
        <w:rPr>
          <w:color w:val="231F20"/>
          <w:spacing w:val="-4"/>
        </w:rPr>
        <w:t>Dallas Love Field. Based </w:t>
      </w:r>
      <w:r>
        <w:rPr>
          <w:color w:val="231F20"/>
        </w:rPr>
        <w:t>on </w:t>
      </w:r>
      <w:r>
        <w:rPr>
          <w:color w:val="231F20"/>
          <w:spacing w:val="-4"/>
        </w:rPr>
        <w:t>these facts, </w:t>
      </w:r>
      <w:r>
        <w:rPr>
          <w:color w:val="231F20"/>
          <w:spacing w:val="-3"/>
        </w:rPr>
        <w:t>the </w:t>
      </w:r>
      <w:r>
        <w:rPr>
          <w:color w:val="231F20"/>
          <w:spacing w:val="-4"/>
        </w:rPr>
        <w:t>Company evaluated </w:t>
      </w:r>
      <w:r>
        <w:rPr>
          <w:color w:val="231F20"/>
          <w:spacing w:val="-3"/>
        </w:rPr>
        <w:t>its </w:t>
      </w:r>
      <w:r>
        <w:rPr>
          <w:color w:val="231F20"/>
          <w:spacing w:val="-4"/>
        </w:rPr>
        <w:t>ongoing accounting requirements </w:t>
      </w:r>
      <w:r>
        <w:rPr>
          <w:color w:val="231F20"/>
          <w:spacing w:val="-3"/>
        </w:rPr>
        <w:t>in </w:t>
      </w:r>
      <w:r>
        <w:rPr>
          <w:color w:val="231F20"/>
          <w:spacing w:val="-4"/>
        </w:rPr>
        <w:t>consideration </w:t>
      </w:r>
      <w:r>
        <w:rPr>
          <w:color w:val="231F20"/>
        </w:rPr>
        <w:t>of </w:t>
      </w:r>
      <w:r>
        <w:rPr>
          <w:color w:val="231F20"/>
          <w:spacing w:val="-4"/>
        </w:rPr>
        <w:t>accounting guidance provided </w:t>
      </w:r>
      <w:r>
        <w:rPr>
          <w:color w:val="231F20"/>
          <w:spacing w:val="-3"/>
        </w:rPr>
        <w:t>for </w:t>
      </w:r>
      <w:r>
        <w:rPr>
          <w:color w:val="231F20"/>
          <w:spacing w:val="-4"/>
        </w:rPr>
        <w:t>lessees involved </w:t>
      </w:r>
      <w:r>
        <w:rPr>
          <w:color w:val="231F20"/>
          <w:spacing w:val="-3"/>
        </w:rPr>
        <w:t>in </w:t>
      </w:r>
      <w:r>
        <w:rPr>
          <w:color w:val="231F20"/>
          <w:spacing w:val="-4"/>
        </w:rPr>
        <w:t>asset construction. </w:t>
      </w:r>
      <w:r>
        <w:rPr>
          <w:color w:val="231F20"/>
          <w:spacing w:val="-3"/>
        </w:rPr>
        <w:t>The</w:t>
      </w:r>
      <w:r>
        <w:rPr>
          <w:color w:val="231F20"/>
          <w:spacing w:val="-5"/>
        </w:rPr>
        <w:t> </w:t>
      </w:r>
      <w:r>
        <w:rPr>
          <w:color w:val="231F20"/>
          <w:spacing w:val="-4"/>
        </w:rPr>
        <w:t>Company</w:t>
      </w:r>
      <w:r>
        <w:rPr>
          <w:color w:val="231F20"/>
          <w:spacing w:val="-5"/>
        </w:rPr>
        <w:t> </w:t>
      </w:r>
      <w:r>
        <w:rPr>
          <w:color w:val="231F20"/>
          <w:spacing w:val="-3"/>
        </w:rPr>
        <w:t>has</w:t>
      </w:r>
      <w:r>
        <w:rPr>
          <w:color w:val="231F20"/>
          <w:spacing w:val="-5"/>
        </w:rPr>
        <w:t> </w:t>
      </w:r>
      <w:r>
        <w:rPr>
          <w:color w:val="231F20"/>
          <w:spacing w:val="-4"/>
        </w:rPr>
        <w:t>recorded</w:t>
      </w:r>
      <w:r>
        <w:rPr>
          <w:color w:val="231F20"/>
          <w:spacing w:val="-5"/>
        </w:rPr>
        <w:t> </w:t>
      </w:r>
      <w:r>
        <w:rPr>
          <w:color w:val="231F20"/>
          <w:spacing w:val="-3"/>
        </w:rPr>
        <w:t>and</w:t>
      </w:r>
      <w:r>
        <w:rPr>
          <w:color w:val="231F20"/>
          <w:spacing w:val="-5"/>
        </w:rPr>
        <w:t> </w:t>
      </w:r>
      <w:r>
        <w:rPr>
          <w:color w:val="231F20"/>
          <w:spacing w:val="-3"/>
        </w:rPr>
        <w:t>will</w:t>
      </w:r>
      <w:r>
        <w:rPr>
          <w:color w:val="231F20"/>
          <w:spacing w:val="-6"/>
        </w:rPr>
        <w:t> </w:t>
      </w:r>
      <w:r>
        <w:rPr>
          <w:color w:val="231F20"/>
          <w:spacing w:val="-4"/>
        </w:rPr>
        <w:t>continue</w:t>
      </w:r>
      <w:r>
        <w:rPr>
          <w:color w:val="231F20"/>
          <w:spacing w:val="-6"/>
        </w:rPr>
        <w:t> </w:t>
      </w:r>
      <w:r>
        <w:rPr>
          <w:color w:val="231F20"/>
        </w:rPr>
        <w:t>to</w:t>
      </w:r>
      <w:r>
        <w:rPr>
          <w:color w:val="231F20"/>
          <w:spacing w:val="-6"/>
        </w:rPr>
        <w:t> </w:t>
      </w:r>
      <w:r>
        <w:rPr>
          <w:color w:val="231F20"/>
          <w:spacing w:val="-4"/>
        </w:rPr>
        <w:t>record</w:t>
      </w:r>
      <w:r>
        <w:rPr>
          <w:color w:val="231F20"/>
          <w:spacing w:val="-6"/>
        </w:rPr>
        <w:t> </w:t>
      </w:r>
      <w:r>
        <w:rPr>
          <w:color w:val="231F20"/>
        </w:rPr>
        <w:t>an</w:t>
      </w:r>
      <w:r>
        <w:rPr>
          <w:color w:val="231F20"/>
          <w:spacing w:val="-6"/>
        </w:rPr>
        <w:t> </w:t>
      </w:r>
      <w:r>
        <w:rPr>
          <w:color w:val="231F20"/>
          <w:spacing w:val="-4"/>
        </w:rPr>
        <w:t>asset</w:t>
      </w:r>
      <w:r>
        <w:rPr>
          <w:color w:val="231F20"/>
          <w:spacing w:val="-7"/>
        </w:rPr>
        <w:t> </w:t>
      </w:r>
      <w:r>
        <w:rPr>
          <w:color w:val="231F20"/>
          <w:spacing w:val="-3"/>
        </w:rPr>
        <w:t>and</w:t>
      </w:r>
      <w:r>
        <w:rPr>
          <w:color w:val="231F20"/>
          <w:spacing w:val="-6"/>
        </w:rPr>
        <w:t> </w:t>
      </w:r>
      <w:r>
        <w:rPr>
          <w:color w:val="231F20"/>
          <w:spacing w:val="-4"/>
        </w:rPr>
        <w:t>corresponding</w:t>
      </w:r>
      <w:r>
        <w:rPr>
          <w:color w:val="231F20"/>
          <w:spacing w:val="-6"/>
        </w:rPr>
        <w:t> </w:t>
      </w:r>
      <w:r>
        <w:rPr>
          <w:color w:val="231F20"/>
          <w:spacing w:val="-4"/>
        </w:rPr>
        <w:t>obligation</w:t>
      </w:r>
      <w:r>
        <w:rPr>
          <w:color w:val="231F20"/>
          <w:spacing w:val="-6"/>
        </w:rPr>
        <w:t> </w:t>
      </w:r>
      <w:r>
        <w:rPr>
          <w:color w:val="231F20"/>
          <w:spacing w:val="-3"/>
        </w:rPr>
        <w:t>for</w:t>
      </w:r>
      <w:r>
        <w:rPr>
          <w:color w:val="231F20"/>
          <w:spacing w:val="-7"/>
        </w:rPr>
        <w:t> </w:t>
      </w:r>
      <w:r>
        <w:rPr>
          <w:color w:val="231F20"/>
          <w:spacing w:val="-3"/>
        </w:rPr>
        <w:t>the</w:t>
      </w:r>
      <w:r>
        <w:rPr>
          <w:color w:val="231F20"/>
          <w:spacing w:val="-6"/>
        </w:rPr>
        <w:t> </w:t>
      </w:r>
      <w:r>
        <w:rPr>
          <w:color w:val="231F20"/>
          <w:spacing w:val="-3"/>
        </w:rPr>
        <w:t>cost</w:t>
      </w:r>
      <w:r>
        <w:rPr>
          <w:color w:val="231F20"/>
          <w:spacing w:val="-7"/>
        </w:rPr>
        <w:t> </w:t>
      </w:r>
      <w:r>
        <w:rPr>
          <w:color w:val="231F20"/>
        </w:rPr>
        <w:t>of </w:t>
      </w:r>
      <w:r>
        <w:rPr>
          <w:color w:val="231F20"/>
          <w:spacing w:val="-3"/>
        </w:rPr>
        <w:t>the </w:t>
      </w:r>
      <w:r>
        <w:rPr>
          <w:color w:val="231F20"/>
          <w:spacing w:val="-4"/>
        </w:rPr>
        <w:t>LFMP project until final completion </w:t>
      </w:r>
      <w:r>
        <w:rPr>
          <w:color w:val="231F20"/>
        </w:rPr>
        <w:t>of </w:t>
      </w:r>
      <w:r>
        <w:rPr>
          <w:color w:val="231F20"/>
          <w:spacing w:val="-3"/>
        </w:rPr>
        <w:t>the </w:t>
      </w:r>
      <w:r>
        <w:rPr>
          <w:color w:val="231F20"/>
          <w:spacing w:val="-4"/>
        </w:rPr>
        <w:t>project. </w:t>
      </w:r>
      <w:r>
        <w:rPr>
          <w:color w:val="231F20"/>
        </w:rPr>
        <w:t>As of </w:t>
      </w:r>
      <w:r>
        <w:rPr>
          <w:color w:val="231F20"/>
          <w:spacing w:val="-4"/>
        </w:rPr>
        <w:t>December </w:t>
      </w:r>
      <w:r>
        <w:rPr>
          <w:color w:val="231F20"/>
          <w:spacing w:val="-3"/>
        </w:rPr>
        <w:t>31, </w:t>
      </w:r>
      <w:r>
        <w:rPr>
          <w:color w:val="231F20"/>
          <w:spacing w:val="-4"/>
        </w:rPr>
        <w:t>2014, </w:t>
      </w:r>
      <w:r>
        <w:rPr>
          <w:color w:val="231F20"/>
          <w:spacing w:val="-3"/>
        </w:rPr>
        <w:t>the </w:t>
      </w:r>
      <w:r>
        <w:rPr>
          <w:color w:val="231F20"/>
          <w:spacing w:val="-4"/>
        </w:rPr>
        <w:t>Company had recorded </w:t>
      </w:r>
      <w:r>
        <w:rPr>
          <w:color w:val="231F20"/>
          <w:spacing w:val="-3"/>
        </w:rPr>
        <w:t>LFMP </w:t>
      </w:r>
      <w:r>
        <w:rPr>
          <w:color w:val="231F20"/>
          <w:spacing w:val="-4"/>
        </w:rPr>
        <w:t>construction costs </w:t>
      </w:r>
      <w:r>
        <w:rPr>
          <w:color w:val="231F20"/>
        </w:rPr>
        <w:t>of </w:t>
      </w:r>
      <w:r>
        <w:rPr>
          <w:color w:val="231F20"/>
          <w:spacing w:val="-3"/>
        </w:rPr>
        <w:t>$504 </w:t>
      </w:r>
      <w:r>
        <w:rPr>
          <w:color w:val="231F20"/>
          <w:spacing w:val="-4"/>
        </w:rPr>
        <w:t>million within Assets constructed </w:t>
      </w:r>
      <w:r>
        <w:rPr>
          <w:color w:val="231F20"/>
          <w:spacing w:val="-3"/>
        </w:rPr>
        <w:t>for </w:t>
      </w:r>
      <w:r>
        <w:rPr>
          <w:color w:val="231F20"/>
          <w:spacing w:val="-4"/>
        </w:rPr>
        <w:t>others </w:t>
      </w:r>
      <w:r>
        <w:rPr>
          <w:color w:val="231F20"/>
          <w:spacing w:val="-3"/>
        </w:rPr>
        <w:t>and had </w:t>
      </w:r>
      <w:r>
        <w:rPr>
          <w:color w:val="231F20"/>
          <w:spacing w:val="-4"/>
        </w:rPr>
        <w:t>recorded </w:t>
      </w:r>
      <w:r>
        <w:rPr>
          <w:color w:val="231F20"/>
        </w:rPr>
        <w:t>a </w:t>
      </w:r>
      <w:r>
        <w:rPr>
          <w:color w:val="231F20"/>
          <w:spacing w:val="-4"/>
        </w:rPr>
        <w:t>liability </w:t>
      </w:r>
      <w:r>
        <w:rPr>
          <w:color w:val="231F20"/>
        </w:rPr>
        <w:t>of </w:t>
      </w:r>
      <w:r>
        <w:rPr>
          <w:color w:val="231F20"/>
          <w:spacing w:val="-3"/>
        </w:rPr>
        <w:t>$501 </w:t>
      </w:r>
      <w:r>
        <w:rPr>
          <w:color w:val="231F20"/>
          <w:spacing w:val="-4"/>
        </w:rPr>
        <w:t>million within Construction obligation </w:t>
      </w:r>
      <w:r>
        <w:rPr>
          <w:color w:val="231F20"/>
          <w:spacing w:val="-3"/>
        </w:rPr>
        <w:t>in its </w:t>
      </w:r>
      <w:r>
        <w:rPr>
          <w:color w:val="231F20"/>
          <w:spacing w:val="-4"/>
        </w:rPr>
        <w:t>Consolidated Balance Sheet. </w:t>
      </w:r>
      <w:r>
        <w:rPr>
          <w:color w:val="231F20"/>
          <w:spacing w:val="-3"/>
        </w:rPr>
        <w:t>Upon </w:t>
      </w:r>
      <w:r>
        <w:rPr>
          <w:color w:val="231F20"/>
          <w:spacing w:val="-4"/>
        </w:rPr>
        <w:t>completion </w:t>
      </w:r>
      <w:r>
        <w:rPr>
          <w:color w:val="231F20"/>
        </w:rPr>
        <w:t>of </w:t>
      </w:r>
      <w:r>
        <w:rPr>
          <w:color w:val="231F20"/>
          <w:spacing w:val="-4"/>
        </w:rPr>
        <w:t>different phases </w:t>
      </w:r>
      <w:r>
        <w:rPr>
          <w:color w:val="231F20"/>
        </w:rPr>
        <w:t>of </w:t>
      </w:r>
      <w:r>
        <w:rPr>
          <w:color w:val="231F20"/>
          <w:spacing w:val="-3"/>
        </w:rPr>
        <w:t>the LFMP </w:t>
      </w:r>
      <w:r>
        <w:rPr>
          <w:color w:val="231F20"/>
          <w:spacing w:val="-4"/>
        </w:rPr>
        <w:t>project, </w:t>
      </w:r>
      <w:r>
        <w:rPr>
          <w:color w:val="231F20"/>
          <w:spacing w:val="-3"/>
        </w:rPr>
        <w:t>the </w:t>
      </w:r>
      <w:r>
        <w:rPr>
          <w:color w:val="231F20"/>
          <w:spacing w:val="-4"/>
        </w:rPr>
        <w:t>Company </w:t>
      </w:r>
      <w:r>
        <w:rPr>
          <w:color w:val="231F20"/>
          <w:spacing w:val="-3"/>
        </w:rPr>
        <w:t>has </w:t>
      </w:r>
      <w:r>
        <w:rPr>
          <w:color w:val="231F20"/>
          <w:spacing w:val="-4"/>
        </w:rPr>
        <w:t>placed </w:t>
      </w:r>
      <w:r>
        <w:rPr>
          <w:color w:val="231F20"/>
          <w:spacing w:val="-3"/>
        </w:rPr>
        <w:t>the </w:t>
      </w:r>
      <w:r>
        <w:rPr>
          <w:color w:val="231F20"/>
          <w:spacing w:val="-4"/>
        </w:rPr>
        <w:t>associated assets </w:t>
      </w:r>
      <w:r>
        <w:rPr>
          <w:color w:val="231F20"/>
        </w:rPr>
        <w:t>in </w:t>
      </w:r>
      <w:r>
        <w:rPr>
          <w:color w:val="231F20"/>
          <w:spacing w:val="-4"/>
        </w:rPr>
        <w:t>service </w:t>
      </w:r>
      <w:r>
        <w:rPr>
          <w:color w:val="231F20"/>
          <w:spacing w:val="-3"/>
        </w:rPr>
        <w:t>and </w:t>
      </w:r>
      <w:r>
        <w:rPr>
          <w:color w:val="231F20"/>
          <w:spacing w:val="-4"/>
        </w:rPr>
        <w:t>has begun depreciating </w:t>
      </w:r>
      <w:r>
        <w:rPr>
          <w:color w:val="231F20"/>
          <w:spacing w:val="-3"/>
        </w:rPr>
        <w:t>the </w:t>
      </w:r>
      <w:r>
        <w:rPr>
          <w:color w:val="231F20"/>
          <w:spacing w:val="-4"/>
        </w:rPr>
        <w:t>assets </w:t>
      </w:r>
      <w:r>
        <w:rPr>
          <w:color w:val="231F20"/>
          <w:spacing w:val="-3"/>
        </w:rPr>
        <w:t>over </w:t>
      </w:r>
      <w:r>
        <w:rPr>
          <w:color w:val="231F20"/>
          <w:spacing w:val="-4"/>
        </w:rPr>
        <w:t>their estimated useful lives. </w:t>
      </w:r>
      <w:r>
        <w:rPr>
          <w:color w:val="231F20"/>
          <w:spacing w:val="-3"/>
        </w:rPr>
        <w:t>The </w:t>
      </w:r>
      <w:r>
        <w:rPr>
          <w:color w:val="231F20"/>
          <w:spacing w:val="-4"/>
        </w:rPr>
        <w:t>amount </w:t>
      </w:r>
      <w:r>
        <w:rPr>
          <w:color w:val="231F20"/>
        </w:rPr>
        <w:t>of </w:t>
      </w:r>
      <w:r>
        <w:rPr>
          <w:color w:val="231F20"/>
          <w:spacing w:val="-4"/>
        </w:rPr>
        <w:t>depreciation recorded </w:t>
      </w:r>
      <w:r>
        <w:rPr>
          <w:color w:val="231F20"/>
          <w:spacing w:val="-3"/>
        </w:rPr>
        <w:t>for </w:t>
      </w:r>
      <w:r>
        <w:rPr>
          <w:color w:val="231F20"/>
          <w:spacing w:val="-5"/>
        </w:rPr>
        <w:t>the </w:t>
      </w:r>
      <w:r>
        <w:rPr>
          <w:color w:val="231F20"/>
          <w:spacing w:val="-3"/>
        </w:rPr>
        <w:t>year </w:t>
      </w:r>
      <w:r>
        <w:rPr>
          <w:color w:val="231F20"/>
          <w:spacing w:val="-4"/>
        </w:rPr>
        <w:t>ended December </w:t>
      </w:r>
      <w:r>
        <w:rPr>
          <w:color w:val="231F20"/>
          <w:spacing w:val="-3"/>
        </w:rPr>
        <w:t>31, </w:t>
      </w:r>
      <w:r>
        <w:rPr>
          <w:color w:val="231F20"/>
          <w:spacing w:val="-4"/>
        </w:rPr>
        <w:t>2014, associated </w:t>
      </w:r>
      <w:r>
        <w:rPr>
          <w:color w:val="231F20"/>
          <w:spacing w:val="-3"/>
        </w:rPr>
        <w:t>with the </w:t>
      </w:r>
      <w:r>
        <w:rPr>
          <w:color w:val="231F20"/>
          <w:spacing w:val="-4"/>
        </w:rPr>
        <w:t>LFMP assets </w:t>
      </w:r>
      <w:r>
        <w:rPr>
          <w:color w:val="231F20"/>
        </w:rPr>
        <w:t>in </w:t>
      </w:r>
      <w:r>
        <w:rPr>
          <w:color w:val="231F20"/>
          <w:spacing w:val="-4"/>
        </w:rPr>
        <w:t>service </w:t>
      </w:r>
      <w:r>
        <w:rPr>
          <w:color w:val="231F20"/>
          <w:spacing w:val="-3"/>
        </w:rPr>
        <w:t>was $20 </w:t>
      </w:r>
      <w:r>
        <w:rPr>
          <w:color w:val="231F20"/>
          <w:spacing w:val="-4"/>
        </w:rPr>
        <w:t>million. The corresponding </w:t>
      </w:r>
      <w:r>
        <w:rPr>
          <w:color w:val="231F20"/>
          <w:spacing w:val="-3"/>
        </w:rPr>
        <w:t>LFMP </w:t>
      </w:r>
      <w:r>
        <w:rPr>
          <w:color w:val="231F20"/>
          <w:spacing w:val="-4"/>
        </w:rPr>
        <w:t>liabilities </w:t>
      </w:r>
      <w:r>
        <w:rPr>
          <w:color w:val="231F20"/>
          <w:spacing w:val="-3"/>
        </w:rPr>
        <w:t>will </w:t>
      </w:r>
      <w:r>
        <w:rPr>
          <w:color w:val="231F20"/>
        </w:rPr>
        <w:t>be </w:t>
      </w:r>
      <w:r>
        <w:rPr>
          <w:color w:val="231F20"/>
          <w:spacing w:val="-4"/>
        </w:rPr>
        <w:t>reduced primarily through </w:t>
      </w:r>
      <w:r>
        <w:rPr>
          <w:color w:val="231F20"/>
          <w:spacing w:val="-3"/>
        </w:rPr>
        <w:t>the </w:t>
      </w:r>
      <w:r>
        <w:rPr>
          <w:color w:val="231F20"/>
          <w:spacing w:val="-4"/>
        </w:rPr>
        <w:t>Company’s airport rental payments </w:t>
      </w:r>
      <w:r>
        <w:rPr>
          <w:color w:val="231F20"/>
          <w:spacing w:val="-3"/>
        </w:rPr>
        <w:t>to the City </w:t>
      </w:r>
      <w:r>
        <w:rPr>
          <w:color w:val="231F20"/>
        </w:rPr>
        <w:t>of </w:t>
      </w:r>
      <w:r>
        <w:rPr>
          <w:color w:val="231F20"/>
          <w:spacing w:val="-4"/>
        </w:rPr>
        <w:t>Dallas </w:t>
      </w:r>
      <w:r>
        <w:rPr>
          <w:color w:val="231F20"/>
        </w:rPr>
        <w:t>as </w:t>
      </w:r>
      <w:r>
        <w:rPr>
          <w:color w:val="231F20"/>
          <w:spacing w:val="-3"/>
        </w:rPr>
        <w:t>the </w:t>
      </w:r>
      <w:r>
        <w:rPr>
          <w:color w:val="231F20"/>
          <w:spacing w:val="-4"/>
        </w:rPr>
        <w:t>construction costs </w:t>
      </w:r>
      <w:r>
        <w:rPr>
          <w:color w:val="231F20"/>
        </w:rPr>
        <w:t>of </w:t>
      </w:r>
      <w:r>
        <w:rPr>
          <w:color w:val="231F20"/>
          <w:spacing w:val="-3"/>
        </w:rPr>
        <w:t>the </w:t>
      </w:r>
      <w:r>
        <w:rPr>
          <w:color w:val="231F20"/>
          <w:spacing w:val="-4"/>
        </w:rPr>
        <w:t>project </w:t>
      </w:r>
      <w:r>
        <w:rPr>
          <w:color w:val="231F20"/>
          <w:spacing w:val="-3"/>
        </w:rPr>
        <w:t>are </w:t>
      </w:r>
      <w:r>
        <w:rPr>
          <w:color w:val="231F20"/>
          <w:spacing w:val="-4"/>
        </w:rPr>
        <w:t>passed through </w:t>
      </w:r>
      <w:r>
        <w:rPr>
          <w:color w:val="231F20"/>
        </w:rPr>
        <w:t>to </w:t>
      </w:r>
      <w:r>
        <w:rPr>
          <w:color w:val="231F20"/>
          <w:spacing w:val="-3"/>
        </w:rPr>
        <w:t>the </w:t>
      </w:r>
      <w:r>
        <w:rPr>
          <w:color w:val="231F20"/>
          <w:spacing w:val="-4"/>
        </w:rPr>
        <w:t>Company </w:t>
      </w:r>
      <w:r>
        <w:rPr>
          <w:color w:val="231F20"/>
          <w:spacing w:val="-3"/>
        </w:rPr>
        <w:t>via </w:t>
      </w:r>
      <w:r>
        <w:rPr>
          <w:color w:val="231F20"/>
          <w:spacing w:val="-5"/>
        </w:rPr>
        <w:t>recurring </w:t>
      </w:r>
      <w:r>
        <w:rPr>
          <w:color w:val="231F20"/>
          <w:spacing w:val="-4"/>
        </w:rPr>
        <w:t>airport</w:t>
      </w:r>
      <w:r>
        <w:rPr>
          <w:color w:val="231F20"/>
          <w:spacing w:val="-7"/>
        </w:rPr>
        <w:t> </w:t>
      </w:r>
      <w:r>
        <w:rPr>
          <w:color w:val="231F20"/>
          <w:spacing w:val="-4"/>
        </w:rPr>
        <w:t>rates</w:t>
      </w:r>
      <w:r>
        <w:rPr>
          <w:color w:val="231F20"/>
          <w:spacing w:val="-6"/>
        </w:rPr>
        <w:t> </w:t>
      </w:r>
      <w:r>
        <w:rPr>
          <w:color w:val="231F20"/>
          <w:spacing w:val="-3"/>
        </w:rPr>
        <w:t>and</w:t>
      </w:r>
      <w:r>
        <w:rPr>
          <w:color w:val="231F20"/>
          <w:spacing w:val="-6"/>
        </w:rPr>
        <w:t> </w:t>
      </w:r>
      <w:r>
        <w:rPr>
          <w:color w:val="231F20"/>
          <w:spacing w:val="-4"/>
        </w:rPr>
        <w:t>charges.</w:t>
      </w:r>
      <w:r>
        <w:rPr>
          <w:color w:val="231F20"/>
          <w:spacing w:val="-6"/>
        </w:rPr>
        <w:t> </w:t>
      </w:r>
      <w:r>
        <w:rPr>
          <w:color w:val="231F20"/>
        </w:rPr>
        <w:t>A</w:t>
      </w:r>
      <w:r>
        <w:rPr>
          <w:color w:val="231F20"/>
          <w:spacing w:val="-6"/>
        </w:rPr>
        <w:t> </w:t>
      </w:r>
      <w:r>
        <w:rPr>
          <w:color w:val="231F20"/>
          <w:spacing w:val="-4"/>
        </w:rPr>
        <w:t>portion</w:t>
      </w:r>
      <w:r>
        <w:rPr>
          <w:color w:val="231F20"/>
          <w:spacing w:val="-6"/>
        </w:rPr>
        <w:t> </w:t>
      </w:r>
      <w:r>
        <w:rPr>
          <w:color w:val="231F20"/>
        </w:rPr>
        <w:t>of</w:t>
      </w:r>
      <w:r>
        <w:rPr>
          <w:color w:val="231F20"/>
          <w:spacing w:val="-7"/>
        </w:rPr>
        <w:t> </w:t>
      </w:r>
      <w:r>
        <w:rPr>
          <w:color w:val="231F20"/>
          <w:spacing w:val="-4"/>
        </w:rPr>
        <w:t>these</w:t>
      </w:r>
      <w:r>
        <w:rPr>
          <w:color w:val="231F20"/>
          <w:spacing w:val="-6"/>
        </w:rPr>
        <w:t> </w:t>
      </w:r>
      <w:r>
        <w:rPr>
          <w:color w:val="231F20"/>
          <w:spacing w:val="-4"/>
        </w:rPr>
        <w:t>payments</w:t>
      </w:r>
      <w:r>
        <w:rPr>
          <w:color w:val="231F20"/>
          <w:spacing w:val="-6"/>
        </w:rPr>
        <w:t> </w:t>
      </w:r>
      <w:r>
        <w:rPr>
          <w:color w:val="231F20"/>
          <w:spacing w:val="-3"/>
        </w:rPr>
        <w:t>are</w:t>
      </w:r>
      <w:r>
        <w:rPr>
          <w:color w:val="231F20"/>
          <w:spacing w:val="-6"/>
        </w:rPr>
        <w:t> </w:t>
      </w:r>
      <w:r>
        <w:rPr>
          <w:color w:val="231F20"/>
          <w:spacing w:val="-4"/>
        </w:rPr>
        <w:t>reflected</w:t>
      </w:r>
      <w:r>
        <w:rPr>
          <w:color w:val="231F20"/>
          <w:spacing w:val="-6"/>
        </w:rPr>
        <w:t> </w:t>
      </w:r>
      <w:r>
        <w:rPr>
          <w:color w:val="231F20"/>
        </w:rPr>
        <w:t>as</w:t>
      </w:r>
      <w:r>
        <w:rPr>
          <w:color w:val="231F20"/>
          <w:spacing w:val="-6"/>
        </w:rPr>
        <w:t> </w:t>
      </w:r>
      <w:r>
        <w:rPr>
          <w:color w:val="231F20"/>
          <w:spacing w:val="-4"/>
        </w:rPr>
        <w:t>Repayment</w:t>
      </w:r>
      <w:r>
        <w:rPr>
          <w:color w:val="231F20"/>
          <w:spacing w:val="-8"/>
        </w:rPr>
        <w:t> </w:t>
      </w:r>
      <w:r>
        <w:rPr>
          <w:color w:val="231F20"/>
        </w:rPr>
        <w:t>of</w:t>
      </w:r>
      <w:r>
        <w:rPr>
          <w:color w:val="231F20"/>
          <w:spacing w:val="-8"/>
        </w:rPr>
        <w:t> </w:t>
      </w:r>
      <w:r>
        <w:rPr>
          <w:color w:val="231F20"/>
          <w:spacing w:val="-4"/>
        </w:rPr>
        <w:t>construction</w:t>
      </w:r>
      <w:r>
        <w:rPr>
          <w:color w:val="231F20"/>
          <w:spacing w:val="-7"/>
        </w:rPr>
        <w:t> </w:t>
      </w:r>
      <w:r>
        <w:rPr>
          <w:color w:val="231F20"/>
          <w:spacing w:val="-4"/>
        </w:rPr>
        <w:t>obligation </w:t>
      </w:r>
      <w:r>
        <w:rPr>
          <w:color w:val="231F20"/>
        </w:rPr>
        <w:t>in </w:t>
      </w:r>
      <w:r>
        <w:rPr>
          <w:color w:val="231F20"/>
          <w:spacing w:val="-3"/>
        </w:rPr>
        <w:t>the </w:t>
      </w:r>
      <w:r>
        <w:rPr>
          <w:color w:val="231F20"/>
          <w:spacing w:val="-4"/>
        </w:rPr>
        <w:t>Consolidated Statement </w:t>
      </w:r>
      <w:r>
        <w:rPr>
          <w:color w:val="231F20"/>
        </w:rPr>
        <w:t>of </w:t>
      </w:r>
      <w:r>
        <w:rPr>
          <w:color w:val="231F20"/>
          <w:spacing w:val="-3"/>
        </w:rPr>
        <w:t>Cash </w:t>
      </w:r>
      <w:r>
        <w:rPr>
          <w:color w:val="231F20"/>
          <w:spacing w:val="-4"/>
        </w:rPr>
        <w:t>Flows. Further, future contractual airport rental payments </w:t>
      </w:r>
      <w:r>
        <w:rPr>
          <w:color w:val="231F20"/>
          <w:spacing w:val="-3"/>
        </w:rPr>
        <w:t>to the </w:t>
      </w:r>
      <w:r>
        <w:rPr>
          <w:color w:val="231F20"/>
          <w:spacing w:val="-4"/>
        </w:rPr>
        <w:t>City </w:t>
      </w:r>
      <w:r>
        <w:rPr>
          <w:color w:val="231F20"/>
        </w:rPr>
        <w:t>of </w:t>
      </w:r>
      <w:r>
        <w:rPr>
          <w:color w:val="231F20"/>
          <w:spacing w:val="-4"/>
        </w:rPr>
        <w:t>Dallas </w:t>
      </w:r>
      <w:r>
        <w:rPr>
          <w:color w:val="231F20"/>
          <w:spacing w:val="-3"/>
        </w:rPr>
        <w:t>are </w:t>
      </w:r>
      <w:r>
        <w:rPr>
          <w:color w:val="231F20"/>
          <w:spacing w:val="-4"/>
        </w:rPr>
        <w:t>included </w:t>
      </w:r>
      <w:r>
        <w:rPr>
          <w:color w:val="231F20"/>
          <w:spacing w:val="-3"/>
        </w:rPr>
        <w:t>in the </w:t>
      </w:r>
      <w:r>
        <w:rPr>
          <w:color w:val="231F20"/>
          <w:spacing w:val="-4"/>
        </w:rPr>
        <w:t>schedule </w:t>
      </w:r>
      <w:r>
        <w:rPr>
          <w:color w:val="231F20"/>
        </w:rPr>
        <w:t>of </w:t>
      </w:r>
      <w:r>
        <w:rPr>
          <w:color w:val="231F20"/>
          <w:spacing w:val="-4"/>
        </w:rPr>
        <w:t>future minimum lease payments </w:t>
      </w:r>
      <w:r>
        <w:rPr>
          <w:color w:val="231F20"/>
          <w:spacing w:val="-3"/>
        </w:rPr>
        <w:t>in Note </w:t>
      </w:r>
      <w:r>
        <w:rPr>
          <w:color w:val="231F20"/>
        </w:rPr>
        <w:t>7. </w:t>
      </w:r>
      <w:r>
        <w:rPr>
          <w:color w:val="231F20"/>
          <w:spacing w:val="-3"/>
        </w:rPr>
        <w:t>The </w:t>
      </w:r>
      <w:r>
        <w:rPr>
          <w:color w:val="231F20"/>
          <w:spacing w:val="-4"/>
        </w:rPr>
        <w:t>Company </w:t>
      </w:r>
      <w:r>
        <w:rPr>
          <w:color w:val="231F20"/>
          <w:spacing w:val="-5"/>
        </w:rPr>
        <w:t>records </w:t>
      </w:r>
      <w:r>
        <w:rPr>
          <w:color w:val="231F20"/>
          <w:spacing w:val="-4"/>
        </w:rPr>
        <w:t>interest</w:t>
      </w:r>
      <w:r>
        <w:rPr>
          <w:color w:val="231F20"/>
          <w:spacing w:val="-8"/>
        </w:rPr>
        <w:t> </w:t>
      </w:r>
      <w:r>
        <w:rPr>
          <w:color w:val="231F20"/>
          <w:spacing w:val="-4"/>
        </w:rPr>
        <w:t>expense</w:t>
      </w:r>
      <w:r>
        <w:rPr>
          <w:color w:val="231F20"/>
          <w:spacing w:val="-7"/>
        </w:rPr>
        <w:t> </w:t>
      </w:r>
      <w:r>
        <w:rPr>
          <w:color w:val="231F20"/>
        </w:rPr>
        <w:t>on</w:t>
      </w:r>
      <w:r>
        <w:rPr>
          <w:color w:val="231F20"/>
          <w:spacing w:val="-7"/>
        </w:rPr>
        <w:t> </w:t>
      </w:r>
      <w:r>
        <w:rPr>
          <w:color w:val="231F20"/>
          <w:spacing w:val="-3"/>
        </w:rPr>
        <w:t>the</w:t>
      </w:r>
      <w:r>
        <w:rPr>
          <w:color w:val="231F20"/>
          <w:spacing w:val="-7"/>
        </w:rPr>
        <w:t> </w:t>
      </w:r>
      <w:r>
        <w:rPr>
          <w:color w:val="231F20"/>
          <w:spacing w:val="-4"/>
        </w:rPr>
        <w:t>Construction</w:t>
      </w:r>
      <w:r>
        <w:rPr>
          <w:color w:val="231F20"/>
          <w:spacing w:val="-7"/>
        </w:rPr>
        <w:t> </w:t>
      </w:r>
      <w:r>
        <w:rPr>
          <w:color w:val="231F20"/>
          <w:spacing w:val="-4"/>
        </w:rPr>
        <w:t>obligation</w:t>
      </w:r>
      <w:r>
        <w:rPr>
          <w:color w:val="231F20"/>
          <w:spacing w:val="-7"/>
        </w:rPr>
        <w:t> </w:t>
      </w:r>
      <w:r>
        <w:rPr>
          <w:color w:val="231F20"/>
        </w:rPr>
        <w:t>at</w:t>
      </w:r>
      <w:r>
        <w:rPr>
          <w:color w:val="231F20"/>
          <w:spacing w:val="-8"/>
        </w:rPr>
        <w:t> </w:t>
      </w:r>
      <w:r>
        <w:rPr>
          <w:color w:val="231F20"/>
        </w:rPr>
        <w:t>an</w:t>
      </w:r>
      <w:r>
        <w:rPr>
          <w:color w:val="231F20"/>
          <w:spacing w:val="-7"/>
        </w:rPr>
        <w:t> </w:t>
      </w:r>
      <w:r>
        <w:rPr>
          <w:color w:val="231F20"/>
          <w:spacing w:val="-4"/>
        </w:rPr>
        <w:t>imputed</w:t>
      </w:r>
      <w:r>
        <w:rPr>
          <w:color w:val="231F20"/>
          <w:spacing w:val="-7"/>
        </w:rPr>
        <w:t> </w:t>
      </w:r>
      <w:r>
        <w:rPr>
          <w:color w:val="231F20"/>
          <w:spacing w:val="-3"/>
        </w:rPr>
        <w:t>rate</w:t>
      </w:r>
      <w:r>
        <w:rPr>
          <w:color w:val="231F20"/>
          <w:spacing w:val="-7"/>
        </w:rPr>
        <w:t> </w:t>
      </w:r>
      <w:r>
        <w:rPr>
          <w:color w:val="231F20"/>
          <w:spacing w:val="-4"/>
        </w:rPr>
        <w:t>based</w:t>
      </w:r>
      <w:r>
        <w:rPr>
          <w:color w:val="231F20"/>
          <w:spacing w:val="-7"/>
        </w:rPr>
        <w:t> </w:t>
      </w:r>
      <w:r>
        <w:rPr>
          <w:color w:val="231F20"/>
        </w:rPr>
        <w:t>on</w:t>
      </w:r>
      <w:r>
        <w:rPr>
          <w:color w:val="231F20"/>
          <w:spacing w:val="-7"/>
        </w:rPr>
        <w:t> </w:t>
      </w:r>
      <w:r>
        <w:rPr>
          <w:color w:val="231F20"/>
          <w:spacing w:val="-3"/>
        </w:rPr>
        <w:t>the</w:t>
      </w:r>
      <w:r>
        <w:rPr>
          <w:color w:val="231F20"/>
          <w:spacing w:val="-7"/>
        </w:rPr>
        <w:t> </w:t>
      </w:r>
      <w:r>
        <w:rPr>
          <w:color w:val="231F20"/>
          <w:spacing w:val="-4"/>
        </w:rPr>
        <w:t>outstanding</w:t>
      </w:r>
      <w:r>
        <w:rPr>
          <w:color w:val="231F20"/>
          <w:spacing w:val="-7"/>
        </w:rPr>
        <w:t> </w:t>
      </w:r>
      <w:r>
        <w:rPr>
          <w:color w:val="231F20"/>
          <w:spacing w:val="-4"/>
        </w:rPr>
        <w:t>bonds.</w:t>
      </w:r>
    </w:p>
    <w:p>
      <w:pPr>
        <w:pStyle w:val="BodyText"/>
        <w:spacing w:before="9"/>
        <w:rPr>
          <w:sz w:val="20"/>
        </w:rPr>
      </w:pPr>
    </w:p>
    <w:p>
      <w:pPr>
        <w:pStyle w:val="BodyText"/>
        <w:spacing w:line="247" w:lineRule="auto"/>
        <w:ind w:left="100" w:right="117" w:firstLine="720"/>
        <w:jc w:val="both"/>
      </w:pPr>
      <w:r>
        <w:rPr>
          <w:color w:val="231F20"/>
        </w:rPr>
        <w:t>The LFMP Construction is the only Asset Constructed for Others which has been placed into service as of December 31, 2014, and its associated projects are estimated to have a weighted average useful life of 27 years and a residual value of 17%.</w:t>
      </w:r>
    </w:p>
    <w:p>
      <w:pPr>
        <w:pStyle w:val="BodyText"/>
        <w:spacing w:before="9"/>
        <w:rPr>
          <w:sz w:val="20"/>
        </w:rPr>
      </w:pPr>
    </w:p>
    <w:p>
      <w:pPr>
        <w:pStyle w:val="Heading2"/>
        <w:ind w:left="100"/>
        <w:jc w:val="both"/>
        <w:rPr>
          <w:i/>
        </w:rPr>
      </w:pPr>
      <w:r>
        <w:rPr>
          <w:i/>
          <w:color w:val="231F20"/>
        </w:rPr>
        <w:t>Contingencies</w:t>
      </w:r>
    </w:p>
    <w:p>
      <w:pPr>
        <w:pStyle w:val="BodyText"/>
        <w:spacing w:before="4"/>
        <w:rPr>
          <w:b/>
          <w:i/>
          <w:sz w:val="21"/>
        </w:rPr>
      </w:pPr>
    </w:p>
    <w:p>
      <w:pPr>
        <w:pStyle w:val="BodyText"/>
        <w:spacing w:line="247" w:lineRule="auto" w:before="1"/>
        <w:ind w:left="100" w:right="117" w:firstLine="720"/>
        <w:jc w:val="both"/>
      </w:pPr>
      <w:r>
        <w:rPr>
          <w:color w:val="231F20"/>
        </w:rPr>
        <w:t>The Company is from time to time subject to various legal proceedings and claims arising in the ordinary course of business, including, but not limited to, examinations by the IRS. The Company’s</w:t>
      </w:r>
    </w:p>
    <w:p>
      <w:pPr>
        <w:spacing w:after="0" w:line="247" w:lineRule="auto"/>
        <w:jc w:val="both"/>
        <w:sectPr>
          <w:footerReference w:type="default" r:id="rId25"/>
          <w:pgSz w:w="11880" w:h="15480"/>
          <w:pgMar w:footer="1240" w:header="0" w:top="1240" w:bottom="1420" w:left="1280" w:right="1260"/>
          <w:pgNumType w:start="101"/>
        </w:sectPr>
      </w:pPr>
    </w:p>
    <w:p>
      <w:pPr>
        <w:pStyle w:val="BodyText"/>
        <w:spacing w:line="247" w:lineRule="auto" w:before="74"/>
        <w:ind w:left="100" w:right="118"/>
        <w:jc w:val="both"/>
      </w:pPr>
      <w:r>
        <w:rPr/>
        <w:pict>
          <v:line style="position:absolute;mso-position-horizontal-relative:page;mso-position-vertical-relative:page;z-index:-405712" from="339.299988pt,239.25pt" to="430.149988pt,239.25pt" stroked="true" strokeweight=".5pt" strokecolor="#231f20">
            <v:stroke dashstyle="solid"/>
            <w10:wrap type="none"/>
          </v:line>
        </w:pict>
      </w:r>
      <w:r>
        <w:rPr/>
        <w:pict>
          <v:line style="position:absolute;mso-position-horizontal-relative:page;mso-position-vertical-relative:page;z-index:-405688" from="434.149994pt,239.25pt" to="524.999994pt,239.25pt" stroked="true" strokeweight=".5pt" strokecolor="#231f20">
            <v:stroke dashstyle="solid"/>
            <w10:wrap type="none"/>
          </v:line>
        </w:pict>
      </w:r>
      <w:r>
        <w:rPr/>
        <w:pict>
          <v:line style="position:absolute;mso-position-horizontal-relative:page;mso-position-vertical-relative:page;z-index:-405664" from="333.299988pt,376.75pt" to="424.149988pt,376.75pt" stroked="true" strokeweight=".5pt" strokecolor="#231f20">
            <v:stroke dashstyle="solid"/>
            <w10:wrap type="none"/>
          </v:line>
        </w:pict>
      </w:r>
      <w:r>
        <w:rPr/>
        <w:pict>
          <v:line style="position:absolute;mso-position-horizontal-relative:page;mso-position-vertical-relative:page;z-index:-405640" from="434.149994pt,376.75pt" to="524.999994pt,376.75pt" stroked="true" strokeweight=".5pt" strokecolor="#231f20">
            <v:stroke dashstyle="solid"/>
            <w10:wrap type="none"/>
          </v:line>
        </w:pict>
      </w:r>
      <w:r>
        <w:rPr/>
        <w:pict>
          <v:line style="position:absolute;mso-position-horizontal-relative:page;mso-position-vertical-relative:page;z-index:-405616" from="333.299988pt,543.25pt" to="424.149988pt,543.25pt" stroked="true" strokeweight=".5pt" strokecolor="#231f20">
            <v:stroke dashstyle="solid"/>
            <w10:wrap type="none"/>
          </v:line>
        </w:pict>
      </w:r>
      <w:r>
        <w:rPr/>
        <w:pict>
          <v:line style="position:absolute;mso-position-horizontal-relative:page;mso-position-vertical-relative:page;z-index:-405592" from="434.149994pt,543.25pt" to="524.999994pt,543.25pt" stroked="true" strokeweight=".5pt" strokecolor="#231f20">
            <v:stroke dashstyle="solid"/>
            <w10:wrap type="none"/>
          </v:line>
        </w:pict>
      </w:r>
      <w:r>
        <w:rPr/>
        <w:pict>
          <v:line style="position:absolute;mso-position-horizontal-relative:page;mso-position-vertical-relative:page;z-index:-405568" from="333.299988pt,680.75pt" to="424.149988pt,680.75pt" stroked="true" strokeweight=".5pt" strokecolor="#231f20">
            <v:stroke dashstyle="solid"/>
            <w10:wrap type="none"/>
          </v:line>
        </w:pict>
      </w:r>
      <w:r>
        <w:rPr>
          <w:color w:val="231F20"/>
        </w:rPr>
        <w:t>management does not expect that the outcome in any of its currently ongoing legal proceedings or the outcome of any adjustments presented by the IRS, individually or collectively, will have a material adverse effect on the Company’s financial condition, results of operations, or cash flow.</w:t>
      </w:r>
    </w:p>
    <w:p>
      <w:pPr>
        <w:pStyle w:val="BodyText"/>
        <w:rPr>
          <w:sz w:val="20"/>
        </w:rPr>
      </w:pPr>
    </w:p>
    <w:p>
      <w:pPr>
        <w:pStyle w:val="BodyText"/>
        <w:spacing w:before="3"/>
        <w:rPr>
          <w:sz w:val="11"/>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86"/>
        <w:gridCol w:w="120"/>
        <w:gridCol w:w="1950"/>
        <w:gridCol w:w="67"/>
        <w:gridCol w:w="1897"/>
      </w:tblGrid>
      <w:tr>
        <w:trPr>
          <w:trHeight w:val="416" w:hRule="exact"/>
        </w:trPr>
        <w:tc>
          <w:tcPr>
            <w:tcW w:w="5086" w:type="dxa"/>
          </w:tcPr>
          <w:p>
            <w:pPr>
              <w:pStyle w:val="TableParagraph"/>
              <w:spacing w:line="252" w:lineRule="exact" w:before="0"/>
              <w:rPr>
                <w:b/>
                <w:sz w:val="22"/>
              </w:rPr>
            </w:pPr>
            <w:r>
              <w:rPr>
                <w:b/>
                <w:color w:val="231F20"/>
                <w:sz w:val="22"/>
              </w:rPr>
              <w:t>5. SUPPLEMENTAL FINANCIAL INFORMATION</w:t>
            </w:r>
          </w:p>
        </w:tc>
        <w:tc>
          <w:tcPr>
            <w:tcW w:w="4034" w:type="dxa"/>
            <w:gridSpan w:val="4"/>
          </w:tcPr>
          <w:p>
            <w:pPr/>
          </w:p>
        </w:tc>
      </w:tr>
      <w:tr>
        <w:trPr>
          <w:trHeight w:val="419" w:hRule="exact"/>
        </w:trPr>
        <w:tc>
          <w:tcPr>
            <w:tcW w:w="5086" w:type="dxa"/>
            <w:tcBorders>
              <w:bottom w:val="single" w:sz="8" w:space="0" w:color="231F20"/>
            </w:tcBorders>
          </w:tcPr>
          <w:p>
            <w:pPr>
              <w:pStyle w:val="TableParagraph"/>
              <w:spacing w:before="162"/>
              <w:ind w:left="60"/>
              <w:rPr>
                <w:b/>
                <w:sz w:val="20"/>
              </w:rPr>
            </w:pPr>
            <w:r>
              <w:rPr>
                <w:b/>
                <w:color w:val="231F20"/>
                <w:sz w:val="20"/>
              </w:rPr>
              <w:t>(in millions)</w:t>
            </w:r>
          </w:p>
        </w:tc>
        <w:tc>
          <w:tcPr>
            <w:tcW w:w="120" w:type="dxa"/>
            <w:tcBorders>
              <w:bottom w:val="single" w:sz="8" w:space="0" w:color="231F20"/>
            </w:tcBorders>
          </w:tcPr>
          <w:p>
            <w:pPr/>
          </w:p>
        </w:tc>
        <w:tc>
          <w:tcPr>
            <w:tcW w:w="1950" w:type="dxa"/>
            <w:tcBorders>
              <w:bottom w:val="single" w:sz="8" w:space="0" w:color="231F20"/>
            </w:tcBorders>
          </w:tcPr>
          <w:p>
            <w:pPr>
              <w:pStyle w:val="TableParagraph"/>
              <w:spacing w:before="162"/>
              <w:ind w:right="31"/>
              <w:jc w:val="right"/>
              <w:rPr>
                <w:b/>
                <w:sz w:val="20"/>
              </w:rPr>
            </w:pPr>
            <w:r>
              <w:rPr>
                <w:b/>
                <w:color w:val="231F20"/>
                <w:sz w:val="20"/>
              </w:rPr>
              <w:t>December 31, 2014</w:t>
            </w:r>
          </w:p>
        </w:tc>
        <w:tc>
          <w:tcPr>
            <w:tcW w:w="67" w:type="dxa"/>
            <w:tcBorders>
              <w:bottom w:val="single" w:sz="8" w:space="0" w:color="231F20"/>
            </w:tcBorders>
          </w:tcPr>
          <w:p>
            <w:pPr/>
          </w:p>
        </w:tc>
        <w:tc>
          <w:tcPr>
            <w:tcW w:w="1897" w:type="dxa"/>
            <w:tcBorders>
              <w:bottom w:val="single" w:sz="8" w:space="0" w:color="231F20"/>
            </w:tcBorders>
          </w:tcPr>
          <w:p>
            <w:pPr>
              <w:pStyle w:val="TableParagraph"/>
              <w:spacing w:before="162"/>
              <w:ind w:right="97"/>
              <w:jc w:val="right"/>
              <w:rPr>
                <w:b/>
                <w:sz w:val="20"/>
              </w:rPr>
            </w:pPr>
            <w:r>
              <w:rPr>
                <w:b/>
                <w:color w:val="231F20"/>
                <w:sz w:val="20"/>
              </w:rPr>
              <w:t>December 31, 2013</w:t>
            </w:r>
          </w:p>
        </w:tc>
      </w:tr>
      <w:tr>
        <w:trPr>
          <w:trHeight w:val="300" w:hRule="exact"/>
        </w:trPr>
        <w:tc>
          <w:tcPr>
            <w:tcW w:w="5086" w:type="dxa"/>
            <w:tcBorders>
              <w:top w:val="single" w:sz="8" w:space="0" w:color="231F20"/>
            </w:tcBorders>
            <w:shd w:val="clear" w:color="auto" w:fill="CCECFC"/>
          </w:tcPr>
          <w:p>
            <w:pPr>
              <w:pStyle w:val="TableParagraph"/>
              <w:spacing w:before="43"/>
              <w:ind w:left="60"/>
              <w:rPr>
                <w:sz w:val="20"/>
              </w:rPr>
            </w:pPr>
            <w:r>
              <w:rPr>
                <w:color w:val="231F20"/>
                <w:sz w:val="20"/>
              </w:rPr>
              <w:t>Derivative contracts</w:t>
            </w:r>
          </w:p>
        </w:tc>
        <w:tc>
          <w:tcPr>
            <w:tcW w:w="120" w:type="dxa"/>
            <w:tcBorders>
              <w:top w:val="single" w:sz="8" w:space="0" w:color="231F20"/>
            </w:tcBorders>
            <w:shd w:val="clear" w:color="auto" w:fill="CCECFC"/>
          </w:tcPr>
          <w:p>
            <w:pPr/>
          </w:p>
        </w:tc>
        <w:tc>
          <w:tcPr>
            <w:tcW w:w="1950" w:type="dxa"/>
            <w:tcBorders>
              <w:top w:val="single" w:sz="8" w:space="0" w:color="231F20"/>
            </w:tcBorders>
            <w:shd w:val="clear" w:color="auto" w:fill="CCECFC"/>
          </w:tcPr>
          <w:p>
            <w:pPr>
              <w:pStyle w:val="TableParagraph"/>
              <w:tabs>
                <w:tab w:pos="1549" w:val="left" w:leader="none"/>
              </w:tabs>
              <w:spacing w:before="43"/>
              <w:jc w:val="right"/>
              <w:rPr>
                <w:sz w:val="20"/>
              </w:rPr>
            </w:pPr>
            <w:r>
              <w:rPr>
                <w:color w:val="231F20"/>
                <w:sz w:val="20"/>
              </w:rPr>
              <w:t>$</w:t>
              <w:tab/>
              <w:t>13</w:t>
            </w:r>
          </w:p>
        </w:tc>
        <w:tc>
          <w:tcPr>
            <w:tcW w:w="67" w:type="dxa"/>
            <w:tcBorders>
              <w:top w:val="single" w:sz="8" w:space="0" w:color="231F20"/>
            </w:tcBorders>
            <w:shd w:val="clear" w:color="auto" w:fill="CCECFC"/>
          </w:tcPr>
          <w:p>
            <w:pPr/>
          </w:p>
        </w:tc>
        <w:tc>
          <w:tcPr>
            <w:tcW w:w="1897" w:type="dxa"/>
            <w:tcBorders>
              <w:top w:val="single" w:sz="8" w:space="0" w:color="231F20"/>
            </w:tcBorders>
            <w:shd w:val="clear" w:color="auto" w:fill="CCECFC"/>
          </w:tcPr>
          <w:p>
            <w:pPr>
              <w:pStyle w:val="TableParagraph"/>
              <w:tabs>
                <w:tab w:pos="1449" w:val="left" w:leader="none"/>
              </w:tabs>
              <w:spacing w:before="43"/>
              <w:ind w:right="64"/>
              <w:jc w:val="right"/>
              <w:rPr>
                <w:sz w:val="20"/>
              </w:rPr>
            </w:pPr>
            <w:r>
              <w:rPr>
                <w:color w:val="231F20"/>
                <w:sz w:val="20"/>
              </w:rPr>
              <w:t>$</w:t>
              <w:tab/>
              <w:t>145</w:t>
            </w:r>
          </w:p>
        </w:tc>
      </w:tr>
      <w:tr>
        <w:trPr>
          <w:trHeight w:val="290" w:hRule="exact"/>
        </w:trPr>
        <w:tc>
          <w:tcPr>
            <w:tcW w:w="5086" w:type="dxa"/>
          </w:tcPr>
          <w:p>
            <w:pPr>
              <w:pStyle w:val="TableParagraph"/>
              <w:spacing w:before="43"/>
              <w:ind w:left="60"/>
              <w:rPr>
                <w:sz w:val="20"/>
              </w:rPr>
            </w:pPr>
            <w:r>
              <w:rPr>
                <w:color w:val="231F20"/>
                <w:sz w:val="20"/>
              </w:rPr>
              <w:t>Intangible assets</w:t>
            </w:r>
          </w:p>
        </w:tc>
        <w:tc>
          <w:tcPr>
            <w:tcW w:w="120" w:type="dxa"/>
          </w:tcPr>
          <w:p>
            <w:pPr/>
          </w:p>
        </w:tc>
        <w:tc>
          <w:tcPr>
            <w:tcW w:w="1950" w:type="dxa"/>
          </w:tcPr>
          <w:p>
            <w:pPr>
              <w:pStyle w:val="TableParagraph"/>
              <w:spacing w:before="43"/>
              <w:jc w:val="right"/>
              <w:rPr>
                <w:sz w:val="20"/>
              </w:rPr>
            </w:pPr>
            <w:r>
              <w:rPr>
                <w:color w:val="231F20"/>
                <w:sz w:val="20"/>
              </w:rPr>
              <w:t>363</w:t>
            </w:r>
          </w:p>
        </w:tc>
        <w:tc>
          <w:tcPr>
            <w:tcW w:w="67" w:type="dxa"/>
          </w:tcPr>
          <w:p>
            <w:pPr/>
          </w:p>
        </w:tc>
        <w:tc>
          <w:tcPr>
            <w:tcW w:w="1897" w:type="dxa"/>
          </w:tcPr>
          <w:p>
            <w:pPr>
              <w:pStyle w:val="TableParagraph"/>
              <w:spacing w:before="43"/>
              <w:ind w:right="64"/>
              <w:jc w:val="right"/>
              <w:rPr>
                <w:sz w:val="20"/>
              </w:rPr>
            </w:pPr>
            <w:r>
              <w:rPr>
                <w:color w:val="231F20"/>
                <w:sz w:val="20"/>
              </w:rPr>
              <w:t>166</w:t>
            </w:r>
          </w:p>
        </w:tc>
      </w:tr>
      <w:tr>
        <w:trPr>
          <w:trHeight w:val="290" w:hRule="exact"/>
        </w:trPr>
        <w:tc>
          <w:tcPr>
            <w:tcW w:w="5086" w:type="dxa"/>
            <w:shd w:val="clear" w:color="auto" w:fill="CCECFC"/>
          </w:tcPr>
          <w:p>
            <w:pPr>
              <w:pStyle w:val="TableParagraph"/>
              <w:spacing w:before="43"/>
              <w:ind w:left="60"/>
              <w:rPr>
                <w:sz w:val="20"/>
              </w:rPr>
            </w:pPr>
            <w:r>
              <w:rPr>
                <w:color w:val="231F20"/>
                <w:sz w:val="20"/>
              </w:rPr>
              <w:t>Non-current investments</w:t>
            </w:r>
          </w:p>
        </w:tc>
        <w:tc>
          <w:tcPr>
            <w:tcW w:w="120" w:type="dxa"/>
            <w:shd w:val="clear" w:color="auto" w:fill="CCECFC"/>
          </w:tcPr>
          <w:p>
            <w:pPr/>
          </w:p>
        </w:tc>
        <w:tc>
          <w:tcPr>
            <w:tcW w:w="1950" w:type="dxa"/>
            <w:shd w:val="clear" w:color="auto" w:fill="CCECFC"/>
          </w:tcPr>
          <w:p>
            <w:pPr>
              <w:pStyle w:val="TableParagraph"/>
              <w:spacing w:before="43"/>
              <w:jc w:val="right"/>
              <w:rPr>
                <w:sz w:val="20"/>
              </w:rPr>
            </w:pPr>
            <w:r>
              <w:rPr>
                <w:color w:val="231F20"/>
                <w:sz w:val="20"/>
              </w:rPr>
              <w:t>35</w:t>
            </w:r>
          </w:p>
        </w:tc>
        <w:tc>
          <w:tcPr>
            <w:tcW w:w="67" w:type="dxa"/>
            <w:shd w:val="clear" w:color="auto" w:fill="CCECFC"/>
          </w:tcPr>
          <w:p>
            <w:pPr/>
          </w:p>
        </w:tc>
        <w:tc>
          <w:tcPr>
            <w:tcW w:w="1897" w:type="dxa"/>
            <w:shd w:val="clear" w:color="auto" w:fill="CCECFC"/>
          </w:tcPr>
          <w:p>
            <w:pPr>
              <w:pStyle w:val="TableParagraph"/>
              <w:spacing w:before="43"/>
              <w:ind w:right="64"/>
              <w:jc w:val="right"/>
              <w:rPr>
                <w:sz w:val="20"/>
              </w:rPr>
            </w:pPr>
            <w:r>
              <w:rPr>
                <w:color w:val="231F20"/>
                <w:sz w:val="20"/>
              </w:rPr>
              <w:t>44</w:t>
            </w:r>
          </w:p>
        </w:tc>
      </w:tr>
      <w:tr>
        <w:trPr>
          <w:trHeight w:val="305" w:hRule="exact"/>
        </w:trPr>
        <w:tc>
          <w:tcPr>
            <w:tcW w:w="5086" w:type="dxa"/>
          </w:tcPr>
          <w:p>
            <w:pPr>
              <w:pStyle w:val="TableParagraph"/>
              <w:spacing w:before="43"/>
              <w:ind w:left="60"/>
              <w:rPr>
                <w:sz w:val="20"/>
              </w:rPr>
            </w:pPr>
            <w:r>
              <w:rPr>
                <w:color w:val="231F20"/>
                <w:sz w:val="20"/>
              </w:rPr>
              <w:t>Other</w:t>
            </w:r>
          </w:p>
        </w:tc>
        <w:tc>
          <w:tcPr>
            <w:tcW w:w="120" w:type="dxa"/>
          </w:tcPr>
          <w:p>
            <w:pPr/>
          </w:p>
        </w:tc>
        <w:tc>
          <w:tcPr>
            <w:tcW w:w="1950" w:type="dxa"/>
            <w:tcBorders>
              <w:bottom w:val="single" w:sz="4" w:space="0" w:color="231F20"/>
            </w:tcBorders>
          </w:tcPr>
          <w:p>
            <w:pPr>
              <w:pStyle w:val="TableParagraph"/>
              <w:spacing w:before="43"/>
              <w:jc w:val="right"/>
              <w:rPr>
                <w:sz w:val="20"/>
              </w:rPr>
            </w:pPr>
            <w:r>
              <w:rPr>
                <w:color w:val="231F20"/>
                <w:sz w:val="20"/>
              </w:rPr>
              <w:t>123</w:t>
            </w:r>
          </w:p>
        </w:tc>
        <w:tc>
          <w:tcPr>
            <w:tcW w:w="67" w:type="dxa"/>
            <w:tcBorders>
              <w:bottom w:val="single" w:sz="4" w:space="0" w:color="231F20"/>
            </w:tcBorders>
          </w:tcPr>
          <w:p>
            <w:pPr/>
          </w:p>
        </w:tc>
        <w:tc>
          <w:tcPr>
            <w:tcW w:w="1897" w:type="dxa"/>
            <w:tcBorders>
              <w:bottom w:val="single" w:sz="4" w:space="0" w:color="231F20"/>
            </w:tcBorders>
          </w:tcPr>
          <w:p>
            <w:pPr>
              <w:pStyle w:val="TableParagraph"/>
              <w:spacing w:before="43"/>
              <w:ind w:right="66"/>
              <w:jc w:val="right"/>
              <w:rPr>
                <w:sz w:val="20"/>
              </w:rPr>
            </w:pPr>
            <w:r>
              <w:rPr>
                <w:color w:val="231F20"/>
                <w:sz w:val="20"/>
              </w:rPr>
              <w:t>175</w:t>
            </w:r>
          </w:p>
        </w:tc>
      </w:tr>
      <w:tr>
        <w:trPr>
          <w:trHeight w:val="350" w:hRule="exact"/>
        </w:trPr>
        <w:tc>
          <w:tcPr>
            <w:tcW w:w="5086" w:type="dxa"/>
            <w:shd w:val="clear" w:color="auto" w:fill="CCECFC"/>
          </w:tcPr>
          <w:p>
            <w:pPr>
              <w:pStyle w:val="TableParagraph"/>
              <w:spacing w:before="43"/>
              <w:ind w:left="220"/>
              <w:rPr>
                <w:sz w:val="20"/>
              </w:rPr>
            </w:pPr>
            <w:r>
              <w:rPr>
                <w:color w:val="231F20"/>
                <w:sz w:val="20"/>
              </w:rPr>
              <w:t>Other assets</w:t>
            </w:r>
          </w:p>
        </w:tc>
        <w:tc>
          <w:tcPr>
            <w:tcW w:w="120" w:type="dxa"/>
            <w:shd w:val="clear" w:color="auto" w:fill="CCECFC"/>
          </w:tcPr>
          <w:p>
            <w:pPr/>
          </w:p>
        </w:tc>
        <w:tc>
          <w:tcPr>
            <w:tcW w:w="1950" w:type="dxa"/>
            <w:tcBorders>
              <w:top w:val="single" w:sz="4" w:space="0" w:color="231F20"/>
              <w:bottom w:val="single" w:sz="4" w:space="0" w:color="231F20"/>
            </w:tcBorders>
            <w:shd w:val="clear" w:color="auto" w:fill="CCECFC"/>
          </w:tcPr>
          <w:p>
            <w:pPr>
              <w:pStyle w:val="TableParagraph"/>
              <w:tabs>
                <w:tab w:pos="1449" w:val="left" w:leader="none"/>
              </w:tabs>
              <w:spacing w:before="43"/>
              <w:jc w:val="right"/>
              <w:rPr>
                <w:sz w:val="20"/>
              </w:rPr>
            </w:pPr>
            <w:r>
              <w:rPr>
                <w:color w:val="231F20"/>
                <w:sz w:val="20"/>
              </w:rPr>
              <w:t>$</w:t>
              <w:tab/>
              <w:t>534</w:t>
            </w:r>
          </w:p>
        </w:tc>
        <w:tc>
          <w:tcPr>
            <w:tcW w:w="67" w:type="dxa"/>
            <w:tcBorders>
              <w:top w:val="single" w:sz="4" w:space="0" w:color="231F20"/>
              <w:bottom w:val="single" w:sz="4" w:space="0" w:color="231F20"/>
            </w:tcBorders>
            <w:shd w:val="clear" w:color="auto" w:fill="CCECFC"/>
          </w:tcPr>
          <w:p>
            <w:pPr/>
          </w:p>
        </w:tc>
        <w:tc>
          <w:tcPr>
            <w:tcW w:w="1897" w:type="dxa"/>
            <w:tcBorders>
              <w:top w:val="single" w:sz="4" w:space="0" w:color="231F20"/>
              <w:bottom w:val="single" w:sz="4" w:space="0" w:color="231F20"/>
            </w:tcBorders>
            <w:shd w:val="clear" w:color="auto" w:fill="CCECFC"/>
          </w:tcPr>
          <w:p>
            <w:pPr>
              <w:pStyle w:val="TableParagraph"/>
              <w:tabs>
                <w:tab w:pos="1449" w:val="left" w:leader="none"/>
              </w:tabs>
              <w:spacing w:before="43"/>
              <w:ind w:right="66"/>
              <w:jc w:val="right"/>
              <w:rPr>
                <w:sz w:val="20"/>
              </w:rPr>
            </w:pPr>
            <w:r>
              <w:rPr>
                <w:color w:val="231F20"/>
                <w:sz w:val="20"/>
              </w:rPr>
              <w:t>$</w:t>
              <w:tab/>
              <w:t>530</w:t>
            </w:r>
          </w:p>
        </w:tc>
      </w:tr>
      <w:tr>
        <w:trPr>
          <w:trHeight w:val="635" w:hRule="exact"/>
        </w:trPr>
        <w:tc>
          <w:tcPr>
            <w:tcW w:w="5086" w:type="dxa"/>
            <w:tcBorders>
              <w:bottom w:val="single" w:sz="8" w:space="0" w:color="231F20"/>
            </w:tcBorders>
          </w:tcPr>
          <w:p>
            <w:pPr>
              <w:pStyle w:val="TableParagraph"/>
              <w:spacing w:before="0"/>
              <w:rPr>
                <w:sz w:val="22"/>
              </w:rPr>
            </w:pPr>
          </w:p>
          <w:p>
            <w:pPr>
              <w:pStyle w:val="TableParagraph"/>
              <w:spacing w:before="180"/>
              <w:ind w:left="60"/>
              <w:rPr>
                <w:b/>
                <w:sz w:val="20"/>
              </w:rPr>
            </w:pPr>
            <w:r>
              <w:rPr>
                <w:b/>
                <w:color w:val="231F20"/>
                <w:sz w:val="20"/>
              </w:rPr>
              <w:t>(in millions)</w:t>
            </w:r>
          </w:p>
        </w:tc>
        <w:tc>
          <w:tcPr>
            <w:tcW w:w="120" w:type="dxa"/>
          </w:tcPr>
          <w:p>
            <w:pPr/>
          </w:p>
        </w:tc>
        <w:tc>
          <w:tcPr>
            <w:tcW w:w="1950" w:type="dxa"/>
            <w:tcBorders>
              <w:top w:val="single" w:sz="4" w:space="0" w:color="231F20"/>
              <w:bottom w:val="single" w:sz="8" w:space="0" w:color="231F20"/>
            </w:tcBorders>
          </w:tcPr>
          <w:p>
            <w:pPr>
              <w:pStyle w:val="TableParagraph"/>
              <w:spacing w:before="5"/>
              <w:rPr>
                <w:sz w:val="32"/>
              </w:rPr>
            </w:pPr>
          </w:p>
          <w:p>
            <w:pPr>
              <w:pStyle w:val="TableParagraph"/>
              <w:spacing w:before="0"/>
              <w:ind w:left="180"/>
              <w:rPr>
                <w:b/>
                <w:sz w:val="20"/>
              </w:rPr>
            </w:pPr>
            <w:r>
              <w:rPr>
                <w:b/>
                <w:color w:val="231F20"/>
                <w:sz w:val="20"/>
              </w:rPr>
              <w:t>December 31, 2014</w:t>
            </w:r>
          </w:p>
        </w:tc>
        <w:tc>
          <w:tcPr>
            <w:tcW w:w="67" w:type="dxa"/>
            <w:tcBorders>
              <w:top w:val="single" w:sz="4" w:space="0" w:color="231F20"/>
            </w:tcBorders>
          </w:tcPr>
          <w:p>
            <w:pPr/>
          </w:p>
        </w:tc>
        <w:tc>
          <w:tcPr>
            <w:tcW w:w="1897" w:type="dxa"/>
            <w:tcBorders>
              <w:top w:val="single" w:sz="4" w:space="0" w:color="231F20"/>
              <w:bottom w:val="single" w:sz="8" w:space="0" w:color="231F20"/>
            </w:tcBorders>
          </w:tcPr>
          <w:p>
            <w:pPr>
              <w:pStyle w:val="TableParagraph"/>
              <w:spacing w:before="5"/>
              <w:rPr>
                <w:sz w:val="32"/>
              </w:rPr>
            </w:pPr>
          </w:p>
          <w:p>
            <w:pPr>
              <w:pStyle w:val="TableParagraph"/>
              <w:spacing w:before="0"/>
              <w:ind w:right="97"/>
              <w:jc w:val="right"/>
              <w:rPr>
                <w:b/>
                <w:sz w:val="20"/>
              </w:rPr>
            </w:pPr>
            <w:r>
              <w:rPr>
                <w:b/>
                <w:color w:val="231F20"/>
                <w:sz w:val="20"/>
              </w:rPr>
              <w:t>December 31, 2013</w:t>
            </w:r>
          </w:p>
        </w:tc>
      </w:tr>
      <w:tr>
        <w:trPr>
          <w:trHeight w:val="300" w:hRule="exact"/>
        </w:trPr>
        <w:tc>
          <w:tcPr>
            <w:tcW w:w="5086" w:type="dxa"/>
            <w:tcBorders>
              <w:top w:val="single" w:sz="8" w:space="0" w:color="231F20"/>
            </w:tcBorders>
            <w:shd w:val="clear" w:color="auto" w:fill="CCECFC"/>
          </w:tcPr>
          <w:p>
            <w:pPr>
              <w:pStyle w:val="TableParagraph"/>
              <w:spacing w:before="43"/>
              <w:ind w:left="60"/>
              <w:rPr>
                <w:sz w:val="20"/>
              </w:rPr>
            </w:pPr>
            <w:r>
              <w:rPr>
                <w:color w:val="231F20"/>
                <w:sz w:val="20"/>
              </w:rPr>
              <w:t>Accounts payable trade</w:t>
            </w:r>
          </w:p>
        </w:tc>
        <w:tc>
          <w:tcPr>
            <w:tcW w:w="120" w:type="dxa"/>
            <w:shd w:val="clear" w:color="auto" w:fill="CCECFC"/>
          </w:tcPr>
          <w:p>
            <w:pPr/>
          </w:p>
        </w:tc>
        <w:tc>
          <w:tcPr>
            <w:tcW w:w="1950" w:type="dxa"/>
            <w:tcBorders>
              <w:top w:val="single" w:sz="8" w:space="0" w:color="231F20"/>
            </w:tcBorders>
            <w:shd w:val="clear" w:color="auto" w:fill="CCECFC"/>
          </w:tcPr>
          <w:p>
            <w:pPr>
              <w:pStyle w:val="TableParagraph"/>
              <w:tabs>
                <w:tab w:pos="1529" w:val="left" w:leader="none"/>
              </w:tabs>
              <w:spacing w:before="43"/>
              <w:ind w:left="80"/>
              <w:rPr>
                <w:sz w:val="20"/>
              </w:rPr>
            </w:pPr>
            <w:r>
              <w:rPr>
                <w:color w:val="231F20"/>
                <w:sz w:val="20"/>
              </w:rPr>
              <w:t>$</w:t>
              <w:tab/>
              <w:t>123</w:t>
            </w:r>
          </w:p>
        </w:tc>
        <w:tc>
          <w:tcPr>
            <w:tcW w:w="67" w:type="dxa"/>
            <w:shd w:val="clear" w:color="auto" w:fill="CCECFC"/>
          </w:tcPr>
          <w:p>
            <w:pPr/>
          </w:p>
        </w:tc>
        <w:tc>
          <w:tcPr>
            <w:tcW w:w="1897" w:type="dxa"/>
            <w:tcBorders>
              <w:top w:val="single" w:sz="8" w:space="0" w:color="231F20"/>
            </w:tcBorders>
            <w:shd w:val="clear" w:color="auto" w:fill="CCECFC"/>
          </w:tcPr>
          <w:p>
            <w:pPr>
              <w:pStyle w:val="TableParagraph"/>
              <w:tabs>
                <w:tab w:pos="1449" w:val="left" w:leader="none"/>
              </w:tabs>
              <w:spacing w:before="43"/>
              <w:ind w:right="66"/>
              <w:jc w:val="right"/>
              <w:rPr>
                <w:sz w:val="20"/>
              </w:rPr>
            </w:pPr>
            <w:r>
              <w:rPr>
                <w:color w:val="231F20"/>
                <w:sz w:val="20"/>
              </w:rPr>
              <w:t>$</w:t>
              <w:tab/>
              <w:t>189</w:t>
            </w:r>
          </w:p>
        </w:tc>
      </w:tr>
      <w:tr>
        <w:trPr>
          <w:trHeight w:val="290" w:hRule="exact"/>
        </w:trPr>
        <w:tc>
          <w:tcPr>
            <w:tcW w:w="5086" w:type="dxa"/>
          </w:tcPr>
          <w:p>
            <w:pPr>
              <w:pStyle w:val="TableParagraph"/>
              <w:spacing w:before="43"/>
              <w:ind w:left="60"/>
              <w:rPr>
                <w:sz w:val="20"/>
              </w:rPr>
            </w:pPr>
            <w:r>
              <w:rPr>
                <w:color w:val="231F20"/>
                <w:sz w:val="20"/>
              </w:rPr>
              <w:t>Salaries payable</w:t>
            </w:r>
          </w:p>
        </w:tc>
        <w:tc>
          <w:tcPr>
            <w:tcW w:w="120" w:type="dxa"/>
          </w:tcPr>
          <w:p>
            <w:pPr/>
          </w:p>
        </w:tc>
        <w:tc>
          <w:tcPr>
            <w:tcW w:w="1950" w:type="dxa"/>
          </w:tcPr>
          <w:p>
            <w:pPr>
              <w:pStyle w:val="TableParagraph"/>
              <w:spacing w:before="43"/>
              <w:ind w:right="118"/>
              <w:jc w:val="right"/>
              <w:rPr>
                <w:sz w:val="20"/>
              </w:rPr>
            </w:pPr>
            <w:r>
              <w:rPr>
                <w:color w:val="231F20"/>
                <w:sz w:val="20"/>
              </w:rPr>
              <w:t>160</w:t>
            </w:r>
          </w:p>
        </w:tc>
        <w:tc>
          <w:tcPr>
            <w:tcW w:w="67" w:type="dxa"/>
          </w:tcPr>
          <w:p>
            <w:pPr/>
          </w:p>
        </w:tc>
        <w:tc>
          <w:tcPr>
            <w:tcW w:w="1897" w:type="dxa"/>
          </w:tcPr>
          <w:p>
            <w:pPr>
              <w:pStyle w:val="TableParagraph"/>
              <w:spacing w:before="43"/>
              <w:ind w:right="66"/>
              <w:jc w:val="right"/>
              <w:rPr>
                <w:sz w:val="20"/>
              </w:rPr>
            </w:pPr>
            <w:r>
              <w:rPr>
                <w:color w:val="231F20"/>
                <w:sz w:val="20"/>
              </w:rPr>
              <w:t>156</w:t>
            </w:r>
          </w:p>
        </w:tc>
      </w:tr>
      <w:tr>
        <w:trPr>
          <w:trHeight w:val="290" w:hRule="exact"/>
        </w:trPr>
        <w:tc>
          <w:tcPr>
            <w:tcW w:w="5086" w:type="dxa"/>
            <w:shd w:val="clear" w:color="auto" w:fill="CCECFC"/>
          </w:tcPr>
          <w:p>
            <w:pPr>
              <w:pStyle w:val="TableParagraph"/>
              <w:spacing w:before="43"/>
              <w:ind w:left="60"/>
              <w:rPr>
                <w:sz w:val="20"/>
              </w:rPr>
            </w:pPr>
            <w:r>
              <w:rPr>
                <w:color w:val="231F20"/>
                <w:sz w:val="20"/>
              </w:rPr>
              <w:t>Taxes payable</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163</w:t>
            </w:r>
          </w:p>
        </w:tc>
        <w:tc>
          <w:tcPr>
            <w:tcW w:w="67" w:type="dxa"/>
            <w:shd w:val="clear" w:color="auto" w:fill="CCECFC"/>
          </w:tcPr>
          <w:p>
            <w:pPr/>
          </w:p>
        </w:tc>
        <w:tc>
          <w:tcPr>
            <w:tcW w:w="1897" w:type="dxa"/>
            <w:shd w:val="clear" w:color="auto" w:fill="CCECFC"/>
          </w:tcPr>
          <w:p>
            <w:pPr>
              <w:pStyle w:val="TableParagraph"/>
              <w:spacing w:before="43"/>
              <w:ind w:right="66"/>
              <w:jc w:val="right"/>
              <w:rPr>
                <w:sz w:val="20"/>
              </w:rPr>
            </w:pPr>
            <w:r>
              <w:rPr>
                <w:color w:val="231F20"/>
                <w:sz w:val="20"/>
              </w:rPr>
              <w:t>146</w:t>
            </w:r>
          </w:p>
        </w:tc>
      </w:tr>
      <w:tr>
        <w:trPr>
          <w:trHeight w:val="290" w:hRule="exact"/>
        </w:trPr>
        <w:tc>
          <w:tcPr>
            <w:tcW w:w="5086" w:type="dxa"/>
          </w:tcPr>
          <w:p>
            <w:pPr>
              <w:pStyle w:val="TableParagraph"/>
              <w:spacing w:before="43"/>
              <w:ind w:left="60"/>
              <w:rPr>
                <w:sz w:val="20"/>
              </w:rPr>
            </w:pPr>
            <w:r>
              <w:rPr>
                <w:color w:val="231F20"/>
                <w:sz w:val="20"/>
              </w:rPr>
              <w:t>Aircraft maintenance payable</w:t>
            </w:r>
          </w:p>
        </w:tc>
        <w:tc>
          <w:tcPr>
            <w:tcW w:w="120" w:type="dxa"/>
          </w:tcPr>
          <w:p>
            <w:pPr/>
          </w:p>
        </w:tc>
        <w:tc>
          <w:tcPr>
            <w:tcW w:w="1950" w:type="dxa"/>
          </w:tcPr>
          <w:p>
            <w:pPr>
              <w:pStyle w:val="TableParagraph"/>
              <w:spacing w:before="43"/>
              <w:ind w:right="118"/>
              <w:jc w:val="right"/>
              <w:rPr>
                <w:sz w:val="20"/>
              </w:rPr>
            </w:pPr>
            <w:r>
              <w:rPr>
                <w:color w:val="231F20"/>
                <w:sz w:val="20"/>
              </w:rPr>
              <w:t>314</w:t>
            </w:r>
          </w:p>
        </w:tc>
        <w:tc>
          <w:tcPr>
            <w:tcW w:w="67" w:type="dxa"/>
          </w:tcPr>
          <w:p>
            <w:pPr/>
          </w:p>
        </w:tc>
        <w:tc>
          <w:tcPr>
            <w:tcW w:w="1897" w:type="dxa"/>
          </w:tcPr>
          <w:p>
            <w:pPr>
              <w:pStyle w:val="TableParagraph"/>
              <w:spacing w:before="43"/>
              <w:ind w:right="64"/>
              <w:jc w:val="right"/>
              <w:rPr>
                <w:sz w:val="20"/>
              </w:rPr>
            </w:pPr>
            <w:r>
              <w:rPr>
                <w:color w:val="231F20"/>
                <w:sz w:val="20"/>
              </w:rPr>
              <w:t>331</w:t>
            </w:r>
          </w:p>
        </w:tc>
      </w:tr>
      <w:tr>
        <w:trPr>
          <w:trHeight w:val="290" w:hRule="exact"/>
        </w:trPr>
        <w:tc>
          <w:tcPr>
            <w:tcW w:w="5086" w:type="dxa"/>
            <w:shd w:val="clear" w:color="auto" w:fill="CCECFC"/>
          </w:tcPr>
          <w:p>
            <w:pPr>
              <w:pStyle w:val="TableParagraph"/>
              <w:spacing w:before="43"/>
              <w:ind w:left="60"/>
              <w:rPr>
                <w:sz w:val="20"/>
              </w:rPr>
            </w:pPr>
            <w:r>
              <w:rPr>
                <w:color w:val="231F20"/>
                <w:sz w:val="20"/>
              </w:rPr>
              <w:t>Fuel payable</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85</w:t>
            </w:r>
          </w:p>
        </w:tc>
        <w:tc>
          <w:tcPr>
            <w:tcW w:w="67" w:type="dxa"/>
            <w:shd w:val="clear" w:color="auto" w:fill="CCECFC"/>
          </w:tcPr>
          <w:p>
            <w:pPr/>
          </w:p>
        </w:tc>
        <w:tc>
          <w:tcPr>
            <w:tcW w:w="1897" w:type="dxa"/>
            <w:shd w:val="clear" w:color="auto" w:fill="CCECFC"/>
          </w:tcPr>
          <w:p>
            <w:pPr>
              <w:pStyle w:val="TableParagraph"/>
              <w:spacing w:before="43"/>
              <w:ind w:right="66"/>
              <w:jc w:val="right"/>
              <w:rPr>
                <w:sz w:val="20"/>
              </w:rPr>
            </w:pPr>
            <w:r>
              <w:rPr>
                <w:color w:val="231F20"/>
                <w:sz w:val="20"/>
              </w:rPr>
              <w:t>102</w:t>
            </w:r>
          </w:p>
        </w:tc>
      </w:tr>
      <w:tr>
        <w:trPr>
          <w:trHeight w:val="305" w:hRule="exact"/>
        </w:trPr>
        <w:tc>
          <w:tcPr>
            <w:tcW w:w="5086" w:type="dxa"/>
          </w:tcPr>
          <w:p>
            <w:pPr>
              <w:pStyle w:val="TableParagraph"/>
              <w:spacing w:before="43"/>
              <w:ind w:left="60"/>
              <w:rPr>
                <w:sz w:val="20"/>
              </w:rPr>
            </w:pPr>
            <w:r>
              <w:rPr>
                <w:color w:val="231F20"/>
                <w:sz w:val="20"/>
              </w:rPr>
              <w:t>Other payable</w:t>
            </w:r>
          </w:p>
        </w:tc>
        <w:tc>
          <w:tcPr>
            <w:tcW w:w="120" w:type="dxa"/>
          </w:tcPr>
          <w:p>
            <w:pPr/>
          </w:p>
        </w:tc>
        <w:tc>
          <w:tcPr>
            <w:tcW w:w="1950" w:type="dxa"/>
            <w:tcBorders>
              <w:bottom w:val="single" w:sz="4" w:space="0" w:color="231F20"/>
            </w:tcBorders>
          </w:tcPr>
          <w:p>
            <w:pPr>
              <w:pStyle w:val="TableParagraph"/>
              <w:spacing w:before="43"/>
              <w:ind w:right="118"/>
              <w:jc w:val="right"/>
              <w:rPr>
                <w:sz w:val="20"/>
              </w:rPr>
            </w:pPr>
            <w:r>
              <w:rPr>
                <w:color w:val="231F20"/>
                <w:sz w:val="20"/>
              </w:rPr>
              <w:t>358</w:t>
            </w:r>
          </w:p>
        </w:tc>
        <w:tc>
          <w:tcPr>
            <w:tcW w:w="67" w:type="dxa"/>
          </w:tcPr>
          <w:p>
            <w:pPr/>
          </w:p>
        </w:tc>
        <w:tc>
          <w:tcPr>
            <w:tcW w:w="1897" w:type="dxa"/>
            <w:tcBorders>
              <w:bottom w:val="single" w:sz="4" w:space="0" w:color="231F20"/>
            </w:tcBorders>
          </w:tcPr>
          <w:p>
            <w:pPr>
              <w:pStyle w:val="TableParagraph"/>
              <w:spacing w:before="43"/>
              <w:ind w:right="66"/>
              <w:jc w:val="right"/>
              <w:rPr>
                <w:sz w:val="20"/>
              </w:rPr>
            </w:pPr>
            <w:r>
              <w:rPr>
                <w:color w:val="231F20"/>
                <w:sz w:val="20"/>
              </w:rPr>
              <w:t>323</w:t>
            </w:r>
          </w:p>
        </w:tc>
      </w:tr>
      <w:tr>
        <w:trPr>
          <w:trHeight w:val="350" w:hRule="exact"/>
        </w:trPr>
        <w:tc>
          <w:tcPr>
            <w:tcW w:w="5086" w:type="dxa"/>
            <w:shd w:val="clear" w:color="auto" w:fill="CCECFC"/>
          </w:tcPr>
          <w:p>
            <w:pPr>
              <w:pStyle w:val="TableParagraph"/>
              <w:spacing w:before="43"/>
              <w:ind w:left="220"/>
              <w:rPr>
                <w:sz w:val="20"/>
              </w:rPr>
            </w:pPr>
            <w:r>
              <w:rPr>
                <w:color w:val="231F20"/>
                <w:sz w:val="20"/>
              </w:rPr>
              <w:t>Accounts payable</w:t>
            </w:r>
          </w:p>
        </w:tc>
        <w:tc>
          <w:tcPr>
            <w:tcW w:w="120" w:type="dxa"/>
            <w:shd w:val="clear" w:color="auto" w:fill="CCECFC"/>
          </w:tcPr>
          <w:p>
            <w:pPr/>
          </w:p>
        </w:tc>
        <w:tc>
          <w:tcPr>
            <w:tcW w:w="1950" w:type="dxa"/>
            <w:tcBorders>
              <w:top w:val="single" w:sz="4" w:space="0" w:color="231F20"/>
              <w:bottom w:val="single" w:sz="4" w:space="0" w:color="231F20"/>
            </w:tcBorders>
            <w:shd w:val="clear" w:color="auto" w:fill="CCECFC"/>
          </w:tcPr>
          <w:p>
            <w:pPr>
              <w:pStyle w:val="TableParagraph"/>
              <w:tabs>
                <w:tab w:pos="1379" w:val="left" w:leader="none"/>
              </w:tabs>
              <w:spacing w:before="43"/>
              <w:ind w:left="80"/>
              <w:rPr>
                <w:sz w:val="20"/>
              </w:rPr>
            </w:pPr>
            <w:r>
              <w:rPr>
                <w:color w:val="231F20"/>
                <w:sz w:val="20"/>
              </w:rPr>
              <w:t>$</w:t>
              <w:tab/>
              <w:t>1,203</w:t>
            </w:r>
          </w:p>
        </w:tc>
        <w:tc>
          <w:tcPr>
            <w:tcW w:w="67" w:type="dxa"/>
            <w:shd w:val="clear" w:color="auto" w:fill="CCECFC"/>
          </w:tcPr>
          <w:p>
            <w:pPr/>
          </w:p>
        </w:tc>
        <w:tc>
          <w:tcPr>
            <w:tcW w:w="1897" w:type="dxa"/>
            <w:tcBorders>
              <w:top w:val="single" w:sz="4" w:space="0" w:color="231F20"/>
              <w:bottom w:val="single" w:sz="4" w:space="0" w:color="231F20"/>
            </w:tcBorders>
            <w:shd w:val="clear" w:color="auto" w:fill="CCECFC"/>
          </w:tcPr>
          <w:p>
            <w:pPr>
              <w:pStyle w:val="TableParagraph"/>
              <w:tabs>
                <w:tab w:pos="1299" w:val="left" w:leader="none"/>
              </w:tabs>
              <w:spacing w:before="43"/>
              <w:ind w:right="64"/>
              <w:jc w:val="right"/>
              <w:rPr>
                <w:sz w:val="20"/>
              </w:rPr>
            </w:pPr>
            <w:r>
              <w:rPr>
                <w:color w:val="231F20"/>
                <w:sz w:val="20"/>
              </w:rPr>
              <w:t>$</w:t>
              <w:tab/>
              <w:t>1,247</w:t>
            </w:r>
          </w:p>
        </w:tc>
      </w:tr>
      <w:tr>
        <w:trPr>
          <w:trHeight w:val="635" w:hRule="exact"/>
        </w:trPr>
        <w:tc>
          <w:tcPr>
            <w:tcW w:w="5086" w:type="dxa"/>
            <w:tcBorders>
              <w:bottom w:val="single" w:sz="8" w:space="0" w:color="231F20"/>
            </w:tcBorders>
          </w:tcPr>
          <w:p>
            <w:pPr>
              <w:pStyle w:val="TableParagraph"/>
              <w:spacing w:before="0"/>
              <w:rPr>
                <w:sz w:val="22"/>
              </w:rPr>
            </w:pPr>
          </w:p>
          <w:p>
            <w:pPr>
              <w:pStyle w:val="TableParagraph"/>
              <w:spacing w:before="180"/>
              <w:ind w:left="60"/>
              <w:rPr>
                <w:b/>
                <w:sz w:val="20"/>
              </w:rPr>
            </w:pPr>
            <w:r>
              <w:rPr>
                <w:b/>
                <w:color w:val="231F20"/>
                <w:sz w:val="20"/>
              </w:rPr>
              <w:t>(in millions)</w:t>
            </w:r>
          </w:p>
        </w:tc>
        <w:tc>
          <w:tcPr>
            <w:tcW w:w="120" w:type="dxa"/>
          </w:tcPr>
          <w:p>
            <w:pPr/>
          </w:p>
        </w:tc>
        <w:tc>
          <w:tcPr>
            <w:tcW w:w="1950" w:type="dxa"/>
            <w:tcBorders>
              <w:top w:val="single" w:sz="4" w:space="0" w:color="231F20"/>
              <w:bottom w:val="single" w:sz="8" w:space="0" w:color="231F20"/>
            </w:tcBorders>
          </w:tcPr>
          <w:p>
            <w:pPr>
              <w:pStyle w:val="TableParagraph"/>
              <w:spacing w:before="5"/>
              <w:rPr>
                <w:sz w:val="32"/>
              </w:rPr>
            </w:pPr>
          </w:p>
          <w:p>
            <w:pPr>
              <w:pStyle w:val="TableParagraph"/>
              <w:spacing w:before="0"/>
              <w:ind w:left="180"/>
              <w:rPr>
                <w:b/>
                <w:sz w:val="20"/>
              </w:rPr>
            </w:pPr>
            <w:r>
              <w:rPr>
                <w:b/>
                <w:color w:val="231F20"/>
                <w:sz w:val="20"/>
              </w:rPr>
              <w:t>December 31, 2014</w:t>
            </w:r>
          </w:p>
        </w:tc>
        <w:tc>
          <w:tcPr>
            <w:tcW w:w="67" w:type="dxa"/>
          </w:tcPr>
          <w:p>
            <w:pPr/>
          </w:p>
        </w:tc>
        <w:tc>
          <w:tcPr>
            <w:tcW w:w="1897" w:type="dxa"/>
            <w:tcBorders>
              <w:top w:val="single" w:sz="4" w:space="0" w:color="231F20"/>
              <w:bottom w:val="single" w:sz="8" w:space="0" w:color="231F20"/>
            </w:tcBorders>
          </w:tcPr>
          <w:p>
            <w:pPr>
              <w:pStyle w:val="TableParagraph"/>
              <w:spacing w:before="5"/>
              <w:rPr>
                <w:sz w:val="32"/>
              </w:rPr>
            </w:pPr>
          </w:p>
          <w:p>
            <w:pPr>
              <w:pStyle w:val="TableParagraph"/>
              <w:spacing w:before="0"/>
              <w:ind w:right="97"/>
              <w:jc w:val="right"/>
              <w:rPr>
                <w:b/>
                <w:sz w:val="20"/>
              </w:rPr>
            </w:pPr>
            <w:r>
              <w:rPr>
                <w:b/>
                <w:color w:val="231F20"/>
                <w:sz w:val="20"/>
              </w:rPr>
              <w:t>December 31, 2013</w:t>
            </w:r>
          </w:p>
        </w:tc>
      </w:tr>
      <w:tr>
        <w:trPr>
          <w:trHeight w:val="300" w:hRule="exact"/>
        </w:trPr>
        <w:tc>
          <w:tcPr>
            <w:tcW w:w="5086" w:type="dxa"/>
            <w:tcBorders>
              <w:top w:val="single" w:sz="8" w:space="0" w:color="231F20"/>
            </w:tcBorders>
            <w:shd w:val="clear" w:color="auto" w:fill="CCECFC"/>
          </w:tcPr>
          <w:p>
            <w:pPr>
              <w:pStyle w:val="TableParagraph"/>
              <w:spacing w:before="43"/>
              <w:ind w:left="60"/>
              <w:rPr>
                <w:sz w:val="20"/>
              </w:rPr>
            </w:pPr>
            <w:r>
              <w:rPr>
                <w:color w:val="231F20"/>
                <w:sz w:val="20"/>
              </w:rPr>
              <w:t>Profitsharing and savings plans</w:t>
            </w:r>
          </w:p>
        </w:tc>
        <w:tc>
          <w:tcPr>
            <w:tcW w:w="120" w:type="dxa"/>
            <w:shd w:val="clear" w:color="auto" w:fill="CCECFC"/>
          </w:tcPr>
          <w:p>
            <w:pPr/>
          </w:p>
        </w:tc>
        <w:tc>
          <w:tcPr>
            <w:tcW w:w="1950" w:type="dxa"/>
            <w:tcBorders>
              <w:top w:val="single" w:sz="8" w:space="0" w:color="231F20"/>
            </w:tcBorders>
            <w:shd w:val="clear" w:color="auto" w:fill="CCECFC"/>
          </w:tcPr>
          <w:p>
            <w:pPr>
              <w:pStyle w:val="TableParagraph"/>
              <w:tabs>
                <w:tab w:pos="1529" w:val="left" w:leader="none"/>
              </w:tabs>
              <w:spacing w:before="43"/>
              <w:ind w:left="80"/>
              <w:rPr>
                <w:sz w:val="20"/>
              </w:rPr>
            </w:pPr>
            <w:r>
              <w:rPr>
                <w:color w:val="231F20"/>
                <w:sz w:val="20"/>
              </w:rPr>
              <w:t>$</w:t>
              <w:tab/>
              <w:t>374</w:t>
            </w:r>
          </w:p>
        </w:tc>
        <w:tc>
          <w:tcPr>
            <w:tcW w:w="67" w:type="dxa"/>
            <w:shd w:val="clear" w:color="auto" w:fill="CCECFC"/>
          </w:tcPr>
          <w:p>
            <w:pPr/>
          </w:p>
        </w:tc>
        <w:tc>
          <w:tcPr>
            <w:tcW w:w="1897" w:type="dxa"/>
            <w:tcBorders>
              <w:top w:val="single" w:sz="8" w:space="0" w:color="231F20"/>
            </w:tcBorders>
            <w:shd w:val="clear" w:color="auto" w:fill="CCECFC"/>
          </w:tcPr>
          <w:p>
            <w:pPr>
              <w:pStyle w:val="TableParagraph"/>
              <w:tabs>
                <w:tab w:pos="1449" w:val="left" w:leader="none"/>
              </w:tabs>
              <w:spacing w:before="43"/>
              <w:ind w:right="64"/>
              <w:jc w:val="right"/>
              <w:rPr>
                <w:sz w:val="20"/>
              </w:rPr>
            </w:pPr>
            <w:r>
              <w:rPr>
                <w:color w:val="231F20"/>
                <w:sz w:val="20"/>
              </w:rPr>
              <w:t>$</w:t>
              <w:tab/>
              <w:t>244</w:t>
            </w:r>
          </w:p>
        </w:tc>
      </w:tr>
      <w:tr>
        <w:trPr>
          <w:trHeight w:val="290" w:hRule="exact"/>
        </w:trPr>
        <w:tc>
          <w:tcPr>
            <w:tcW w:w="5086" w:type="dxa"/>
          </w:tcPr>
          <w:p>
            <w:pPr>
              <w:pStyle w:val="TableParagraph"/>
              <w:spacing w:before="43"/>
              <w:ind w:left="60"/>
              <w:rPr>
                <w:sz w:val="20"/>
              </w:rPr>
            </w:pPr>
            <w:r>
              <w:rPr>
                <w:color w:val="231F20"/>
                <w:sz w:val="20"/>
              </w:rPr>
              <w:t>Aircraft and other lease related obligations</w:t>
            </w:r>
          </w:p>
        </w:tc>
        <w:tc>
          <w:tcPr>
            <w:tcW w:w="120" w:type="dxa"/>
          </w:tcPr>
          <w:p>
            <w:pPr/>
          </w:p>
        </w:tc>
        <w:tc>
          <w:tcPr>
            <w:tcW w:w="1950" w:type="dxa"/>
          </w:tcPr>
          <w:p>
            <w:pPr>
              <w:pStyle w:val="TableParagraph"/>
              <w:spacing w:before="43"/>
              <w:ind w:right="118"/>
              <w:jc w:val="right"/>
              <w:rPr>
                <w:sz w:val="20"/>
              </w:rPr>
            </w:pPr>
            <w:r>
              <w:rPr>
                <w:color w:val="231F20"/>
                <w:sz w:val="20"/>
              </w:rPr>
              <w:t>159</w:t>
            </w:r>
          </w:p>
        </w:tc>
        <w:tc>
          <w:tcPr>
            <w:tcW w:w="67" w:type="dxa"/>
          </w:tcPr>
          <w:p>
            <w:pPr/>
          </w:p>
        </w:tc>
        <w:tc>
          <w:tcPr>
            <w:tcW w:w="1897" w:type="dxa"/>
          </w:tcPr>
          <w:p>
            <w:pPr>
              <w:pStyle w:val="TableParagraph"/>
              <w:spacing w:before="43"/>
              <w:ind w:right="64"/>
              <w:jc w:val="right"/>
              <w:rPr>
                <w:sz w:val="20"/>
              </w:rPr>
            </w:pPr>
            <w:r>
              <w:rPr>
                <w:color w:val="231F20"/>
                <w:sz w:val="20"/>
              </w:rPr>
              <w:t>173</w:t>
            </w:r>
          </w:p>
        </w:tc>
      </w:tr>
      <w:tr>
        <w:trPr>
          <w:trHeight w:val="290" w:hRule="exact"/>
        </w:trPr>
        <w:tc>
          <w:tcPr>
            <w:tcW w:w="5086" w:type="dxa"/>
            <w:shd w:val="clear" w:color="auto" w:fill="CCECFC"/>
          </w:tcPr>
          <w:p>
            <w:pPr>
              <w:pStyle w:val="TableParagraph"/>
              <w:spacing w:before="43"/>
              <w:ind w:left="60"/>
              <w:rPr>
                <w:sz w:val="20"/>
              </w:rPr>
            </w:pPr>
            <w:r>
              <w:rPr>
                <w:color w:val="231F20"/>
                <w:sz w:val="20"/>
              </w:rPr>
              <w:t>Vacation pay</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292</w:t>
            </w:r>
          </w:p>
        </w:tc>
        <w:tc>
          <w:tcPr>
            <w:tcW w:w="67" w:type="dxa"/>
            <w:shd w:val="clear" w:color="auto" w:fill="CCECFC"/>
          </w:tcPr>
          <w:p>
            <w:pPr/>
          </w:p>
        </w:tc>
        <w:tc>
          <w:tcPr>
            <w:tcW w:w="1897" w:type="dxa"/>
            <w:shd w:val="clear" w:color="auto" w:fill="CCECFC"/>
          </w:tcPr>
          <w:p>
            <w:pPr>
              <w:pStyle w:val="TableParagraph"/>
              <w:spacing w:before="43"/>
              <w:ind w:right="66"/>
              <w:jc w:val="right"/>
              <w:rPr>
                <w:sz w:val="20"/>
              </w:rPr>
            </w:pPr>
            <w:r>
              <w:rPr>
                <w:color w:val="231F20"/>
                <w:sz w:val="20"/>
              </w:rPr>
              <w:t>278</w:t>
            </w:r>
          </w:p>
        </w:tc>
      </w:tr>
      <w:tr>
        <w:trPr>
          <w:trHeight w:val="290" w:hRule="exact"/>
        </w:trPr>
        <w:tc>
          <w:tcPr>
            <w:tcW w:w="5086" w:type="dxa"/>
          </w:tcPr>
          <w:p>
            <w:pPr>
              <w:pStyle w:val="TableParagraph"/>
              <w:spacing w:before="43"/>
              <w:ind w:left="60"/>
              <w:rPr>
                <w:sz w:val="20"/>
              </w:rPr>
            </w:pPr>
            <w:r>
              <w:rPr>
                <w:color w:val="231F20"/>
                <w:sz w:val="20"/>
              </w:rPr>
              <w:t>Health</w:t>
            </w:r>
          </w:p>
        </w:tc>
        <w:tc>
          <w:tcPr>
            <w:tcW w:w="120" w:type="dxa"/>
          </w:tcPr>
          <w:p>
            <w:pPr/>
          </w:p>
        </w:tc>
        <w:tc>
          <w:tcPr>
            <w:tcW w:w="1950" w:type="dxa"/>
          </w:tcPr>
          <w:p>
            <w:pPr>
              <w:pStyle w:val="TableParagraph"/>
              <w:spacing w:before="43"/>
              <w:ind w:right="118"/>
              <w:jc w:val="right"/>
              <w:rPr>
                <w:sz w:val="20"/>
              </w:rPr>
            </w:pPr>
            <w:r>
              <w:rPr>
                <w:color w:val="231F20"/>
                <w:sz w:val="20"/>
              </w:rPr>
              <w:t>84</w:t>
            </w:r>
          </w:p>
        </w:tc>
        <w:tc>
          <w:tcPr>
            <w:tcW w:w="67" w:type="dxa"/>
          </w:tcPr>
          <w:p>
            <w:pPr/>
          </w:p>
        </w:tc>
        <w:tc>
          <w:tcPr>
            <w:tcW w:w="1897" w:type="dxa"/>
          </w:tcPr>
          <w:p>
            <w:pPr>
              <w:pStyle w:val="TableParagraph"/>
              <w:spacing w:before="43"/>
              <w:ind w:right="66"/>
              <w:jc w:val="right"/>
              <w:rPr>
                <w:sz w:val="20"/>
              </w:rPr>
            </w:pPr>
            <w:r>
              <w:rPr>
                <w:color w:val="231F20"/>
                <w:sz w:val="20"/>
              </w:rPr>
              <w:t>73</w:t>
            </w:r>
          </w:p>
        </w:tc>
      </w:tr>
      <w:tr>
        <w:trPr>
          <w:trHeight w:val="290" w:hRule="exact"/>
        </w:trPr>
        <w:tc>
          <w:tcPr>
            <w:tcW w:w="5086" w:type="dxa"/>
            <w:shd w:val="clear" w:color="auto" w:fill="CCECFC"/>
          </w:tcPr>
          <w:p>
            <w:pPr>
              <w:pStyle w:val="TableParagraph"/>
              <w:spacing w:before="43"/>
              <w:ind w:left="60"/>
              <w:rPr>
                <w:sz w:val="20"/>
              </w:rPr>
            </w:pPr>
            <w:r>
              <w:rPr>
                <w:color w:val="231F20"/>
                <w:sz w:val="20"/>
              </w:rPr>
              <w:t>Derivative contracts</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174</w:t>
            </w:r>
          </w:p>
        </w:tc>
        <w:tc>
          <w:tcPr>
            <w:tcW w:w="67" w:type="dxa"/>
            <w:shd w:val="clear" w:color="auto" w:fill="CCECFC"/>
          </w:tcPr>
          <w:p>
            <w:pPr/>
          </w:p>
        </w:tc>
        <w:tc>
          <w:tcPr>
            <w:tcW w:w="1897" w:type="dxa"/>
            <w:shd w:val="clear" w:color="auto" w:fill="CCECFC"/>
          </w:tcPr>
          <w:p>
            <w:pPr>
              <w:pStyle w:val="TableParagraph"/>
              <w:spacing w:before="43"/>
              <w:ind w:right="64"/>
              <w:jc w:val="right"/>
              <w:rPr>
                <w:sz w:val="20"/>
              </w:rPr>
            </w:pPr>
            <w:r>
              <w:rPr>
                <w:color w:val="231F20"/>
                <w:sz w:val="20"/>
              </w:rPr>
              <w:t>12</w:t>
            </w:r>
          </w:p>
        </w:tc>
      </w:tr>
      <w:tr>
        <w:trPr>
          <w:trHeight w:val="290" w:hRule="exact"/>
        </w:trPr>
        <w:tc>
          <w:tcPr>
            <w:tcW w:w="5086" w:type="dxa"/>
          </w:tcPr>
          <w:p>
            <w:pPr>
              <w:pStyle w:val="TableParagraph"/>
              <w:spacing w:before="43"/>
              <w:ind w:left="60"/>
              <w:rPr>
                <w:sz w:val="20"/>
              </w:rPr>
            </w:pPr>
            <w:r>
              <w:rPr>
                <w:color w:val="231F20"/>
                <w:sz w:val="20"/>
              </w:rPr>
              <w:t>Workers compensation</w:t>
            </w:r>
          </w:p>
        </w:tc>
        <w:tc>
          <w:tcPr>
            <w:tcW w:w="120" w:type="dxa"/>
          </w:tcPr>
          <w:p>
            <w:pPr/>
          </w:p>
        </w:tc>
        <w:tc>
          <w:tcPr>
            <w:tcW w:w="1950" w:type="dxa"/>
          </w:tcPr>
          <w:p>
            <w:pPr>
              <w:pStyle w:val="TableParagraph"/>
              <w:spacing w:before="43"/>
              <w:ind w:right="118"/>
              <w:jc w:val="right"/>
              <w:rPr>
                <w:sz w:val="20"/>
              </w:rPr>
            </w:pPr>
            <w:r>
              <w:rPr>
                <w:color w:val="231F20"/>
                <w:sz w:val="20"/>
              </w:rPr>
              <w:t>165</w:t>
            </w:r>
          </w:p>
        </w:tc>
        <w:tc>
          <w:tcPr>
            <w:tcW w:w="67" w:type="dxa"/>
          </w:tcPr>
          <w:p>
            <w:pPr/>
          </w:p>
        </w:tc>
        <w:tc>
          <w:tcPr>
            <w:tcW w:w="1897" w:type="dxa"/>
          </w:tcPr>
          <w:p>
            <w:pPr>
              <w:pStyle w:val="TableParagraph"/>
              <w:spacing w:before="43"/>
              <w:ind w:right="64"/>
              <w:jc w:val="right"/>
              <w:rPr>
                <w:sz w:val="20"/>
              </w:rPr>
            </w:pPr>
            <w:r>
              <w:rPr>
                <w:color w:val="231F20"/>
                <w:sz w:val="20"/>
              </w:rPr>
              <w:t>161</w:t>
            </w:r>
          </w:p>
        </w:tc>
      </w:tr>
      <w:tr>
        <w:trPr>
          <w:trHeight w:val="290" w:hRule="exact"/>
        </w:trPr>
        <w:tc>
          <w:tcPr>
            <w:tcW w:w="5086" w:type="dxa"/>
            <w:shd w:val="clear" w:color="auto" w:fill="CCECFC"/>
          </w:tcPr>
          <w:p>
            <w:pPr>
              <w:pStyle w:val="TableParagraph"/>
              <w:spacing w:before="43"/>
              <w:ind w:left="60"/>
              <w:rPr>
                <w:sz w:val="20"/>
              </w:rPr>
            </w:pPr>
            <w:r>
              <w:rPr>
                <w:color w:val="231F20"/>
                <w:sz w:val="20"/>
              </w:rPr>
              <w:t>Property and other taxes</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81</w:t>
            </w:r>
          </w:p>
        </w:tc>
        <w:tc>
          <w:tcPr>
            <w:tcW w:w="67" w:type="dxa"/>
            <w:shd w:val="clear" w:color="auto" w:fill="CCECFC"/>
          </w:tcPr>
          <w:p>
            <w:pPr/>
          </w:p>
        </w:tc>
        <w:tc>
          <w:tcPr>
            <w:tcW w:w="1897" w:type="dxa"/>
            <w:shd w:val="clear" w:color="auto" w:fill="CCECFC"/>
          </w:tcPr>
          <w:p>
            <w:pPr>
              <w:pStyle w:val="TableParagraph"/>
              <w:spacing w:before="43"/>
              <w:ind w:right="66"/>
              <w:jc w:val="right"/>
              <w:rPr>
                <w:sz w:val="20"/>
              </w:rPr>
            </w:pPr>
            <w:r>
              <w:rPr>
                <w:color w:val="231F20"/>
                <w:sz w:val="20"/>
              </w:rPr>
              <w:t>65</w:t>
            </w:r>
          </w:p>
        </w:tc>
      </w:tr>
      <w:tr>
        <w:trPr>
          <w:trHeight w:val="305" w:hRule="exact"/>
        </w:trPr>
        <w:tc>
          <w:tcPr>
            <w:tcW w:w="5086" w:type="dxa"/>
          </w:tcPr>
          <w:p>
            <w:pPr>
              <w:pStyle w:val="TableParagraph"/>
              <w:spacing w:before="43"/>
              <w:ind w:left="60"/>
              <w:rPr>
                <w:sz w:val="20"/>
              </w:rPr>
            </w:pPr>
            <w:r>
              <w:rPr>
                <w:color w:val="231F20"/>
                <w:sz w:val="20"/>
              </w:rPr>
              <w:t>Other</w:t>
            </w:r>
          </w:p>
        </w:tc>
        <w:tc>
          <w:tcPr>
            <w:tcW w:w="120" w:type="dxa"/>
          </w:tcPr>
          <w:p>
            <w:pPr/>
          </w:p>
        </w:tc>
        <w:tc>
          <w:tcPr>
            <w:tcW w:w="1950" w:type="dxa"/>
            <w:tcBorders>
              <w:bottom w:val="single" w:sz="4" w:space="0" w:color="231F20"/>
            </w:tcBorders>
          </w:tcPr>
          <w:p>
            <w:pPr>
              <w:pStyle w:val="TableParagraph"/>
              <w:spacing w:before="43"/>
              <w:ind w:right="118"/>
              <w:jc w:val="right"/>
              <w:rPr>
                <w:sz w:val="20"/>
              </w:rPr>
            </w:pPr>
            <w:r>
              <w:rPr>
                <w:color w:val="231F20"/>
                <w:sz w:val="20"/>
              </w:rPr>
              <w:t>236</w:t>
            </w:r>
          </w:p>
        </w:tc>
        <w:tc>
          <w:tcPr>
            <w:tcW w:w="67" w:type="dxa"/>
          </w:tcPr>
          <w:p>
            <w:pPr/>
          </w:p>
        </w:tc>
        <w:tc>
          <w:tcPr>
            <w:tcW w:w="1897" w:type="dxa"/>
            <w:tcBorders>
              <w:bottom w:val="single" w:sz="4" w:space="0" w:color="231F20"/>
            </w:tcBorders>
          </w:tcPr>
          <w:p>
            <w:pPr>
              <w:pStyle w:val="TableParagraph"/>
              <w:spacing w:before="43"/>
              <w:ind w:right="66"/>
              <w:jc w:val="right"/>
              <w:rPr>
                <w:sz w:val="20"/>
              </w:rPr>
            </w:pPr>
            <w:r>
              <w:rPr>
                <w:color w:val="231F20"/>
                <w:sz w:val="20"/>
              </w:rPr>
              <w:t>223</w:t>
            </w:r>
          </w:p>
        </w:tc>
      </w:tr>
      <w:tr>
        <w:trPr>
          <w:trHeight w:val="350" w:hRule="exact"/>
        </w:trPr>
        <w:tc>
          <w:tcPr>
            <w:tcW w:w="5086" w:type="dxa"/>
            <w:shd w:val="clear" w:color="auto" w:fill="CCECFC"/>
          </w:tcPr>
          <w:p>
            <w:pPr>
              <w:pStyle w:val="TableParagraph"/>
              <w:spacing w:before="43"/>
              <w:ind w:left="220"/>
              <w:rPr>
                <w:sz w:val="20"/>
              </w:rPr>
            </w:pPr>
            <w:r>
              <w:rPr>
                <w:color w:val="231F20"/>
                <w:sz w:val="20"/>
              </w:rPr>
              <w:t>Accrued liabilities</w:t>
            </w:r>
          </w:p>
        </w:tc>
        <w:tc>
          <w:tcPr>
            <w:tcW w:w="120" w:type="dxa"/>
            <w:shd w:val="clear" w:color="auto" w:fill="CCECFC"/>
          </w:tcPr>
          <w:p>
            <w:pPr/>
          </w:p>
        </w:tc>
        <w:tc>
          <w:tcPr>
            <w:tcW w:w="1950" w:type="dxa"/>
            <w:tcBorders>
              <w:top w:val="single" w:sz="4" w:space="0" w:color="231F20"/>
              <w:bottom w:val="single" w:sz="4" w:space="0" w:color="231F20"/>
            </w:tcBorders>
            <w:shd w:val="clear" w:color="auto" w:fill="CCECFC"/>
          </w:tcPr>
          <w:p>
            <w:pPr>
              <w:pStyle w:val="TableParagraph"/>
              <w:tabs>
                <w:tab w:pos="1379" w:val="left" w:leader="none"/>
              </w:tabs>
              <w:spacing w:before="43"/>
              <w:ind w:left="80"/>
              <w:rPr>
                <w:sz w:val="20"/>
              </w:rPr>
            </w:pPr>
            <w:r>
              <w:rPr>
                <w:color w:val="231F20"/>
                <w:sz w:val="20"/>
              </w:rPr>
              <w:t>$</w:t>
              <w:tab/>
              <w:t>1,565</w:t>
            </w:r>
          </w:p>
        </w:tc>
        <w:tc>
          <w:tcPr>
            <w:tcW w:w="67" w:type="dxa"/>
            <w:shd w:val="clear" w:color="auto" w:fill="CCECFC"/>
          </w:tcPr>
          <w:p>
            <w:pPr/>
          </w:p>
        </w:tc>
        <w:tc>
          <w:tcPr>
            <w:tcW w:w="1897" w:type="dxa"/>
            <w:tcBorders>
              <w:top w:val="single" w:sz="4" w:space="0" w:color="231F20"/>
              <w:bottom w:val="single" w:sz="4" w:space="0" w:color="231F20"/>
            </w:tcBorders>
            <w:shd w:val="clear" w:color="auto" w:fill="CCECFC"/>
          </w:tcPr>
          <w:p>
            <w:pPr>
              <w:pStyle w:val="TableParagraph"/>
              <w:tabs>
                <w:tab w:pos="1299" w:val="left" w:leader="none"/>
              </w:tabs>
              <w:spacing w:before="43"/>
              <w:ind w:right="64"/>
              <w:jc w:val="right"/>
              <w:rPr>
                <w:sz w:val="20"/>
              </w:rPr>
            </w:pPr>
            <w:r>
              <w:rPr>
                <w:color w:val="231F20"/>
                <w:sz w:val="20"/>
              </w:rPr>
              <w:t>$</w:t>
              <w:tab/>
              <w:t>1,229</w:t>
            </w:r>
          </w:p>
        </w:tc>
      </w:tr>
      <w:tr>
        <w:trPr>
          <w:trHeight w:val="635" w:hRule="exact"/>
        </w:trPr>
        <w:tc>
          <w:tcPr>
            <w:tcW w:w="5086" w:type="dxa"/>
            <w:tcBorders>
              <w:bottom w:val="single" w:sz="8" w:space="0" w:color="231F20"/>
            </w:tcBorders>
          </w:tcPr>
          <w:p>
            <w:pPr>
              <w:pStyle w:val="TableParagraph"/>
              <w:spacing w:before="0"/>
              <w:rPr>
                <w:sz w:val="22"/>
              </w:rPr>
            </w:pPr>
          </w:p>
          <w:p>
            <w:pPr>
              <w:pStyle w:val="TableParagraph"/>
              <w:spacing w:before="180"/>
              <w:ind w:left="60"/>
              <w:rPr>
                <w:b/>
                <w:sz w:val="20"/>
              </w:rPr>
            </w:pPr>
            <w:r>
              <w:rPr>
                <w:b/>
                <w:color w:val="231F20"/>
                <w:sz w:val="20"/>
              </w:rPr>
              <w:t>(in millions)</w:t>
            </w:r>
          </w:p>
        </w:tc>
        <w:tc>
          <w:tcPr>
            <w:tcW w:w="120" w:type="dxa"/>
          </w:tcPr>
          <w:p>
            <w:pPr/>
          </w:p>
        </w:tc>
        <w:tc>
          <w:tcPr>
            <w:tcW w:w="1950" w:type="dxa"/>
            <w:tcBorders>
              <w:top w:val="single" w:sz="4" w:space="0" w:color="231F20"/>
              <w:bottom w:val="single" w:sz="8" w:space="0" w:color="231F20"/>
            </w:tcBorders>
          </w:tcPr>
          <w:p>
            <w:pPr>
              <w:pStyle w:val="TableParagraph"/>
              <w:spacing w:before="5"/>
              <w:rPr>
                <w:sz w:val="32"/>
              </w:rPr>
            </w:pPr>
          </w:p>
          <w:p>
            <w:pPr>
              <w:pStyle w:val="TableParagraph"/>
              <w:spacing w:before="0"/>
              <w:ind w:left="180"/>
              <w:rPr>
                <w:b/>
                <w:sz w:val="20"/>
              </w:rPr>
            </w:pPr>
            <w:r>
              <w:rPr>
                <w:b/>
                <w:color w:val="231F20"/>
                <w:sz w:val="20"/>
              </w:rPr>
              <w:t>December 31, 2014</w:t>
            </w:r>
          </w:p>
        </w:tc>
        <w:tc>
          <w:tcPr>
            <w:tcW w:w="67" w:type="dxa"/>
          </w:tcPr>
          <w:p>
            <w:pPr/>
          </w:p>
        </w:tc>
        <w:tc>
          <w:tcPr>
            <w:tcW w:w="1897" w:type="dxa"/>
            <w:tcBorders>
              <w:top w:val="single" w:sz="4" w:space="0" w:color="231F20"/>
              <w:bottom w:val="single" w:sz="8" w:space="0" w:color="231F20"/>
            </w:tcBorders>
          </w:tcPr>
          <w:p>
            <w:pPr>
              <w:pStyle w:val="TableParagraph"/>
              <w:spacing w:before="5"/>
              <w:rPr>
                <w:sz w:val="32"/>
              </w:rPr>
            </w:pPr>
          </w:p>
          <w:p>
            <w:pPr>
              <w:pStyle w:val="TableParagraph"/>
              <w:spacing w:before="0"/>
              <w:ind w:right="97"/>
              <w:jc w:val="right"/>
              <w:rPr>
                <w:b/>
                <w:sz w:val="20"/>
              </w:rPr>
            </w:pPr>
            <w:r>
              <w:rPr>
                <w:b/>
                <w:color w:val="231F20"/>
                <w:sz w:val="20"/>
              </w:rPr>
              <w:t>December 31, 2013</w:t>
            </w:r>
          </w:p>
        </w:tc>
      </w:tr>
      <w:tr>
        <w:trPr>
          <w:trHeight w:val="300" w:hRule="exact"/>
        </w:trPr>
        <w:tc>
          <w:tcPr>
            <w:tcW w:w="5086" w:type="dxa"/>
            <w:tcBorders>
              <w:top w:val="single" w:sz="8" w:space="0" w:color="231F20"/>
            </w:tcBorders>
            <w:shd w:val="clear" w:color="auto" w:fill="CCECFC"/>
          </w:tcPr>
          <w:p>
            <w:pPr>
              <w:pStyle w:val="TableParagraph"/>
              <w:spacing w:before="43"/>
              <w:ind w:left="60"/>
              <w:rPr>
                <w:sz w:val="20"/>
              </w:rPr>
            </w:pPr>
            <w:r>
              <w:rPr>
                <w:color w:val="231F20"/>
                <w:sz w:val="20"/>
              </w:rPr>
              <w:t>Postretirement obligation</w:t>
            </w:r>
          </w:p>
        </w:tc>
        <w:tc>
          <w:tcPr>
            <w:tcW w:w="120" w:type="dxa"/>
            <w:shd w:val="clear" w:color="auto" w:fill="CCECFC"/>
          </w:tcPr>
          <w:p>
            <w:pPr/>
          </w:p>
        </w:tc>
        <w:tc>
          <w:tcPr>
            <w:tcW w:w="1950" w:type="dxa"/>
            <w:tcBorders>
              <w:top w:val="single" w:sz="8" w:space="0" w:color="231F20"/>
            </w:tcBorders>
            <w:shd w:val="clear" w:color="auto" w:fill="CCECFC"/>
          </w:tcPr>
          <w:p>
            <w:pPr>
              <w:pStyle w:val="TableParagraph"/>
              <w:tabs>
                <w:tab w:pos="1529" w:val="left" w:leader="none"/>
              </w:tabs>
              <w:spacing w:before="43"/>
              <w:ind w:left="80"/>
              <w:rPr>
                <w:sz w:val="20"/>
              </w:rPr>
            </w:pPr>
            <w:r>
              <w:rPr>
                <w:color w:val="231F20"/>
                <w:sz w:val="20"/>
              </w:rPr>
              <w:t>$</w:t>
              <w:tab/>
              <w:t>169</w:t>
            </w:r>
          </w:p>
        </w:tc>
        <w:tc>
          <w:tcPr>
            <w:tcW w:w="67" w:type="dxa"/>
            <w:shd w:val="clear" w:color="auto" w:fill="CCECFC"/>
          </w:tcPr>
          <w:p>
            <w:pPr/>
          </w:p>
        </w:tc>
        <w:tc>
          <w:tcPr>
            <w:tcW w:w="1897" w:type="dxa"/>
            <w:tcBorders>
              <w:top w:val="single" w:sz="8" w:space="0" w:color="231F20"/>
            </w:tcBorders>
            <w:shd w:val="clear" w:color="auto" w:fill="CCECFC"/>
          </w:tcPr>
          <w:p>
            <w:pPr>
              <w:pStyle w:val="TableParagraph"/>
              <w:tabs>
                <w:tab w:pos="1449" w:val="left" w:leader="none"/>
              </w:tabs>
              <w:spacing w:before="43"/>
              <w:ind w:right="64"/>
              <w:jc w:val="right"/>
              <w:rPr>
                <w:sz w:val="20"/>
              </w:rPr>
            </w:pPr>
            <w:r>
              <w:rPr>
                <w:color w:val="231F20"/>
                <w:sz w:val="20"/>
              </w:rPr>
              <w:t>$</w:t>
              <w:tab/>
              <w:t>138</w:t>
            </w:r>
          </w:p>
        </w:tc>
      </w:tr>
      <w:tr>
        <w:trPr>
          <w:trHeight w:val="290" w:hRule="exact"/>
        </w:trPr>
        <w:tc>
          <w:tcPr>
            <w:tcW w:w="5086" w:type="dxa"/>
          </w:tcPr>
          <w:p>
            <w:pPr>
              <w:pStyle w:val="TableParagraph"/>
              <w:spacing w:before="43"/>
              <w:ind w:left="60"/>
              <w:rPr>
                <w:sz w:val="20"/>
              </w:rPr>
            </w:pPr>
            <w:r>
              <w:rPr>
                <w:color w:val="231F20"/>
                <w:sz w:val="20"/>
              </w:rPr>
              <w:t>Non-current lease-related obligations</w:t>
            </w:r>
          </w:p>
        </w:tc>
        <w:tc>
          <w:tcPr>
            <w:tcW w:w="120" w:type="dxa"/>
          </w:tcPr>
          <w:p>
            <w:pPr/>
          </w:p>
        </w:tc>
        <w:tc>
          <w:tcPr>
            <w:tcW w:w="1950" w:type="dxa"/>
          </w:tcPr>
          <w:p>
            <w:pPr>
              <w:pStyle w:val="TableParagraph"/>
              <w:spacing w:before="43"/>
              <w:ind w:right="117"/>
              <w:jc w:val="right"/>
              <w:rPr>
                <w:sz w:val="20"/>
              </w:rPr>
            </w:pPr>
            <w:r>
              <w:rPr>
                <w:color w:val="231F20"/>
                <w:sz w:val="20"/>
              </w:rPr>
              <w:t>193</w:t>
            </w:r>
          </w:p>
        </w:tc>
        <w:tc>
          <w:tcPr>
            <w:tcW w:w="67" w:type="dxa"/>
          </w:tcPr>
          <w:p>
            <w:pPr/>
          </w:p>
        </w:tc>
        <w:tc>
          <w:tcPr>
            <w:tcW w:w="1897" w:type="dxa"/>
          </w:tcPr>
          <w:p>
            <w:pPr>
              <w:pStyle w:val="TableParagraph"/>
              <w:spacing w:before="43"/>
              <w:ind w:right="64"/>
              <w:jc w:val="right"/>
              <w:rPr>
                <w:sz w:val="20"/>
              </w:rPr>
            </w:pPr>
            <w:r>
              <w:rPr>
                <w:color w:val="231F20"/>
                <w:sz w:val="20"/>
              </w:rPr>
              <w:t>290</w:t>
            </w:r>
          </w:p>
        </w:tc>
      </w:tr>
      <w:tr>
        <w:trPr>
          <w:trHeight w:val="290" w:hRule="exact"/>
        </w:trPr>
        <w:tc>
          <w:tcPr>
            <w:tcW w:w="5086" w:type="dxa"/>
            <w:shd w:val="clear" w:color="auto" w:fill="CCECFC"/>
          </w:tcPr>
          <w:p>
            <w:pPr>
              <w:pStyle w:val="TableParagraph"/>
              <w:spacing w:before="43"/>
              <w:ind w:left="60"/>
              <w:rPr>
                <w:sz w:val="20"/>
              </w:rPr>
            </w:pPr>
            <w:r>
              <w:rPr>
                <w:color w:val="231F20"/>
                <w:sz w:val="20"/>
              </w:rPr>
              <w:t>Other deferred compensation</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174</w:t>
            </w:r>
          </w:p>
        </w:tc>
        <w:tc>
          <w:tcPr>
            <w:tcW w:w="67" w:type="dxa"/>
            <w:shd w:val="clear" w:color="auto" w:fill="CCECFC"/>
          </w:tcPr>
          <w:p>
            <w:pPr/>
          </w:p>
        </w:tc>
        <w:tc>
          <w:tcPr>
            <w:tcW w:w="1897" w:type="dxa"/>
            <w:shd w:val="clear" w:color="auto" w:fill="CCECFC"/>
          </w:tcPr>
          <w:p>
            <w:pPr>
              <w:pStyle w:val="TableParagraph"/>
              <w:spacing w:before="43"/>
              <w:ind w:right="64"/>
              <w:jc w:val="right"/>
              <w:rPr>
                <w:sz w:val="20"/>
              </w:rPr>
            </w:pPr>
            <w:r>
              <w:rPr>
                <w:color w:val="231F20"/>
                <w:sz w:val="20"/>
              </w:rPr>
              <w:t>163</w:t>
            </w:r>
          </w:p>
        </w:tc>
      </w:tr>
      <w:tr>
        <w:trPr>
          <w:trHeight w:val="290" w:hRule="exact"/>
        </w:trPr>
        <w:tc>
          <w:tcPr>
            <w:tcW w:w="5086" w:type="dxa"/>
          </w:tcPr>
          <w:p>
            <w:pPr>
              <w:pStyle w:val="TableParagraph"/>
              <w:spacing w:before="43"/>
              <w:ind w:left="60"/>
              <w:rPr>
                <w:sz w:val="20"/>
              </w:rPr>
            </w:pPr>
            <w:r>
              <w:rPr>
                <w:color w:val="231F20"/>
                <w:sz w:val="20"/>
              </w:rPr>
              <w:t>Deferred gains from sale and leaseback of aircraft</w:t>
            </w:r>
          </w:p>
        </w:tc>
        <w:tc>
          <w:tcPr>
            <w:tcW w:w="120" w:type="dxa"/>
          </w:tcPr>
          <w:p>
            <w:pPr/>
          </w:p>
        </w:tc>
        <w:tc>
          <w:tcPr>
            <w:tcW w:w="1950" w:type="dxa"/>
          </w:tcPr>
          <w:p>
            <w:pPr>
              <w:pStyle w:val="TableParagraph"/>
              <w:spacing w:before="43"/>
              <w:ind w:right="118"/>
              <w:jc w:val="right"/>
              <w:rPr>
                <w:sz w:val="20"/>
              </w:rPr>
            </w:pPr>
            <w:r>
              <w:rPr>
                <w:color w:val="231F20"/>
                <w:sz w:val="20"/>
              </w:rPr>
              <w:t>53</w:t>
            </w:r>
          </w:p>
        </w:tc>
        <w:tc>
          <w:tcPr>
            <w:tcW w:w="67" w:type="dxa"/>
          </w:tcPr>
          <w:p>
            <w:pPr/>
          </w:p>
        </w:tc>
        <w:tc>
          <w:tcPr>
            <w:tcW w:w="1897" w:type="dxa"/>
          </w:tcPr>
          <w:p>
            <w:pPr>
              <w:pStyle w:val="TableParagraph"/>
              <w:spacing w:before="43"/>
              <w:ind w:right="64"/>
              <w:jc w:val="right"/>
              <w:rPr>
                <w:sz w:val="20"/>
              </w:rPr>
            </w:pPr>
            <w:r>
              <w:rPr>
                <w:color w:val="231F20"/>
                <w:sz w:val="20"/>
              </w:rPr>
              <w:t>65</w:t>
            </w:r>
          </w:p>
        </w:tc>
      </w:tr>
      <w:tr>
        <w:trPr>
          <w:trHeight w:val="290" w:hRule="exact"/>
        </w:trPr>
        <w:tc>
          <w:tcPr>
            <w:tcW w:w="5086" w:type="dxa"/>
            <w:shd w:val="clear" w:color="auto" w:fill="CCECFC"/>
          </w:tcPr>
          <w:p>
            <w:pPr>
              <w:pStyle w:val="TableParagraph"/>
              <w:spacing w:before="43"/>
              <w:ind w:left="60"/>
              <w:rPr>
                <w:sz w:val="20"/>
              </w:rPr>
            </w:pPr>
            <w:r>
              <w:rPr>
                <w:color w:val="231F20"/>
                <w:sz w:val="20"/>
              </w:rPr>
              <w:t>Derivative contracts</w:t>
            </w:r>
          </w:p>
        </w:tc>
        <w:tc>
          <w:tcPr>
            <w:tcW w:w="120" w:type="dxa"/>
            <w:shd w:val="clear" w:color="auto" w:fill="CCECFC"/>
          </w:tcPr>
          <w:p>
            <w:pPr/>
          </w:p>
        </w:tc>
        <w:tc>
          <w:tcPr>
            <w:tcW w:w="1950" w:type="dxa"/>
            <w:shd w:val="clear" w:color="auto" w:fill="CCECFC"/>
          </w:tcPr>
          <w:p>
            <w:pPr>
              <w:pStyle w:val="TableParagraph"/>
              <w:spacing w:before="43"/>
              <w:ind w:right="118"/>
              <w:jc w:val="right"/>
              <w:rPr>
                <w:sz w:val="20"/>
              </w:rPr>
            </w:pPr>
            <w:r>
              <w:rPr>
                <w:color w:val="231F20"/>
                <w:sz w:val="20"/>
              </w:rPr>
              <w:t>622</w:t>
            </w:r>
          </w:p>
        </w:tc>
        <w:tc>
          <w:tcPr>
            <w:tcW w:w="67" w:type="dxa"/>
            <w:shd w:val="clear" w:color="auto" w:fill="CCECFC"/>
          </w:tcPr>
          <w:p>
            <w:pPr/>
          </w:p>
        </w:tc>
        <w:tc>
          <w:tcPr>
            <w:tcW w:w="1897" w:type="dxa"/>
            <w:shd w:val="clear" w:color="auto" w:fill="CCECFC"/>
          </w:tcPr>
          <w:p>
            <w:pPr>
              <w:pStyle w:val="TableParagraph"/>
              <w:spacing w:before="43"/>
              <w:ind w:right="64"/>
              <w:jc w:val="right"/>
              <w:rPr>
                <w:sz w:val="20"/>
              </w:rPr>
            </w:pPr>
            <w:r>
              <w:rPr>
                <w:color w:val="231F20"/>
                <w:sz w:val="20"/>
              </w:rPr>
              <w:t>45</w:t>
            </w:r>
          </w:p>
        </w:tc>
      </w:tr>
      <w:tr>
        <w:trPr>
          <w:trHeight w:val="305" w:hRule="exact"/>
        </w:trPr>
        <w:tc>
          <w:tcPr>
            <w:tcW w:w="5086" w:type="dxa"/>
          </w:tcPr>
          <w:p>
            <w:pPr>
              <w:pStyle w:val="TableParagraph"/>
              <w:spacing w:before="43"/>
              <w:ind w:left="60"/>
              <w:rPr>
                <w:sz w:val="20"/>
              </w:rPr>
            </w:pPr>
            <w:r>
              <w:rPr>
                <w:color w:val="231F20"/>
                <w:sz w:val="20"/>
              </w:rPr>
              <w:t>Other</w:t>
            </w:r>
          </w:p>
        </w:tc>
        <w:tc>
          <w:tcPr>
            <w:tcW w:w="120" w:type="dxa"/>
          </w:tcPr>
          <w:p>
            <w:pPr/>
          </w:p>
        </w:tc>
        <w:tc>
          <w:tcPr>
            <w:tcW w:w="1950" w:type="dxa"/>
            <w:tcBorders>
              <w:bottom w:val="single" w:sz="4" w:space="0" w:color="231F20"/>
            </w:tcBorders>
          </w:tcPr>
          <w:p>
            <w:pPr>
              <w:pStyle w:val="TableParagraph"/>
              <w:spacing w:before="43"/>
              <w:ind w:right="118"/>
              <w:jc w:val="right"/>
              <w:rPr>
                <w:sz w:val="20"/>
              </w:rPr>
            </w:pPr>
            <w:r>
              <w:rPr>
                <w:color w:val="231F20"/>
                <w:sz w:val="20"/>
              </w:rPr>
              <w:t>44</w:t>
            </w:r>
          </w:p>
        </w:tc>
        <w:tc>
          <w:tcPr>
            <w:tcW w:w="67" w:type="dxa"/>
          </w:tcPr>
          <w:p>
            <w:pPr/>
          </w:p>
        </w:tc>
        <w:tc>
          <w:tcPr>
            <w:tcW w:w="1897" w:type="dxa"/>
            <w:tcBorders>
              <w:bottom w:val="single" w:sz="4" w:space="0" w:color="231F20"/>
            </w:tcBorders>
          </w:tcPr>
          <w:p>
            <w:pPr>
              <w:pStyle w:val="TableParagraph"/>
              <w:spacing w:before="43"/>
              <w:ind w:right="66"/>
              <w:jc w:val="right"/>
              <w:rPr>
                <w:sz w:val="20"/>
              </w:rPr>
            </w:pPr>
            <w:r>
              <w:rPr>
                <w:color w:val="231F20"/>
                <w:sz w:val="20"/>
              </w:rPr>
              <w:t>70</w:t>
            </w:r>
          </w:p>
        </w:tc>
      </w:tr>
      <w:tr>
        <w:trPr>
          <w:trHeight w:val="350" w:hRule="exact"/>
        </w:trPr>
        <w:tc>
          <w:tcPr>
            <w:tcW w:w="5086" w:type="dxa"/>
            <w:shd w:val="clear" w:color="auto" w:fill="CCECFC"/>
          </w:tcPr>
          <w:p>
            <w:pPr>
              <w:pStyle w:val="TableParagraph"/>
              <w:spacing w:before="43"/>
              <w:ind w:left="220"/>
              <w:rPr>
                <w:sz w:val="20"/>
              </w:rPr>
            </w:pPr>
            <w:r>
              <w:rPr>
                <w:color w:val="231F20"/>
                <w:sz w:val="20"/>
              </w:rPr>
              <w:t>Other non-current liabilities</w:t>
            </w:r>
          </w:p>
        </w:tc>
        <w:tc>
          <w:tcPr>
            <w:tcW w:w="120" w:type="dxa"/>
            <w:shd w:val="clear" w:color="auto" w:fill="CCECFC"/>
          </w:tcPr>
          <w:p>
            <w:pPr/>
          </w:p>
        </w:tc>
        <w:tc>
          <w:tcPr>
            <w:tcW w:w="1950" w:type="dxa"/>
            <w:tcBorders>
              <w:top w:val="single" w:sz="4" w:space="0" w:color="231F20"/>
              <w:bottom w:val="single" w:sz="4" w:space="0" w:color="231F20"/>
            </w:tcBorders>
            <w:shd w:val="clear" w:color="auto" w:fill="CCECFC"/>
          </w:tcPr>
          <w:p>
            <w:pPr>
              <w:pStyle w:val="TableParagraph"/>
              <w:tabs>
                <w:tab w:pos="1379" w:val="left" w:leader="none"/>
              </w:tabs>
              <w:spacing w:before="43"/>
              <w:ind w:left="80"/>
              <w:rPr>
                <w:sz w:val="20"/>
              </w:rPr>
            </w:pPr>
            <w:r>
              <w:rPr>
                <w:color w:val="231F20"/>
                <w:sz w:val="20"/>
              </w:rPr>
              <w:t>$</w:t>
              <w:tab/>
              <w:t>1,255</w:t>
            </w:r>
          </w:p>
        </w:tc>
        <w:tc>
          <w:tcPr>
            <w:tcW w:w="67" w:type="dxa"/>
            <w:shd w:val="clear" w:color="auto" w:fill="CCECFC"/>
          </w:tcPr>
          <w:p>
            <w:pPr/>
          </w:p>
        </w:tc>
        <w:tc>
          <w:tcPr>
            <w:tcW w:w="1897" w:type="dxa"/>
            <w:tcBorders>
              <w:top w:val="single" w:sz="4" w:space="0" w:color="231F20"/>
              <w:bottom w:val="single" w:sz="4" w:space="0" w:color="231F20"/>
            </w:tcBorders>
            <w:shd w:val="clear" w:color="auto" w:fill="CCECFC"/>
          </w:tcPr>
          <w:p>
            <w:pPr>
              <w:pStyle w:val="TableParagraph"/>
              <w:tabs>
                <w:tab w:pos="1449" w:val="left" w:leader="none"/>
              </w:tabs>
              <w:spacing w:before="38"/>
              <w:ind w:right="64"/>
              <w:jc w:val="right"/>
              <w:rPr>
                <w:sz w:val="20"/>
              </w:rPr>
            </w:pPr>
            <w:r>
              <w:rPr>
                <w:color w:val="231F20"/>
                <w:sz w:val="20"/>
              </w:rPr>
              <w:t>$</w:t>
              <w:tab/>
              <w:t>771</w:t>
            </w:r>
          </w:p>
        </w:tc>
      </w:tr>
    </w:tbl>
    <w:p>
      <w:pPr>
        <w:spacing w:after="0"/>
        <w:jc w:val="right"/>
        <w:rPr>
          <w:sz w:val="20"/>
        </w:rPr>
        <w:sectPr>
          <w:pgSz w:w="11880" w:h="15480"/>
          <w:pgMar w:header="0" w:footer="1240" w:top="1240" w:bottom="1420" w:left="1280" w:right="1260"/>
        </w:sectPr>
      </w:pPr>
    </w:p>
    <w:p>
      <w:pPr>
        <w:pStyle w:val="Heading2"/>
        <w:spacing w:before="74"/>
        <w:ind w:left="100"/>
        <w:rPr>
          <w:i/>
        </w:rPr>
      </w:pPr>
      <w:r>
        <w:rPr>
          <w:i/>
          <w:color w:val="231F20"/>
        </w:rPr>
        <w:t>Other Operating Expenses</w:t>
      </w:r>
    </w:p>
    <w:p>
      <w:pPr>
        <w:pStyle w:val="BodyText"/>
        <w:spacing w:before="4"/>
        <w:rPr>
          <w:b/>
          <w:i/>
          <w:sz w:val="21"/>
        </w:rPr>
      </w:pPr>
    </w:p>
    <w:p>
      <w:pPr>
        <w:pStyle w:val="BodyText"/>
        <w:spacing w:line="247" w:lineRule="auto" w:before="1"/>
        <w:ind w:left="100" w:right="117" w:firstLine="720"/>
        <w:jc w:val="both"/>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3"/>
        <w:rPr>
          <w:sz w:val="31"/>
        </w:rPr>
      </w:pPr>
    </w:p>
    <w:p>
      <w:pPr>
        <w:pStyle w:val="Heading1"/>
        <w:numPr>
          <w:ilvl w:val="0"/>
          <w:numId w:val="15"/>
        </w:numPr>
        <w:tabs>
          <w:tab w:pos="320" w:val="left" w:leader="none"/>
        </w:tabs>
        <w:spacing w:line="240" w:lineRule="auto" w:before="0" w:after="0"/>
        <w:ind w:left="100" w:right="0" w:firstLine="0"/>
        <w:jc w:val="left"/>
      </w:pPr>
      <w:r>
        <w:rPr>
          <w:color w:val="231F20"/>
        </w:rPr>
        <w:t>LONG-TERM DEBT</w:t>
      </w:r>
    </w:p>
    <w:p>
      <w:pPr>
        <w:pStyle w:val="BodyText"/>
        <w:spacing w:before="4"/>
        <w:rPr>
          <w:b/>
          <w:sz w:val="28"/>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06"/>
        <w:gridCol w:w="1857"/>
        <w:gridCol w:w="1857"/>
      </w:tblGrid>
      <w:tr>
        <w:trPr>
          <w:trHeight w:val="256" w:hRule="exact"/>
        </w:trPr>
        <w:tc>
          <w:tcPr>
            <w:tcW w:w="5406" w:type="dxa"/>
          </w:tcPr>
          <w:p>
            <w:pPr>
              <w:pStyle w:val="TableParagraph"/>
              <w:spacing w:line="229" w:lineRule="exact" w:before="0"/>
              <w:ind w:left="80"/>
              <w:rPr>
                <w:b/>
                <w:sz w:val="20"/>
              </w:rPr>
            </w:pPr>
            <w:r>
              <w:rPr>
                <w:b/>
                <w:color w:val="231F20"/>
                <w:sz w:val="20"/>
              </w:rPr>
              <w:t>(in millions)</w:t>
            </w:r>
          </w:p>
        </w:tc>
        <w:tc>
          <w:tcPr>
            <w:tcW w:w="1857" w:type="dxa"/>
            <w:tcBorders>
              <w:bottom w:val="single" w:sz="8" w:space="0" w:color="231F20"/>
            </w:tcBorders>
          </w:tcPr>
          <w:p>
            <w:pPr>
              <w:pStyle w:val="TableParagraph"/>
              <w:spacing w:line="229" w:lineRule="exact" w:before="0"/>
              <w:ind w:left="100"/>
              <w:rPr>
                <w:b/>
                <w:sz w:val="20"/>
              </w:rPr>
            </w:pPr>
            <w:r>
              <w:rPr>
                <w:b/>
                <w:color w:val="231F20"/>
                <w:sz w:val="20"/>
              </w:rPr>
              <w:t>December 31, 2014</w:t>
            </w:r>
          </w:p>
        </w:tc>
        <w:tc>
          <w:tcPr>
            <w:tcW w:w="1857" w:type="dxa"/>
            <w:tcBorders>
              <w:bottom w:val="single" w:sz="8" w:space="0" w:color="231F20"/>
            </w:tcBorders>
          </w:tcPr>
          <w:p>
            <w:pPr>
              <w:pStyle w:val="TableParagraph"/>
              <w:spacing w:line="229" w:lineRule="exact" w:before="0"/>
              <w:ind w:left="139"/>
              <w:rPr>
                <w:b/>
                <w:sz w:val="20"/>
              </w:rPr>
            </w:pPr>
            <w:r>
              <w:rPr>
                <w:b/>
                <w:color w:val="231F20"/>
                <w:sz w:val="20"/>
              </w:rPr>
              <w:t>December 31, 2013</w:t>
            </w:r>
          </w:p>
        </w:tc>
      </w:tr>
      <w:tr>
        <w:trPr>
          <w:trHeight w:val="310" w:hRule="exact"/>
        </w:trPr>
        <w:tc>
          <w:tcPr>
            <w:tcW w:w="5406" w:type="dxa"/>
            <w:shd w:val="clear" w:color="auto" w:fill="CCECFC"/>
          </w:tcPr>
          <w:p>
            <w:pPr>
              <w:pStyle w:val="TableParagraph"/>
              <w:ind w:left="80"/>
              <w:rPr>
                <w:sz w:val="20"/>
              </w:rPr>
            </w:pPr>
            <w:r>
              <w:rPr>
                <w:color w:val="231F20"/>
                <w:sz w:val="20"/>
              </w:rPr>
              <w:t>5.25% Notes due 2014</w:t>
            </w:r>
          </w:p>
        </w:tc>
        <w:tc>
          <w:tcPr>
            <w:tcW w:w="1857" w:type="dxa"/>
            <w:tcBorders>
              <w:top w:val="single" w:sz="8" w:space="0" w:color="231F20"/>
            </w:tcBorders>
            <w:shd w:val="clear" w:color="auto" w:fill="CCECFC"/>
          </w:tcPr>
          <w:p>
            <w:pPr>
              <w:pStyle w:val="TableParagraph"/>
              <w:ind w:right="106"/>
              <w:jc w:val="right"/>
              <w:rPr>
                <w:sz w:val="20"/>
              </w:rPr>
            </w:pPr>
            <w:r>
              <w:rPr>
                <w:color w:val="231F20"/>
                <w:sz w:val="20"/>
              </w:rPr>
              <w:t>—</w:t>
            </w:r>
          </w:p>
        </w:tc>
        <w:tc>
          <w:tcPr>
            <w:tcW w:w="1857" w:type="dxa"/>
            <w:tcBorders>
              <w:top w:val="single" w:sz="8" w:space="0" w:color="231F20"/>
            </w:tcBorders>
            <w:shd w:val="clear" w:color="auto" w:fill="CCECFC"/>
          </w:tcPr>
          <w:p>
            <w:pPr>
              <w:pStyle w:val="TableParagraph"/>
              <w:ind w:right="66"/>
              <w:jc w:val="right"/>
              <w:rPr>
                <w:sz w:val="20"/>
              </w:rPr>
            </w:pPr>
            <w:r>
              <w:rPr>
                <w:color w:val="231F20"/>
                <w:sz w:val="20"/>
              </w:rPr>
              <w:t>357</w:t>
            </w:r>
          </w:p>
        </w:tc>
      </w:tr>
      <w:tr>
        <w:trPr>
          <w:trHeight w:val="300" w:hRule="exact"/>
        </w:trPr>
        <w:tc>
          <w:tcPr>
            <w:tcW w:w="5406" w:type="dxa"/>
          </w:tcPr>
          <w:p>
            <w:pPr>
              <w:pStyle w:val="TableParagraph"/>
              <w:ind w:left="80"/>
              <w:rPr>
                <w:sz w:val="20"/>
              </w:rPr>
            </w:pPr>
            <w:r>
              <w:rPr>
                <w:color w:val="231F20"/>
                <w:sz w:val="20"/>
              </w:rPr>
              <w:t>5.75% Notes due 2016</w:t>
            </w:r>
          </w:p>
        </w:tc>
        <w:tc>
          <w:tcPr>
            <w:tcW w:w="1857" w:type="dxa"/>
          </w:tcPr>
          <w:p>
            <w:pPr>
              <w:pStyle w:val="TableParagraph"/>
              <w:ind w:right="106"/>
              <w:jc w:val="right"/>
              <w:rPr>
                <w:sz w:val="20"/>
              </w:rPr>
            </w:pPr>
            <w:r>
              <w:rPr>
                <w:color w:val="231F20"/>
                <w:sz w:val="20"/>
              </w:rPr>
              <w:t>313</w:t>
            </w:r>
          </w:p>
        </w:tc>
        <w:tc>
          <w:tcPr>
            <w:tcW w:w="1857" w:type="dxa"/>
          </w:tcPr>
          <w:p>
            <w:pPr>
              <w:pStyle w:val="TableParagraph"/>
              <w:ind w:right="66"/>
              <w:jc w:val="right"/>
              <w:rPr>
                <w:sz w:val="20"/>
              </w:rPr>
            </w:pPr>
            <w:r>
              <w:rPr>
                <w:color w:val="231F20"/>
                <w:sz w:val="20"/>
              </w:rPr>
              <w:t>320</w:t>
            </w:r>
          </w:p>
        </w:tc>
      </w:tr>
      <w:tr>
        <w:trPr>
          <w:trHeight w:val="300" w:hRule="exact"/>
        </w:trPr>
        <w:tc>
          <w:tcPr>
            <w:tcW w:w="5406" w:type="dxa"/>
            <w:shd w:val="clear" w:color="auto" w:fill="CCECFC"/>
          </w:tcPr>
          <w:p>
            <w:pPr>
              <w:pStyle w:val="TableParagraph"/>
              <w:ind w:left="80"/>
              <w:rPr>
                <w:sz w:val="20"/>
              </w:rPr>
            </w:pPr>
            <w:r>
              <w:rPr>
                <w:color w:val="231F20"/>
                <w:sz w:val="20"/>
              </w:rPr>
              <w:t>5.25% Convertible Senior Notes due 2016</w:t>
            </w:r>
          </w:p>
        </w:tc>
        <w:tc>
          <w:tcPr>
            <w:tcW w:w="1857" w:type="dxa"/>
            <w:shd w:val="clear" w:color="auto" w:fill="CCECFC"/>
          </w:tcPr>
          <w:p>
            <w:pPr>
              <w:pStyle w:val="TableParagraph"/>
              <w:ind w:right="104"/>
              <w:jc w:val="right"/>
              <w:rPr>
                <w:sz w:val="20"/>
              </w:rPr>
            </w:pPr>
            <w:r>
              <w:rPr>
                <w:color w:val="231F20"/>
                <w:sz w:val="20"/>
              </w:rPr>
              <w:t>113</w:t>
            </w:r>
          </w:p>
        </w:tc>
        <w:tc>
          <w:tcPr>
            <w:tcW w:w="1857" w:type="dxa"/>
            <w:shd w:val="clear" w:color="auto" w:fill="CCECFC"/>
          </w:tcPr>
          <w:p>
            <w:pPr>
              <w:pStyle w:val="TableParagraph"/>
              <w:ind w:right="64"/>
              <w:jc w:val="right"/>
              <w:rPr>
                <w:sz w:val="20"/>
              </w:rPr>
            </w:pPr>
            <w:r>
              <w:rPr>
                <w:color w:val="231F20"/>
                <w:sz w:val="20"/>
              </w:rPr>
              <w:t>115</w:t>
            </w:r>
          </w:p>
        </w:tc>
      </w:tr>
      <w:tr>
        <w:trPr>
          <w:trHeight w:val="300" w:hRule="exact"/>
        </w:trPr>
        <w:tc>
          <w:tcPr>
            <w:tcW w:w="5406" w:type="dxa"/>
          </w:tcPr>
          <w:p>
            <w:pPr>
              <w:pStyle w:val="TableParagraph"/>
              <w:ind w:left="80"/>
              <w:rPr>
                <w:sz w:val="20"/>
              </w:rPr>
            </w:pPr>
            <w:r>
              <w:rPr>
                <w:color w:val="231F20"/>
                <w:sz w:val="20"/>
              </w:rPr>
              <w:t>5.125% Notes due 2017</w:t>
            </w:r>
          </w:p>
        </w:tc>
        <w:tc>
          <w:tcPr>
            <w:tcW w:w="1857" w:type="dxa"/>
          </w:tcPr>
          <w:p>
            <w:pPr>
              <w:pStyle w:val="TableParagraph"/>
              <w:ind w:right="106"/>
              <w:jc w:val="right"/>
              <w:rPr>
                <w:sz w:val="20"/>
              </w:rPr>
            </w:pPr>
            <w:r>
              <w:rPr>
                <w:color w:val="231F20"/>
                <w:sz w:val="20"/>
              </w:rPr>
              <w:t>316</w:t>
            </w:r>
          </w:p>
        </w:tc>
        <w:tc>
          <w:tcPr>
            <w:tcW w:w="1857" w:type="dxa"/>
          </w:tcPr>
          <w:p>
            <w:pPr>
              <w:pStyle w:val="TableParagraph"/>
              <w:ind w:right="66"/>
              <w:jc w:val="right"/>
              <w:rPr>
                <w:sz w:val="20"/>
              </w:rPr>
            </w:pPr>
            <w:r>
              <w:rPr>
                <w:color w:val="231F20"/>
                <w:sz w:val="20"/>
              </w:rPr>
              <w:t>322</w:t>
            </w:r>
          </w:p>
        </w:tc>
      </w:tr>
      <w:tr>
        <w:trPr>
          <w:trHeight w:val="300" w:hRule="exact"/>
        </w:trPr>
        <w:tc>
          <w:tcPr>
            <w:tcW w:w="5406" w:type="dxa"/>
            <w:shd w:val="clear" w:color="auto" w:fill="CCECFC"/>
          </w:tcPr>
          <w:p>
            <w:pPr>
              <w:pStyle w:val="TableParagraph"/>
              <w:ind w:left="80"/>
              <w:rPr>
                <w:sz w:val="20"/>
              </w:rPr>
            </w:pPr>
            <w:r>
              <w:rPr>
                <w:color w:val="231F20"/>
                <w:sz w:val="20"/>
              </w:rPr>
              <w:t>Fixed-rate 717 Aircraft Notes payable through 2017—10.37%</w:t>
            </w:r>
          </w:p>
        </w:tc>
        <w:tc>
          <w:tcPr>
            <w:tcW w:w="1857" w:type="dxa"/>
            <w:shd w:val="clear" w:color="auto" w:fill="CCECFC"/>
          </w:tcPr>
          <w:p>
            <w:pPr>
              <w:pStyle w:val="TableParagraph"/>
              <w:ind w:right="104"/>
              <w:jc w:val="right"/>
              <w:rPr>
                <w:sz w:val="20"/>
              </w:rPr>
            </w:pPr>
            <w:r>
              <w:rPr>
                <w:color w:val="231F20"/>
                <w:sz w:val="20"/>
              </w:rPr>
              <w:t>—</w:t>
            </w:r>
          </w:p>
        </w:tc>
        <w:tc>
          <w:tcPr>
            <w:tcW w:w="1857" w:type="dxa"/>
            <w:shd w:val="clear" w:color="auto" w:fill="CCECFC"/>
          </w:tcPr>
          <w:p>
            <w:pPr>
              <w:pStyle w:val="TableParagraph"/>
              <w:ind w:right="64"/>
              <w:jc w:val="right"/>
              <w:rPr>
                <w:sz w:val="20"/>
              </w:rPr>
            </w:pPr>
            <w:r>
              <w:rPr>
                <w:color w:val="231F20"/>
                <w:sz w:val="20"/>
              </w:rPr>
              <w:t>41</w:t>
            </w:r>
          </w:p>
        </w:tc>
      </w:tr>
      <w:tr>
        <w:trPr>
          <w:trHeight w:val="300" w:hRule="exact"/>
        </w:trPr>
        <w:tc>
          <w:tcPr>
            <w:tcW w:w="5406" w:type="dxa"/>
          </w:tcPr>
          <w:p>
            <w:pPr>
              <w:pStyle w:val="TableParagraph"/>
              <w:ind w:left="80"/>
              <w:rPr>
                <w:sz w:val="20"/>
              </w:rPr>
            </w:pPr>
            <w:r>
              <w:rPr>
                <w:color w:val="231F20"/>
                <w:sz w:val="20"/>
              </w:rPr>
              <w:t>French Credit Agreements due 2018—1.06%</w:t>
            </w:r>
          </w:p>
        </w:tc>
        <w:tc>
          <w:tcPr>
            <w:tcW w:w="1857" w:type="dxa"/>
          </w:tcPr>
          <w:p>
            <w:pPr>
              <w:pStyle w:val="TableParagraph"/>
              <w:ind w:right="104"/>
              <w:jc w:val="right"/>
              <w:rPr>
                <w:sz w:val="20"/>
              </w:rPr>
            </w:pPr>
            <w:r>
              <w:rPr>
                <w:color w:val="231F20"/>
                <w:sz w:val="20"/>
              </w:rPr>
              <w:t>36</w:t>
            </w:r>
          </w:p>
        </w:tc>
        <w:tc>
          <w:tcPr>
            <w:tcW w:w="1857" w:type="dxa"/>
          </w:tcPr>
          <w:p>
            <w:pPr>
              <w:pStyle w:val="TableParagraph"/>
              <w:ind w:right="64"/>
              <w:jc w:val="right"/>
              <w:rPr>
                <w:sz w:val="20"/>
              </w:rPr>
            </w:pPr>
            <w:r>
              <w:rPr>
                <w:color w:val="231F20"/>
                <w:sz w:val="20"/>
              </w:rPr>
              <w:t>46</w:t>
            </w:r>
          </w:p>
        </w:tc>
      </w:tr>
      <w:tr>
        <w:trPr>
          <w:trHeight w:val="300" w:hRule="exact"/>
        </w:trPr>
        <w:tc>
          <w:tcPr>
            <w:tcW w:w="5406" w:type="dxa"/>
            <w:shd w:val="clear" w:color="auto" w:fill="CCECFC"/>
          </w:tcPr>
          <w:p>
            <w:pPr>
              <w:pStyle w:val="TableParagraph"/>
              <w:ind w:left="80"/>
              <w:rPr>
                <w:sz w:val="20"/>
              </w:rPr>
            </w:pPr>
            <w:r>
              <w:rPr>
                <w:color w:val="231F20"/>
                <w:sz w:val="20"/>
              </w:rPr>
              <w:t>Fixed-rate 737 Aircraft Notes payable through 2018—7.02%</w:t>
            </w:r>
          </w:p>
        </w:tc>
        <w:tc>
          <w:tcPr>
            <w:tcW w:w="1857" w:type="dxa"/>
            <w:shd w:val="clear" w:color="auto" w:fill="CCECFC"/>
          </w:tcPr>
          <w:p>
            <w:pPr>
              <w:pStyle w:val="TableParagraph"/>
              <w:ind w:right="104"/>
              <w:jc w:val="right"/>
              <w:rPr>
                <w:sz w:val="20"/>
              </w:rPr>
            </w:pPr>
            <w:r>
              <w:rPr>
                <w:color w:val="231F20"/>
                <w:sz w:val="20"/>
              </w:rPr>
              <w:t>24</w:t>
            </w:r>
          </w:p>
        </w:tc>
        <w:tc>
          <w:tcPr>
            <w:tcW w:w="1857" w:type="dxa"/>
            <w:shd w:val="clear" w:color="auto" w:fill="CCECFC"/>
          </w:tcPr>
          <w:p>
            <w:pPr>
              <w:pStyle w:val="TableParagraph"/>
              <w:ind w:right="64"/>
              <w:jc w:val="right"/>
              <w:rPr>
                <w:sz w:val="20"/>
              </w:rPr>
            </w:pPr>
            <w:r>
              <w:rPr>
                <w:color w:val="231F20"/>
                <w:sz w:val="20"/>
              </w:rPr>
              <w:t>30</w:t>
            </w:r>
          </w:p>
        </w:tc>
      </w:tr>
      <w:tr>
        <w:trPr>
          <w:trHeight w:val="300" w:hRule="exact"/>
        </w:trPr>
        <w:tc>
          <w:tcPr>
            <w:tcW w:w="5406" w:type="dxa"/>
          </w:tcPr>
          <w:p>
            <w:pPr>
              <w:pStyle w:val="TableParagraph"/>
              <w:ind w:left="80"/>
              <w:rPr>
                <w:sz w:val="20"/>
              </w:rPr>
            </w:pPr>
            <w:r>
              <w:rPr>
                <w:color w:val="231F20"/>
                <w:sz w:val="20"/>
              </w:rPr>
              <w:t>2.75% Notes due 2019</w:t>
            </w:r>
          </w:p>
        </w:tc>
        <w:tc>
          <w:tcPr>
            <w:tcW w:w="1857" w:type="dxa"/>
          </w:tcPr>
          <w:p>
            <w:pPr>
              <w:pStyle w:val="TableParagraph"/>
              <w:ind w:right="106"/>
              <w:jc w:val="right"/>
              <w:rPr>
                <w:sz w:val="20"/>
              </w:rPr>
            </w:pPr>
            <w:r>
              <w:rPr>
                <w:color w:val="231F20"/>
                <w:sz w:val="20"/>
              </w:rPr>
              <w:t>300</w:t>
            </w:r>
          </w:p>
        </w:tc>
        <w:tc>
          <w:tcPr>
            <w:tcW w:w="1857" w:type="dxa"/>
          </w:tcPr>
          <w:p>
            <w:pPr>
              <w:pStyle w:val="TableParagraph"/>
              <w:ind w:right="66"/>
              <w:jc w:val="right"/>
              <w:rPr>
                <w:sz w:val="20"/>
              </w:rPr>
            </w:pPr>
            <w:r>
              <w:rPr>
                <w:color w:val="231F20"/>
                <w:sz w:val="20"/>
              </w:rPr>
              <w:t>—</w:t>
            </w:r>
          </w:p>
        </w:tc>
      </w:tr>
      <w:tr>
        <w:trPr>
          <w:trHeight w:val="300" w:hRule="exact"/>
        </w:trPr>
        <w:tc>
          <w:tcPr>
            <w:tcW w:w="5406" w:type="dxa"/>
            <w:shd w:val="clear" w:color="auto" w:fill="CCECFC"/>
          </w:tcPr>
          <w:p>
            <w:pPr>
              <w:pStyle w:val="TableParagraph"/>
              <w:ind w:left="80"/>
              <w:rPr>
                <w:sz w:val="20"/>
              </w:rPr>
            </w:pPr>
            <w:r>
              <w:rPr>
                <w:color w:val="231F20"/>
                <w:sz w:val="20"/>
              </w:rPr>
              <w:t>Term Loan Agreement due 2019—6.315%</w:t>
            </w:r>
          </w:p>
        </w:tc>
        <w:tc>
          <w:tcPr>
            <w:tcW w:w="1857" w:type="dxa"/>
            <w:shd w:val="clear" w:color="auto" w:fill="CCECFC"/>
          </w:tcPr>
          <w:p>
            <w:pPr>
              <w:pStyle w:val="TableParagraph"/>
              <w:ind w:right="104"/>
              <w:jc w:val="right"/>
              <w:rPr>
                <w:sz w:val="20"/>
              </w:rPr>
            </w:pPr>
            <w:r>
              <w:rPr>
                <w:color w:val="231F20"/>
                <w:sz w:val="20"/>
              </w:rPr>
              <w:t>178</w:t>
            </w:r>
          </w:p>
        </w:tc>
        <w:tc>
          <w:tcPr>
            <w:tcW w:w="1857" w:type="dxa"/>
            <w:shd w:val="clear" w:color="auto" w:fill="CCECFC"/>
          </w:tcPr>
          <w:p>
            <w:pPr>
              <w:pStyle w:val="TableParagraph"/>
              <w:ind w:right="64"/>
              <w:jc w:val="right"/>
              <w:rPr>
                <w:sz w:val="20"/>
              </w:rPr>
            </w:pPr>
            <w:r>
              <w:rPr>
                <w:color w:val="231F20"/>
                <w:sz w:val="20"/>
              </w:rPr>
              <w:t>210</w:t>
            </w:r>
          </w:p>
        </w:tc>
      </w:tr>
      <w:tr>
        <w:trPr>
          <w:trHeight w:val="300" w:hRule="exact"/>
        </w:trPr>
        <w:tc>
          <w:tcPr>
            <w:tcW w:w="5406" w:type="dxa"/>
          </w:tcPr>
          <w:p>
            <w:pPr>
              <w:pStyle w:val="TableParagraph"/>
              <w:ind w:left="80"/>
              <w:rPr>
                <w:sz w:val="20"/>
              </w:rPr>
            </w:pPr>
            <w:r>
              <w:rPr>
                <w:color w:val="231F20"/>
                <w:sz w:val="20"/>
              </w:rPr>
              <w:t>Term Loan Agreement due 2019—6.84%</w:t>
            </w:r>
          </w:p>
        </w:tc>
        <w:tc>
          <w:tcPr>
            <w:tcW w:w="1857" w:type="dxa"/>
          </w:tcPr>
          <w:p>
            <w:pPr>
              <w:pStyle w:val="TableParagraph"/>
              <w:ind w:right="104"/>
              <w:jc w:val="right"/>
              <w:rPr>
                <w:sz w:val="20"/>
              </w:rPr>
            </w:pPr>
            <w:r>
              <w:rPr>
                <w:color w:val="231F20"/>
                <w:sz w:val="20"/>
              </w:rPr>
              <w:t>73</w:t>
            </w:r>
          </w:p>
        </w:tc>
        <w:tc>
          <w:tcPr>
            <w:tcW w:w="1857" w:type="dxa"/>
          </w:tcPr>
          <w:p>
            <w:pPr>
              <w:pStyle w:val="TableParagraph"/>
              <w:ind w:right="64"/>
              <w:jc w:val="right"/>
              <w:rPr>
                <w:sz w:val="20"/>
              </w:rPr>
            </w:pPr>
            <w:r>
              <w:rPr>
                <w:color w:val="231F20"/>
                <w:sz w:val="20"/>
              </w:rPr>
              <w:t>85</w:t>
            </w:r>
          </w:p>
        </w:tc>
      </w:tr>
      <w:tr>
        <w:trPr>
          <w:trHeight w:val="300" w:hRule="exact"/>
        </w:trPr>
        <w:tc>
          <w:tcPr>
            <w:tcW w:w="5406" w:type="dxa"/>
            <w:shd w:val="clear" w:color="auto" w:fill="CCECFC"/>
          </w:tcPr>
          <w:p>
            <w:pPr>
              <w:pStyle w:val="TableParagraph"/>
              <w:ind w:left="80"/>
              <w:rPr>
                <w:sz w:val="20"/>
              </w:rPr>
            </w:pPr>
            <w:r>
              <w:rPr>
                <w:color w:val="231F20"/>
                <w:sz w:val="20"/>
              </w:rPr>
              <w:t>Term Loan Agreement due 2020—5.223%</w:t>
            </w:r>
          </w:p>
        </w:tc>
        <w:tc>
          <w:tcPr>
            <w:tcW w:w="1857" w:type="dxa"/>
            <w:shd w:val="clear" w:color="auto" w:fill="CCECFC"/>
          </w:tcPr>
          <w:p>
            <w:pPr>
              <w:pStyle w:val="TableParagraph"/>
              <w:ind w:right="104"/>
              <w:jc w:val="right"/>
              <w:rPr>
                <w:sz w:val="20"/>
              </w:rPr>
            </w:pPr>
            <w:r>
              <w:rPr>
                <w:color w:val="231F20"/>
                <w:sz w:val="20"/>
              </w:rPr>
              <w:t>372</w:t>
            </w:r>
          </w:p>
        </w:tc>
        <w:tc>
          <w:tcPr>
            <w:tcW w:w="1857" w:type="dxa"/>
            <w:shd w:val="clear" w:color="auto" w:fill="CCECFC"/>
          </w:tcPr>
          <w:p>
            <w:pPr>
              <w:pStyle w:val="TableParagraph"/>
              <w:ind w:right="64"/>
              <w:jc w:val="right"/>
              <w:rPr>
                <w:sz w:val="20"/>
              </w:rPr>
            </w:pPr>
            <w:r>
              <w:rPr>
                <w:color w:val="231F20"/>
                <w:sz w:val="20"/>
              </w:rPr>
              <w:t>413</w:t>
            </w:r>
          </w:p>
        </w:tc>
      </w:tr>
      <w:tr>
        <w:trPr>
          <w:trHeight w:val="300" w:hRule="exact"/>
        </w:trPr>
        <w:tc>
          <w:tcPr>
            <w:tcW w:w="5406" w:type="dxa"/>
          </w:tcPr>
          <w:p>
            <w:pPr>
              <w:pStyle w:val="TableParagraph"/>
              <w:ind w:left="80"/>
              <w:rPr>
                <w:sz w:val="20"/>
              </w:rPr>
            </w:pPr>
            <w:r>
              <w:rPr>
                <w:color w:val="231F20"/>
                <w:sz w:val="20"/>
              </w:rPr>
              <w:t>Floating-rate 737 Aircraft Notes payable through 2020</w:t>
            </w:r>
          </w:p>
        </w:tc>
        <w:tc>
          <w:tcPr>
            <w:tcW w:w="1857" w:type="dxa"/>
          </w:tcPr>
          <w:p>
            <w:pPr>
              <w:pStyle w:val="TableParagraph"/>
              <w:ind w:right="104"/>
              <w:jc w:val="right"/>
              <w:rPr>
                <w:sz w:val="20"/>
              </w:rPr>
            </w:pPr>
            <w:r>
              <w:rPr>
                <w:color w:val="231F20"/>
                <w:sz w:val="20"/>
              </w:rPr>
              <w:t>300</w:t>
            </w:r>
          </w:p>
        </w:tc>
        <w:tc>
          <w:tcPr>
            <w:tcW w:w="1857" w:type="dxa"/>
          </w:tcPr>
          <w:p>
            <w:pPr>
              <w:pStyle w:val="TableParagraph"/>
              <w:ind w:right="64"/>
              <w:jc w:val="right"/>
              <w:rPr>
                <w:sz w:val="20"/>
              </w:rPr>
            </w:pPr>
            <w:r>
              <w:rPr>
                <w:color w:val="231F20"/>
                <w:sz w:val="20"/>
              </w:rPr>
              <w:t>340</w:t>
            </w:r>
          </w:p>
        </w:tc>
      </w:tr>
      <w:tr>
        <w:trPr>
          <w:trHeight w:val="300" w:hRule="exact"/>
        </w:trPr>
        <w:tc>
          <w:tcPr>
            <w:tcW w:w="5406" w:type="dxa"/>
            <w:shd w:val="clear" w:color="auto" w:fill="CCECFC"/>
          </w:tcPr>
          <w:p>
            <w:pPr>
              <w:pStyle w:val="TableParagraph"/>
              <w:ind w:left="80"/>
              <w:rPr>
                <w:sz w:val="20"/>
              </w:rPr>
            </w:pPr>
            <w:r>
              <w:rPr>
                <w:color w:val="231F20"/>
                <w:sz w:val="20"/>
              </w:rPr>
              <w:t>Pass Through Certificates due 2022—6.24%</w:t>
            </w:r>
          </w:p>
        </w:tc>
        <w:tc>
          <w:tcPr>
            <w:tcW w:w="1857" w:type="dxa"/>
            <w:shd w:val="clear" w:color="auto" w:fill="CCECFC"/>
          </w:tcPr>
          <w:p>
            <w:pPr>
              <w:pStyle w:val="TableParagraph"/>
              <w:ind w:right="104"/>
              <w:jc w:val="right"/>
              <w:rPr>
                <w:sz w:val="20"/>
              </w:rPr>
            </w:pPr>
            <w:r>
              <w:rPr>
                <w:color w:val="231F20"/>
                <w:sz w:val="20"/>
              </w:rPr>
              <w:t>355</w:t>
            </w:r>
          </w:p>
        </w:tc>
        <w:tc>
          <w:tcPr>
            <w:tcW w:w="1857" w:type="dxa"/>
            <w:shd w:val="clear" w:color="auto" w:fill="CCECFC"/>
          </w:tcPr>
          <w:p>
            <w:pPr>
              <w:pStyle w:val="TableParagraph"/>
              <w:ind w:right="64"/>
              <w:jc w:val="right"/>
              <w:rPr>
                <w:sz w:val="20"/>
              </w:rPr>
            </w:pPr>
            <w:r>
              <w:rPr>
                <w:color w:val="231F20"/>
                <w:sz w:val="20"/>
              </w:rPr>
              <w:t>371</w:t>
            </w:r>
          </w:p>
        </w:tc>
      </w:tr>
      <w:tr>
        <w:trPr>
          <w:trHeight w:val="300" w:hRule="exact"/>
        </w:trPr>
        <w:tc>
          <w:tcPr>
            <w:tcW w:w="5406" w:type="dxa"/>
          </w:tcPr>
          <w:p>
            <w:pPr>
              <w:pStyle w:val="TableParagraph"/>
              <w:ind w:left="80"/>
              <w:rPr>
                <w:sz w:val="20"/>
              </w:rPr>
            </w:pPr>
            <w:r>
              <w:rPr>
                <w:color w:val="231F20"/>
                <w:sz w:val="20"/>
              </w:rPr>
              <w:t>7.375% Debentures due 2027</w:t>
            </w:r>
          </w:p>
        </w:tc>
        <w:tc>
          <w:tcPr>
            <w:tcW w:w="1857" w:type="dxa"/>
          </w:tcPr>
          <w:p>
            <w:pPr>
              <w:pStyle w:val="TableParagraph"/>
              <w:ind w:right="104"/>
              <w:jc w:val="right"/>
              <w:rPr>
                <w:sz w:val="20"/>
              </w:rPr>
            </w:pPr>
            <w:r>
              <w:rPr>
                <w:color w:val="231F20"/>
                <w:sz w:val="20"/>
              </w:rPr>
              <w:t>134</w:t>
            </w:r>
          </w:p>
        </w:tc>
        <w:tc>
          <w:tcPr>
            <w:tcW w:w="1857" w:type="dxa"/>
          </w:tcPr>
          <w:p>
            <w:pPr>
              <w:pStyle w:val="TableParagraph"/>
              <w:ind w:right="64"/>
              <w:jc w:val="right"/>
              <w:rPr>
                <w:sz w:val="20"/>
              </w:rPr>
            </w:pPr>
            <w:r>
              <w:rPr>
                <w:color w:val="231F20"/>
                <w:sz w:val="20"/>
              </w:rPr>
              <w:t>136</w:t>
            </w:r>
          </w:p>
        </w:tc>
      </w:tr>
      <w:tr>
        <w:trPr>
          <w:trHeight w:val="315" w:hRule="exact"/>
        </w:trPr>
        <w:tc>
          <w:tcPr>
            <w:tcW w:w="5406" w:type="dxa"/>
            <w:shd w:val="clear" w:color="auto" w:fill="CCECFC"/>
          </w:tcPr>
          <w:p>
            <w:pPr>
              <w:pStyle w:val="TableParagraph"/>
              <w:ind w:left="80"/>
              <w:rPr>
                <w:sz w:val="20"/>
              </w:rPr>
            </w:pPr>
            <w:r>
              <w:rPr>
                <w:color w:val="231F20"/>
                <w:sz w:val="20"/>
              </w:rPr>
              <w:t>Capital leases (Note 7)</w:t>
            </w:r>
          </w:p>
        </w:tc>
        <w:tc>
          <w:tcPr>
            <w:tcW w:w="1857" w:type="dxa"/>
            <w:tcBorders>
              <w:bottom w:val="single" w:sz="4" w:space="0" w:color="231F20"/>
            </w:tcBorders>
            <w:shd w:val="clear" w:color="auto" w:fill="CCECFC"/>
          </w:tcPr>
          <w:p>
            <w:pPr>
              <w:pStyle w:val="TableParagraph"/>
              <w:ind w:right="106"/>
              <w:jc w:val="right"/>
              <w:rPr>
                <w:sz w:val="20"/>
              </w:rPr>
            </w:pPr>
            <w:r>
              <w:rPr>
                <w:color w:val="231F20"/>
                <w:sz w:val="20"/>
              </w:rPr>
              <w:t>199</w:t>
            </w:r>
          </w:p>
        </w:tc>
        <w:tc>
          <w:tcPr>
            <w:tcW w:w="1857" w:type="dxa"/>
            <w:tcBorders>
              <w:bottom w:val="single" w:sz="4" w:space="0" w:color="231F20"/>
            </w:tcBorders>
            <w:shd w:val="clear" w:color="auto" w:fill="CCECFC"/>
          </w:tcPr>
          <w:p>
            <w:pPr>
              <w:pStyle w:val="TableParagraph"/>
              <w:ind w:right="66"/>
              <w:jc w:val="right"/>
              <w:rPr>
                <w:sz w:val="20"/>
              </w:rPr>
            </w:pPr>
            <w:r>
              <w:rPr>
                <w:color w:val="231F20"/>
                <w:sz w:val="20"/>
              </w:rPr>
              <w:t>56</w:t>
            </w:r>
          </w:p>
        </w:tc>
      </w:tr>
      <w:tr>
        <w:trPr>
          <w:trHeight w:val="305" w:hRule="exact"/>
        </w:trPr>
        <w:tc>
          <w:tcPr>
            <w:tcW w:w="5406" w:type="dxa"/>
          </w:tcPr>
          <w:p>
            <w:pPr/>
          </w:p>
        </w:tc>
        <w:tc>
          <w:tcPr>
            <w:tcW w:w="1857" w:type="dxa"/>
            <w:tcBorders>
              <w:top w:val="single" w:sz="4" w:space="0" w:color="231F20"/>
            </w:tcBorders>
          </w:tcPr>
          <w:p>
            <w:pPr>
              <w:pStyle w:val="TableParagraph"/>
              <w:tabs>
                <w:tab w:pos="1299" w:val="left" w:leader="none"/>
              </w:tabs>
              <w:rPr>
                <w:sz w:val="20"/>
              </w:rPr>
            </w:pPr>
            <w:r>
              <w:rPr>
                <w:color w:val="231F20"/>
                <w:sz w:val="20"/>
              </w:rPr>
              <w:t>$</w:t>
              <w:tab/>
              <w:t>2,713</w:t>
            </w:r>
          </w:p>
        </w:tc>
        <w:tc>
          <w:tcPr>
            <w:tcW w:w="1857" w:type="dxa"/>
            <w:tcBorders>
              <w:top w:val="single" w:sz="4" w:space="0" w:color="231F20"/>
            </w:tcBorders>
          </w:tcPr>
          <w:p>
            <w:pPr>
              <w:pStyle w:val="TableParagraph"/>
              <w:tabs>
                <w:tab w:pos="1339" w:val="left" w:leader="none"/>
              </w:tabs>
              <w:ind w:left="40"/>
              <w:rPr>
                <w:sz w:val="20"/>
              </w:rPr>
            </w:pPr>
            <w:r>
              <w:rPr>
                <w:color w:val="231F20"/>
                <w:sz w:val="20"/>
              </w:rPr>
              <w:t>$</w:t>
              <w:tab/>
              <w:t>2,842</w:t>
            </w:r>
          </w:p>
        </w:tc>
      </w:tr>
      <w:tr>
        <w:trPr>
          <w:trHeight w:val="300" w:hRule="exact"/>
        </w:trPr>
        <w:tc>
          <w:tcPr>
            <w:tcW w:w="5406" w:type="dxa"/>
            <w:shd w:val="clear" w:color="auto" w:fill="CCECFC"/>
          </w:tcPr>
          <w:p>
            <w:pPr>
              <w:pStyle w:val="TableParagraph"/>
              <w:ind w:left="80"/>
              <w:rPr>
                <w:sz w:val="20"/>
              </w:rPr>
            </w:pPr>
            <w:r>
              <w:rPr>
                <w:color w:val="231F20"/>
                <w:sz w:val="20"/>
              </w:rPr>
              <w:t>Less current maturities</w:t>
            </w:r>
          </w:p>
        </w:tc>
        <w:tc>
          <w:tcPr>
            <w:tcW w:w="1857" w:type="dxa"/>
            <w:shd w:val="clear" w:color="auto" w:fill="CCECFC"/>
          </w:tcPr>
          <w:p>
            <w:pPr>
              <w:pStyle w:val="TableParagraph"/>
              <w:ind w:right="104"/>
              <w:jc w:val="right"/>
              <w:rPr>
                <w:sz w:val="20"/>
              </w:rPr>
            </w:pPr>
            <w:r>
              <w:rPr>
                <w:color w:val="231F20"/>
                <w:sz w:val="20"/>
              </w:rPr>
              <w:t>258</w:t>
            </w:r>
          </w:p>
        </w:tc>
        <w:tc>
          <w:tcPr>
            <w:tcW w:w="1857" w:type="dxa"/>
            <w:shd w:val="clear" w:color="auto" w:fill="CCECFC"/>
          </w:tcPr>
          <w:p>
            <w:pPr>
              <w:pStyle w:val="TableParagraph"/>
              <w:ind w:right="64"/>
              <w:jc w:val="right"/>
              <w:rPr>
                <w:sz w:val="20"/>
              </w:rPr>
            </w:pPr>
            <w:r>
              <w:rPr>
                <w:color w:val="231F20"/>
                <w:sz w:val="20"/>
              </w:rPr>
              <w:t>629</w:t>
            </w:r>
          </w:p>
        </w:tc>
      </w:tr>
      <w:tr>
        <w:trPr>
          <w:trHeight w:val="315" w:hRule="exact"/>
        </w:trPr>
        <w:tc>
          <w:tcPr>
            <w:tcW w:w="5406" w:type="dxa"/>
          </w:tcPr>
          <w:p>
            <w:pPr>
              <w:pStyle w:val="TableParagraph"/>
              <w:ind w:left="80"/>
              <w:rPr>
                <w:sz w:val="20"/>
              </w:rPr>
            </w:pPr>
            <w:r>
              <w:rPr>
                <w:color w:val="231F20"/>
                <w:sz w:val="20"/>
              </w:rPr>
              <w:t>Less debt discount and issuance costs</w:t>
            </w:r>
          </w:p>
        </w:tc>
        <w:tc>
          <w:tcPr>
            <w:tcW w:w="1857" w:type="dxa"/>
            <w:tcBorders>
              <w:bottom w:val="single" w:sz="4" w:space="0" w:color="231F20"/>
            </w:tcBorders>
          </w:tcPr>
          <w:p>
            <w:pPr>
              <w:pStyle w:val="TableParagraph"/>
              <w:ind w:right="104"/>
              <w:jc w:val="right"/>
              <w:rPr>
                <w:sz w:val="20"/>
              </w:rPr>
            </w:pPr>
            <w:r>
              <w:rPr>
                <w:color w:val="231F20"/>
                <w:sz w:val="20"/>
              </w:rPr>
              <w:t>21</w:t>
            </w:r>
          </w:p>
        </w:tc>
        <w:tc>
          <w:tcPr>
            <w:tcW w:w="1857" w:type="dxa"/>
          </w:tcPr>
          <w:p>
            <w:pPr>
              <w:pStyle w:val="TableParagraph"/>
              <w:ind w:right="64"/>
              <w:jc w:val="right"/>
              <w:rPr>
                <w:sz w:val="20"/>
              </w:rPr>
            </w:pPr>
            <w:r>
              <w:rPr>
                <w:color w:val="231F20"/>
                <w:sz w:val="20"/>
              </w:rPr>
              <w:t>22</w:t>
            </w:r>
          </w:p>
        </w:tc>
      </w:tr>
      <w:tr>
        <w:trPr>
          <w:trHeight w:val="320" w:hRule="exact"/>
        </w:trPr>
        <w:tc>
          <w:tcPr>
            <w:tcW w:w="5406" w:type="dxa"/>
            <w:shd w:val="clear" w:color="auto" w:fill="CCECFC"/>
          </w:tcPr>
          <w:p>
            <w:pPr/>
          </w:p>
        </w:tc>
        <w:tc>
          <w:tcPr>
            <w:tcW w:w="1857" w:type="dxa"/>
            <w:tcBorders>
              <w:top w:val="single" w:sz="4" w:space="0" w:color="231F20"/>
              <w:bottom w:val="single" w:sz="4" w:space="0" w:color="231F20"/>
            </w:tcBorders>
            <w:shd w:val="clear" w:color="auto" w:fill="CCECFC"/>
          </w:tcPr>
          <w:p>
            <w:pPr>
              <w:pStyle w:val="TableParagraph"/>
              <w:tabs>
                <w:tab w:pos="1299" w:val="left" w:leader="none"/>
              </w:tabs>
              <w:rPr>
                <w:sz w:val="20"/>
              </w:rPr>
            </w:pPr>
            <w:r>
              <w:rPr>
                <w:color w:val="231F20"/>
                <w:sz w:val="20"/>
                <w:u w:val="single" w:color="231F20"/>
              </w:rPr>
              <w:t>$</w:t>
              <w:tab/>
              <w:t>2,434</w:t>
            </w:r>
            <w:r>
              <w:rPr>
                <w:color w:val="231F20"/>
                <w:spacing w:val="17"/>
                <w:sz w:val="20"/>
                <w:u w:val="single" w:color="231F20"/>
              </w:rPr>
              <w:t> </w:t>
            </w:r>
          </w:p>
        </w:tc>
        <w:tc>
          <w:tcPr>
            <w:tcW w:w="1857" w:type="dxa"/>
            <w:tcBorders>
              <w:bottom w:val="single" w:sz="4" w:space="0" w:color="231F20"/>
            </w:tcBorders>
            <w:shd w:val="clear" w:color="auto" w:fill="CCECFC"/>
          </w:tcPr>
          <w:p>
            <w:pPr>
              <w:pStyle w:val="TableParagraph"/>
              <w:tabs>
                <w:tab w:pos="1299" w:val="left" w:leader="none"/>
              </w:tabs>
              <w:spacing w:before="58"/>
              <w:jc w:val="right"/>
              <w:rPr>
                <w:sz w:val="20"/>
              </w:rPr>
            </w:pPr>
            <w:r>
              <w:rPr>
                <w:color w:val="231F20"/>
                <w:sz w:val="20"/>
                <w:u w:val="single" w:color="231F20"/>
              </w:rPr>
              <w:t>$</w:t>
              <w:tab/>
              <w:t>2,191</w:t>
            </w:r>
            <w:r>
              <w:rPr>
                <w:color w:val="231F20"/>
                <w:spacing w:val="17"/>
                <w:sz w:val="20"/>
                <w:u w:val="single" w:color="231F20"/>
              </w:rPr>
              <w:t> </w:t>
            </w:r>
          </w:p>
        </w:tc>
      </w:tr>
      <w:tr>
        <w:trPr>
          <w:trHeight w:val="673" w:hRule="exact"/>
        </w:trPr>
        <w:tc>
          <w:tcPr>
            <w:tcW w:w="5406" w:type="dxa"/>
          </w:tcPr>
          <w:p>
            <w:pPr>
              <w:pStyle w:val="TableParagraph"/>
              <w:spacing w:before="0"/>
              <w:rPr>
                <w:b/>
                <w:sz w:val="24"/>
              </w:rPr>
            </w:pPr>
          </w:p>
          <w:p>
            <w:pPr>
              <w:pStyle w:val="TableParagraph"/>
              <w:spacing w:before="143"/>
              <w:ind w:left="360"/>
              <w:rPr>
                <w:b/>
                <w:i/>
                <w:sz w:val="22"/>
              </w:rPr>
            </w:pPr>
            <w:r>
              <w:rPr>
                <w:b/>
                <w:i/>
                <w:color w:val="231F20"/>
                <w:sz w:val="22"/>
              </w:rPr>
              <w:t>AirTran Long-Term Debt</w:t>
            </w:r>
          </w:p>
        </w:tc>
        <w:tc>
          <w:tcPr>
            <w:tcW w:w="1857" w:type="dxa"/>
            <w:tcBorders>
              <w:top w:val="single" w:sz="4" w:space="0" w:color="231F20"/>
            </w:tcBorders>
          </w:tcPr>
          <w:p>
            <w:pPr/>
          </w:p>
        </w:tc>
        <w:tc>
          <w:tcPr>
            <w:tcW w:w="1857" w:type="dxa"/>
            <w:tcBorders>
              <w:top w:val="single" w:sz="4" w:space="0" w:color="231F20"/>
            </w:tcBorders>
          </w:tcPr>
          <w:p>
            <w:pPr/>
          </w:p>
        </w:tc>
      </w:tr>
    </w:tbl>
    <w:p>
      <w:pPr>
        <w:pStyle w:val="BodyText"/>
        <w:spacing w:before="10"/>
        <w:rPr>
          <w:b/>
          <w:sz w:val="31"/>
        </w:rPr>
      </w:pPr>
    </w:p>
    <w:p>
      <w:pPr>
        <w:pStyle w:val="BodyText"/>
        <w:spacing w:line="247" w:lineRule="auto"/>
        <w:ind w:left="100" w:right="118" w:firstLine="720"/>
        <w:jc w:val="both"/>
      </w:pPr>
      <w:r>
        <w:rPr/>
        <w:pict>
          <v:group style="position:absolute;margin-left:69pt;margin-top:-68.230667pt;width:456.25pt;height:13.5pt;mso-position-horizontal-relative:page;mso-position-vertical-relative:paragraph;z-index:-405544" coordorigin="1380,-1365" coordsize="9125,270">
            <v:rect style="position:absolute;left:1380;top:-1355;width:9120;height:260" filled="true" fillcolor="#ccecfc" stroked="false">
              <v:fill type="solid"/>
            </v:rect>
            <v:line style="position:absolute" from="8683,-1360" to="10500,-1360" stroked="true" strokeweight=".5pt" strokecolor="#231f20">
              <v:stroke dashstyle="solid"/>
            </v:line>
            <w10:wrap type="none"/>
          </v:group>
        </w:pict>
      </w:r>
      <w:r>
        <w:rPr>
          <w:color w:val="231F20"/>
        </w:rPr>
        <w:t>AirTran Holdings previously entered into aircraft purchase financing facilities, under which a total of 22 737-700 aircraft were financed as of December 31, 2014.</w:t>
      </w:r>
    </w:p>
    <w:p>
      <w:pPr>
        <w:pStyle w:val="BodyText"/>
        <w:spacing w:before="9"/>
        <w:rPr>
          <w:sz w:val="20"/>
        </w:rPr>
      </w:pPr>
    </w:p>
    <w:p>
      <w:pPr>
        <w:pStyle w:val="BodyText"/>
        <w:spacing w:line="247" w:lineRule="auto"/>
        <w:ind w:left="100" w:right="117" w:firstLine="720"/>
        <w:jc w:val="both"/>
      </w:pPr>
      <w:r>
        <w:rPr>
          <w:color w:val="231F20"/>
        </w:rPr>
        <w:t>As of December 31, 2014, after prepaying aircraft secured term loans for eight aircraft during 2012 and the first half of 2013, 19 Boeing 737 aircraft remain that were financed under floating-rate facilities. Each note is secured by a first mortgage on the aircraft to which it relates. The notes bear interest at a floating rate per annum equal to a margin plus the three or six-month LIBOR in effect at the commencement of each semi-annual or three-month period, as applicable. As of December 31, 2014, the weighted average interest rate was 1.66 percent. Principal and interest under the notes are payable semi-annually or every three months as applicable. As of December 31, 2014, the remaining debt outstanding may be prepaid without penalty under all aircraft loans provided under such facilities. The notes  mature  in years  2016  to 2020.  As  discussed  further in Note  10, a portion of the    </w:t>
      </w:r>
      <w:r>
        <w:rPr>
          <w:color w:val="231F20"/>
          <w:spacing w:val="31"/>
        </w:rPr>
        <w:t> </w:t>
      </w:r>
      <w:r>
        <w:rPr>
          <w:color w:val="231F20"/>
        </w:rPr>
        <w:t>above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floating-rate debt has been effectively converted to a fixed rate via interest rate swap agreements which expire between 2016 and 2020.</w:t>
      </w:r>
    </w:p>
    <w:p>
      <w:pPr>
        <w:pStyle w:val="BodyText"/>
        <w:spacing w:before="9"/>
        <w:rPr>
          <w:sz w:val="20"/>
        </w:rPr>
      </w:pPr>
    </w:p>
    <w:p>
      <w:pPr>
        <w:pStyle w:val="BodyText"/>
        <w:spacing w:line="247" w:lineRule="auto"/>
        <w:ind w:left="100" w:right="117" w:firstLine="720"/>
        <w:jc w:val="both"/>
      </w:pPr>
      <w:r>
        <w:rPr>
          <w:color w:val="231F20"/>
        </w:rPr>
        <w:t>As of December 31, 2014, three Boeing 737 aircraft were financed under a fixed-rate facility. Each note is secured by a first mortgage on the aircraft to which it relates. As of December 31, 2014, the weighted average interest rate was 7.02 percent. Payments of principal and interest under the notes are due semi-annually. The notes mature in years 2016 to 2018.</w:t>
      </w:r>
    </w:p>
    <w:p>
      <w:pPr>
        <w:pStyle w:val="BodyText"/>
        <w:spacing w:before="9"/>
        <w:rPr>
          <w:sz w:val="20"/>
        </w:rPr>
      </w:pPr>
    </w:p>
    <w:p>
      <w:pPr>
        <w:pStyle w:val="BodyText"/>
        <w:spacing w:line="247" w:lineRule="auto"/>
        <w:ind w:left="100" w:right="117" w:firstLine="720"/>
        <w:jc w:val="both"/>
      </w:pPr>
      <w:r>
        <w:rPr>
          <w:color w:val="231F20"/>
        </w:rPr>
        <w:t>As of December 31, 2014, Boeing 717 aircraft previously pledged as collateral for </w:t>
      </w:r>
      <w:r>
        <w:rPr>
          <w:color w:val="231F20"/>
          <w:spacing w:val="-2"/>
        </w:rPr>
        <w:t>the </w:t>
      </w:r>
      <w:r>
        <w:rPr>
          <w:color w:val="231F20"/>
        </w:rPr>
        <w:t>obligations</w:t>
      </w:r>
      <w:r>
        <w:rPr>
          <w:color w:val="231F20"/>
          <w:spacing w:val="-6"/>
        </w:rPr>
        <w:t> </w:t>
      </w:r>
      <w:r>
        <w:rPr>
          <w:color w:val="231F20"/>
        </w:rPr>
        <w:t>related</w:t>
      </w:r>
      <w:r>
        <w:rPr>
          <w:color w:val="231F20"/>
          <w:spacing w:val="-6"/>
        </w:rPr>
        <w:t> </w:t>
      </w:r>
      <w:r>
        <w:rPr>
          <w:color w:val="231F20"/>
        </w:rPr>
        <w:t>to</w:t>
      </w:r>
      <w:r>
        <w:rPr>
          <w:color w:val="231F20"/>
          <w:spacing w:val="-6"/>
        </w:rPr>
        <w:t> </w:t>
      </w:r>
      <w:r>
        <w:rPr>
          <w:color w:val="231F20"/>
        </w:rPr>
        <w:t>enhanced</w:t>
      </w:r>
      <w:r>
        <w:rPr>
          <w:color w:val="231F20"/>
          <w:spacing w:val="-6"/>
        </w:rPr>
        <w:t> </w:t>
      </w:r>
      <w:r>
        <w:rPr>
          <w:color w:val="231F20"/>
        </w:rPr>
        <w:t>equipment</w:t>
      </w:r>
      <w:r>
        <w:rPr>
          <w:color w:val="231F20"/>
          <w:spacing w:val="-6"/>
        </w:rPr>
        <w:t> </w:t>
      </w:r>
      <w:r>
        <w:rPr>
          <w:color w:val="231F20"/>
        </w:rPr>
        <w:t>trust</w:t>
      </w:r>
      <w:r>
        <w:rPr>
          <w:color w:val="231F20"/>
          <w:spacing w:val="-7"/>
        </w:rPr>
        <w:t> </w:t>
      </w:r>
      <w:r>
        <w:rPr>
          <w:color w:val="231F20"/>
        </w:rPr>
        <w:t>certificates</w:t>
      </w:r>
      <w:r>
        <w:rPr>
          <w:color w:val="231F20"/>
          <w:spacing w:val="-6"/>
        </w:rPr>
        <w:t> </w:t>
      </w:r>
      <w:r>
        <w:rPr>
          <w:color w:val="231F20"/>
        </w:rPr>
        <w:t>(EETCs)</w:t>
      </w:r>
      <w:r>
        <w:rPr>
          <w:color w:val="231F20"/>
          <w:spacing w:val="-7"/>
        </w:rPr>
        <w:t> </w:t>
      </w:r>
      <w:r>
        <w:rPr>
          <w:color w:val="231F20"/>
        </w:rPr>
        <w:t>were</w:t>
      </w:r>
      <w:r>
        <w:rPr>
          <w:color w:val="231F20"/>
          <w:spacing w:val="-6"/>
        </w:rPr>
        <w:t> </w:t>
      </w:r>
      <w:r>
        <w:rPr>
          <w:color w:val="231F20"/>
        </w:rPr>
        <w:t>paid</w:t>
      </w:r>
      <w:r>
        <w:rPr>
          <w:color w:val="231F20"/>
          <w:spacing w:val="-6"/>
        </w:rPr>
        <w:t> </w:t>
      </w:r>
      <w:r>
        <w:rPr>
          <w:color w:val="231F20"/>
        </w:rPr>
        <w:t>in</w:t>
      </w:r>
      <w:r>
        <w:rPr>
          <w:color w:val="231F20"/>
          <w:spacing w:val="-6"/>
        </w:rPr>
        <w:t> </w:t>
      </w:r>
      <w:r>
        <w:rPr>
          <w:color w:val="231F20"/>
        </w:rPr>
        <w:t>full.</w:t>
      </w:r>
      <w:r>
        <w:rPr>
          <w:color w:val="231F20"/>
          <w:spacing w:val="-6"/>
        </w:rPr>
        <w:t> </w:t>
      </w:r>
      <w:r>
        <w:rPr>
          <w:color w:val="231F20"/>
        </w:rPr>
        <w:t>On</w:t>
      </w:r>
      <w:r>
        <w:rPr>
          <w:color w:val="231F20"/>
          <w:spacing w:val="-6"/>
        </w:rPr>
        <w:t> </w:t>
      </w:r>
      <w:r>
        <w:rPr>
          <w:color w:val="231F20"/>
        </w:rPr>
        <w:t>April</w:t>
      </w:r>
      <w:r>
        <w:rPr>
          <w:color w:val="231F20"/>
          <w:spacing w:val="-7"/>
        </w:rPr>
        <w:t> </w:t>
      </w:r>
      <w:r>
        <w:rPr>
          <w:color w:val="231F20"/>
        </w:rPr>
        <w:t>1,</w:t>
      </w:r>
      <w:r>
        <w:rPr>
          <w:color w:val="231F20"/>
          <w:spacing w:val="-6"/>
        </w:rPr>
        <w:t> </w:t>
      </w:r>
      <w:r>
        <w:rPr>
          <w:color w:val="231F20"/>
        </w:rPr>
        <w:t>2014, the </w:t>
      </w:r>
      <w:r>
        <w:rPr>
          <w:color w:val="231F20"/>
          <w:spacing w:val="-3"/>
        </w:rPr>
        <w:t>Company prepaid </w:t>
      </w:r>
      <w:r>
        <w:rPr>
          <w:color w:val="231F20"/>
        </w:rPr>
        <w:t>a </w:t>
      </w:r>
      <w:r>
        <w:rPr>
          <w:color w:val="231F20"/>
          <w:spacing w:val="-3"/>
        </w:rPr>
        <w:t>portion </w:t>
      </w:r>
      <w:r>
        <w:rPr>
          <w:color w:val="231F20"/>
        </w:rPr>
        <w:t>of its </w:t>
      </w:r>
      <w:r>
        <w:rPr>
          <w:color w:val="231F20"/>
          <w:spacing w:val="-3"/>
        </w:rPr>
        <w:t>Fixed-rate </w:t>
      </w:r>
      <w:r>
        <w:rPr>
          <w:color w:val="231F20"/>
        </w:rPr>
        <w:t>717 </w:t>
      </w:r>
      <w:r>
        <w:rPr>
          <w:color w:val="231F20"/>
          <w:spacing w:val="-3"/>
        </w:rPr>
        <w:t>Aircraft Notes payable </w:t>
      </w:r>
      <w:r>
        <w:rPr>
          <w:color w:val="231F20"/>
        </w:rPr>
        <w:t>in the </w:t>
      </w:r>
      <w:r>
        <w:rPr>
          <w:color w:val="231F20"/>
          <w:spacing w:val="-3"/>
        </w:rPr>
        <w:t>amount </w:t>
      </w:r>
      <w:r>
        <w:rPr>
          <w:color w:val="231F20"/>
        </w:rPr>
        <w:t>of $35 </w:t>
      </w:r>
      <w:r>
        <w:rPr>
          <w:color w:val="231F20"/>
          <w:spacing w:val="-3"/>
        </w:rPr>
        <w:t>million </w:t>
      </w:r>
      <w:r>
        <w:rPr>
          <w:color w:val="231F20"/>
        </w:rPr>
        <w:t>prior to their 2017 maturity date. On October 1, 2014, the Company prepaid the remainder of its </w:t>
      </w:r>
      <w:r>
        <w:rPr>
          <w:color w:val="231F20"/>
          <w:spacing w:val="-2"/>
        </w:rPr>
        <w:t>Fixed- </w:t>
      </w:r>
      <w:r>
        <w:rPr>
          <w:color w:val="231F20"/>
        </w:rPr>
        <w:t>rate 717 Aircraft Notes payable in the amount of $7 million. As a result of the early repayment, </w:t>
      </w:r>
      <w:r>
        <w:rPr>
          <w:color w:val="231F20"/>
          <w:spacing w:val="-2"/>
        </w:rPr>
        <w:t>the </w:t>
      </w:r>
      <w:r>
        <w:rPr>
          <w:color w:val="231F20"/>
        </w:rPr>
        <w:t>Company</w:t>
      </w:r>
      <w:r>
        <w:rPr>
          <w:color w:val="231F20"/>
          <w:spacing w:val="-5"/>
        </w:rPr>
        <w:t> </w:t>
      </w:r>
      <w:r>
        <w:rPr>
          <w:color w:val="231F20"/>
        </w:rPr>
        <w:t>incurred</w:t>
      </w:r>
      <w:r>
        <w:rPr>
          <w:color w:val="231F20"/>
          <w:spacing w:val="-5"/>
        </w:rPr>
        <w:t> </w:t>
      </w:r>
      <w:r>
        <w:rPr>
          <w:color w:val="231F20"/>
        </w:rPr>
        <w:t>a</w:t>
      </w:r>
      <w:r>
        <w:rPr>
          <w:color w:val="231F20"/>
          <w:spacing w:val="-5"/>
        </w:rPr>
        <w:t> </w:t>
      </w:r>
      <w:r>
        <w:rPr>
          <w:color w:val="231F20"/>
        </w:rPr>
        <w:t>$6</w:t>
      </w:r>
      <w:r>
        <w:rPr>
          <w:color w:val="231F20"/>
          <w:spacing w:val="-5"/>
        </w:rPr>
        <w:t> </w:t>
      </w:r>
      <w:r>
        <w:rPr>
          <w:color w:val="231F20"/>
        </w:rPr>
        <w:t>million</w:t>
      </w:r>
      <w:r>
        <w:rPr>
          <w:color w:val="231F20"/>
          <w:spacing w:val="-5"/>
        </w:rPr>
        <w:t> </w:t>
      </w:r>
      <w:r>
        <w:rPr>
          <w:color w:val="231F20"/>
        </w:rPr>
        <w:t>make-whole</w:t>
      </w:r>
      <w:r>
        <w:rPr>
          <w:color w:val="231F20"/>
          <w:spacing w:val="-5"/>
        </w:rPr>
        <w:t> </w:t>
      </w:r>
      <w:r>
        <w:rPr>
          <w:color w:val="231F20"/>
        </w:rPr>
        <w:t>penalty,</w:t>
      </w:r>
      <w:r>
        <w:rPr>
          <w:color w:val="231F20"/>
          <w:spacing w:val="-5"/>
        </w:rPr>
        <w:t> </w:t>
      </w:r>
      <w:r>
        <w:rPr>
          <w:color w:val="231F20"/>
        </w:rPr>
        <w:t>representing</w:t>
      </w:r>
      <w:r>
        <w:rPr>
          <w:color w:val="231F20"/>
          <w:spacing w:val="-5"/>
        </w:rPr>
        <w:t> </w:t>
      </w:r>
      <w:r>
        <w:rPr>
          <w:color w:val="231F20"/>
        </w:rPr>
        <w:t>the</w:t>
      </w:r>
      <w:r>
        <w:rPr>
          <w:color w:val="231F20"/>
          <w:spacing w:val="-5"/>
        </w:rPr>
        <w:t> </w:t>
      </w:r>
      <w:r>
        <w:rPr>
          <w:color w:val="231F20"/>
        </w:rPr>
        <w:t>present</w:t>
      </w:r>
      <w:r>
        <w:rPr>
          <w:color w:val="231F20"/>
          <w:spacing w:val="-5"/>
        </w:rPr>
        <w:t> </w:t>
      </w:r>
      <w:r>
        <w:rPr>
          <w:color w:val="231F20"/>
        </w:rPr>
        <w:t>value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future</w:t>
      </w:r>
      <w:r>
        <w:rPr>
          <w:color w:val="231F20"/>
          <w:spacing w:val="-5"/>
        </w:rPr>
        <w:t> </w:t>
      </w:r>
      <w:r>
        <w:rPr>
          <w:color w:val="231F20"/>
          <w:spacing w:val="-3"/>
        </w:rPr>
        <w:t>interest </w:t>
      </w:r>
      <w:r>
        <w:rPr>
          <w:color w:val="231F20"/>
        </w:rPr>
        <w:t>payments on the notes, which is reflected as a component of Interest expense in the </w:t>
      </w:r>
      <w:r>
        <w:rPr>
          <w:color w:val="231F20"/>
          <w:spacing w:val="-2"/>
        </w:rPr>
        <w:t>Consolidated </w:t>
      </w:r>
      <w:r>
        <w:rPr>
          <w:color w:val="231F20"/>
        </w:rPr>
        <w:t>Statement</w:t>
      </w:r>
      <w:r>
        <w:rPr>
          <w:color w:val="231F20"/>
          <w:spacing w:val="-11"/>
        </w:rPr>
        <w:t> </w:t>
      </w:r>
      <w:r>
        <w:rPr>
          <w:color w:val="231F20"/>
        </w:rPr>
        <w:t>of</w:t>
      </w:r>
      <w:r>
        <w:rPr>
          <w:color w:val="231F20"/>
          <w:spacing w:val="-11"/>
        </w:rPr>
        <w:t> </w:t>
      </w:r>
      <w:r>
        <w:rPr>
          <w:color w:val="231F20"/>
        </w:rPr>
        <w:t>Income.</w:t>
      </w:r>
      <w:r>
        <w:rPr>
          <w:color w:val="231F20"/>
          <w:spacing w:val="-10"/>
        </w:rPr>
        <w:t> </w:t>
      </w:r>
      <w:r>
        <w:rPr>
          <w:color w:val="231F20"/>
        </w:rPr>
        <w:t>In</w:t>
      </w:r>
      <w:r>
        <w:rPr>
          <w:color w:val="231F20"/>
          <w:spacing w:val="-10"/>
        </w:rPr>
        <w:t> </w:t>
      </w:r>
      <w:r>
        <w:rPr>
          <w:color w:val="231F20"/>
        </w:rPr>
        <w:t>addition,</w:t>
      </w:r>
      <w:r>
        <w:rPr>
          <w:color w:val="231F20"/>
          <w:spacing w:val="-10"/>
        </w:rPr>
        <w:t> </w:t>
      </w:r>
      <w:r>
        <w:rPr>
          <w:color w:val="231F20"/>
        </w:rPr>
        <w:t>the</w:t>
      </w:r>
      <w:r>
        <w:rPr>
          <w:color w:val="231F20"/>
          <w:spacing w:val="-10"/>
        </w:rPr>
        <w:t> </w:t>
      </w:r>
      <w:r>
        <w:rPr>
          <w:color w:val="231F20"/>
        </w:rPr>
        <w:t>Company</w:t>
      </w:r>
      <w:r>
        <w:rPr>
          <w:color w:val="231F20"/>
          <w:spacing w:val="-11"/>
        </w:rPr>
        <w:t> </w:t>
      </w:r>
      <w:r>
        <w:rPr>
          <w:color w:val="231F20"/>
        </w:rPr>
        <w:t>wrote</w:t>
      </w:r>
      <w:r>
        <w:rPr>
          <w:color w:val="231F20"/>
          <w:spacing w:val="-11"/>
        </w:rPr>
        <w:t> </w:t>
      </w:r>
      <w:r>
        <w:rPr>
          <w:color w:val="231F20"/>
        </w:rPr>
        <w:t>off</w:t>
      </w:r>
      <w:r>
        <w:rPr>
          <w:color w:val="231F20"/>
          <w:spacing w:val="-12"/>
        </w:rPr>
        <w:t> </w:t>
      </w:r>
      <w:r>
        <w:rPr>
          <w:color w:val="231F20"/>
        </w:rPr>
        <w:t>the</w:t>
      </w:r>
      <w:r>
        <w:rPr>
          <w:color w:val="231F20"/>
          <w:spacing w:val="-11"/>
        </w:rPr>
        <w:t> </w:t>
      </w:r>
      <w:r>
        <w:rPr>
          <w:color w:val="231F20"/>
        </w:rPr>
        <w:t>remainder</w:t>
      </w:r>
      <w:r>
        <w:rPr>
          <w:color w:val="231F20"/>
          <w:spacing w:val="-12"/>
        </w:rPr>
        <w:t> </w:t>
      </w:r>
      <w:r>
        <w:rPr>
          <w:color w:val="231F20"/>
        </w:rPr>
        <w:t>of</w:t>
      </w:r>
      <w:r>
        <w:rPr>
          <w:color w:val="231F20"/>
          <w:spacing w:val="-12"/>
        </w:rPr>
        <w:t> </w:t>
      </w:r>
      <w:r>
        <w:rPr>
          <w:color w:val="231F20"/>
        </w:rPr>
        <w:t>its</w:t>
      </w:r>
      <w:r>
        <w:rPr>
          <w:color w:val="231F20"/>
          <w:spacing w:val="-11"/>
        </w:rPr>
        <w:t> </w:t>
      </w:r>
      <w:r>
        <w:rPr>
          <w:color w:val="231F20"/>
        </w:rPr>
        <w:t>unamortized</w:t>
      </w:r>
      <w:r>
        <w:rPr>
          <w:color w:val="231F20"/>
          <w:spacing w:val="-11"/>
        </w:rPr>
        <w:t> </w:t>
      </w:r>
      <w:r>
        <w:rPr>
          <w:color w:val="231F20"/>
        </w:rPr>
        <w:t>debt</w:t>
      </w:r>
      <w:r>
        <w:rPr>
          <w:color w:val="231F20"/>
          <w:spacing w:val="-12"/>
        </w:rPr>
        <w:t> </w:t>
      </w:r>
      <w:r>
        <w:rPr>
          <w:color w:val="231F20"/>
        </w:rPr>
        <w:t>premium associated with these notes in second quarter 2014, in the amount of $5 million, which is reflected as a reduction</w:t>
      </w:r>
      <w:r>
        <w:rPr>
          <w:color w:val="231F20"/>
          <w:spacing w:val="-15"/>
        </w:rPr>
        <w:t> </w:t>
      </w:r>
      <w:r>
        <w:rPr>
          <w:color w:val="231F20"/>
        </w:rPr>
        <w:t>to</w:t>
      </w:r>
      <w:r>
        <w:rPr>
          <w:color w:val="231F20"/>
          <w:spacing w:val="-15"/>
        </w:rPr>
        <w:t> </w:t>
      </w:r>
      <w:r>
        <w:rPr>
          <w:color w:val="231F20"/>
        </w:rPr>
        <w:t>Interest</w:t>
      </w:r>
      <w:r>
        <w:rPr>
          <w:color w:val="231F20"/>
          <w:spacing w:val="-15"/>
        </w:rPr>
        <w:t> </w:t>
      </w:r>
      <w:r>
        <w:rPr>
          <w:color w:val="231F20"/>
        </w:rPr>
        <w:t>expense</w:t>
      </w:r>
      <w:r>
        <w:rPr>
          <w:color w:val="231F20"/>
          <w:spacing w:val="-14"/>
        </w:rPr>
        <w:t> </w:t>
      </w:r>
      <w:r>
        <w:rPr>
          <w:color w:val="231F20"/>
        </w:rPr>
        <w:t>in</w:t>
      </w:r>
      <w:r>
        <w:rPr>
          <w:color w:val="231F20"/>
          <w:spacing w:val="-15"/>
        </w:rPr>
        <w:t> </w:t>
      </w:r>
      <w:r>
        <w:rPr>
          <w:color w:val="231F20"/>
        </w:rPr>
        <w:t>the</w:t>
      </w:r>
      <w:r>
        <w:rPr>
          <w:color w:val="231F20"/>
          <w:spacing w:val="-14"/>
        </w:rPr>
        <w:t> </w:t>
      </w:r>
      <w:r>
        <w:rPr>
          <w:color w:val="231F20"/>
        </w:rPr>
        <w:t>Consolidated</w:t>
      </w:r>
      <w:r>
        <w:rPr>
          <w:color w:val="231F20"/>
          <w:spacing w:val="-15"/>
        </w:rPr>
        <w:t> </w:t>
      </w:r>
      <w:r>
        <w:rPr>
          <w:color w:val="231F20"/>
        </w:rPr>
        <w:t>Statement</w:t>
      </w:r>
      <w:r>
        <w:rPr>
          <w:color w:val="231F20"/>
          <w:spacing w:val="-15"/>
        </w:rPr>
        <w:t> </w:t>
      </w:r>
      <w:r>
        <w:rPr>
          <w:color w:val="231F20"/>
        </w:rPr>
        <w:t>of</w:t>
      </w:r>
      <w:r>
        <w:rPr>
          <w:color w:val="231F20"/>
          <w:spacing w:val="-15"/>
        </w:rPr>
        <w:t> </w:t>
      </w:r>
      <w:r>
        <w:rPr>
          <w:color w:val="231F20"/>
          <w:spacing w:val="-3"/>
        </w:rPr>
        <w:t>Income.</w:t>
      </w:r>
    </w:p>
    <w:p>
      <w:pPr>
        <w:pStyle w:val="BodyText"/>
        <w:spacing w:before="9"/>
        <w:rPr>
          <w:sz w:val="20"/>
        </w:rPr>
      </w:pPr>
    </w:p>
    <w:p>
      <w:pPr>
        <w:pStyle w:val="BodyText"/>
        <w:spacing w:line="247" w:lineRule="auto"/>
        <w:ind w:left="100" w:right="120" w:firstLine="720"/>
        <w:jc w:val="both"/>
      </w:pPr>
      <w:r>
        <w:rPr>
          <w:color w:val="231F20"/>
          <w:spacing w:val="-3"/>
        </w:rPr>
        <w:t>In </w:t>
      </w:r>
      <w:r>
        <w:rPr>
          <w:color w:val="231F20"/>
          <w:spacing w:val="-5"/>
        </w:rPr>
        <w:t>October </w:t>
      </w:r>
      <w:r>
        <w:rPr>
          <w:color w:val="231F20"/>
          <w:spacing w:val="-4"/>
        </w:rPr>
        <w:t>2009, </w:t>
      </w:r>
      <w:r>
        <w:rPr>
          <w:color w:val="231F20"/>
          <w:spacing w:val="-5"/>
        </w:rPr>
        <w:t>AirTran Holdings completed </w:t>
      </w:r>
      <w:r>
        <w:rPr>
          <w:color w:val="231F20"/>
        </w:rPr>
        <w:t>a </w:t>
      </w:r>
      <w:r>
        <w:rPr>
          <w:color w:val="231F20"/>
          <w:spacing w:val="-5"/>
        </w:rPr>
        <w:t>public offering </w:t>
      </w:r>
      <w:r>
        <w:rPr>
          <w:color w:val="231F20"/>
          <w:spacing w:val="-3"/>
        </w:rPr>
        <w:t>of </w:t>
      </w:r>
      <w:r>
        <w:rPr>
          <w:color w:val="231F20"/>
          <w:spacing w:val="-4"/>
        </w:rPr>
        <w:t>$115 </w:t>
      </w:r>
      <w:r>
        <w:rPr>
          <w:color w:val="231F20"/>
          <w:spacing w:val="-5"/>
        </w:rPr>
        <w:t>million </w:t>
      </w:r>
      <w:r>
        <w:rPr>
          <w:color w:val="231F20"/>
        </w:rPr>
        <w:t>of </w:t>
      </w:r>
      <w:r>
        <w:rPr>
          <w:color w:val="231F20"/>
          <w:spacing w:val="-5"/>
        </w:rPr>
        <w:t>convertible </w:t>
      </w:r>
      <w:r>
        <w:rPr>
          <w:color w:val="231F20"/>
          <w:spacing w:val="-4"/>
        </w:rPr>
        <w:t>senior notes </w:t>
      </w:r>
      <w:r>
        <w:rPr>
          <w:color w:val="231F20"/>
          <w:spacing w:val="-3"/>
        </w:rPr>
        <w:t>due </w:t>
      </w:r>
      <w:r>
        <w:rPr>
          <w:color w:val="231F20"/>
        </w:rPr>
        <w:t>in </w:t>
      </w:r>
      <w:r>
        <w:rPr>
          <w:color w:val="231F20"/>
          <w:spacing w:val="-4"/>
        </w:rPr>
        <w:t>2016. </w:t>
      </w:r>
      <w:r>
        <w:rPr>
          <w:color w:val="231F20"/>
          <w:spacing w:val="-3"/>
        </w:rPr>
        <w:t>Such </w:t>
      </w:r>
      <w:r>
        <w:rPr>
          <w:color w:val="231F20"/>
          <w:spacing w:val="-4"/>
        </w:rPr>
        <w:t>notes </w:t>
      </w:r>
      <w:r>
        <w:rPr>
          <w:color w:val="231F20"/>
          <w:spacing w:val="-3"/>
        </w:rPr>
        <w:t>bear </w:t>
      </w:r>
      <w:r>
        <w:rPr>
          <w:color w:val="231F20"/>
          <w:spacing w:val="-4"/>
        </w:rPr>
        <w:t>interest </w:t>
      </w:r>
      <w:r>
        <w:rPr>
          <w:color w:val="231F20"/>
        </w:rPr>
        <w:t>at </w:t>
      </w:r>
      <w:r>
        <w:rPr>
          <w:color w:val="231F20"/>
          <w:spacing w:val="-3"/>
        </w:rPr>
        <w:t>5.25 </w:t>
      </w:r>
      <w:r>
        <w:rPr>
          <w:color w:val="231F20"/>
          <w:spacing w:val="-4"/>
        </w:rPr>
        <w:t>percent payable semi-annually, </w:t>
      </w:r>
      <w:r>
        <w:rPr>
          <w:color w:val="231F20"/>
          <w:spacing w:val="-3"/>
        </w:rPr>
        <w:t>in </w:t>
      </w:r>
      <w:r>
        <w:rPr>
          <w:color w:val="231F20"/>
          <w:spacing w:val="-4"/>
        </w:rPr>
        <w:t>arrears, on </w:t>
      </w:r>
      <w:r>
        <w:rPr>
          <w:color w:val="231F20"/>
          <w:spacing w:val="47"/>
        </w:rPr>
        <w:t> </w:t>
      </w:r>
      <w:r>
        <w:rPr>
          <w:color w:val="231F20"/>
          <w:spacing w:val="-3"/>
        </w:rPr>
        <w:t>May </w:t>
      </w:r>
      <w:r>
        <w:rPr>
          <w:color w:val="231F20"/>
        </w:rPr>
        <w:t>1 </w:t>
      </w:r>
      <w:r>
        <w:rPr>
          <w:color w:val="231F20"/>
          <w:spacing w:val="-3"/>
        </w:rPr>
        <w:t>and </w:t>
      </w:r>
      <w:r>
        <w:rPr>
          <w:color w:val="231F20"/>
          <w:spacing w:val="-4"/>
        </w:rPr>
        <w:t>November </w:t>
      </w:r>
      <w:r>
        <w:rPr>
          <w:color w:val="231F20"/>
        </w:rPr>
        <w:t>1. As a </w:t>
      </w:r>
      <w:r>
        <w:rPr>
          <w:color w:val="231F20"/>
          <w:spacing w:val="-4"/>
        </w:rPr>
        <w:t>result </w:t>
      </w:r>
      <w:r>
        <w:rPr>
          <w:color w:val="231F20"/>
        </w:rPr>
        <w:t>of </w:t>
      </w:r>
      <w:r>
        <w:rPr>
          <w:color w:val="231F20"/>
          <w:spacing w:val="-3"/>
        </w:rPr>
        <w:t>the </w:t>
      </w:r>
      <w:r>
        <w:rPr>
          <w:color w:val="231F20"/>
          <w:spacing w:val="-4"/>
        </w:rPr>
        <w:t>acquisition </w:t>
      </w:r>
      <w:r>
        <w:rPr>
          <w:color w:val="231F20"/>
          <w:spacing w:val="-3"/>
        </w:rPr>
        <w:t>and </w:t>
      </w:r>
      <w:r>
        <w:rPr>
          <w:color w:val="231F20"/>
          <w:spacing w:val="-4"/>
        </w:rPr>
        <w:t>subsequent dividends declared </w:t>
      </w:r>
      <w:r>
        <w:rPr>
          <w:color w:val="231F20"/>
        </w:rPr>
        <w:t>by </w:t>
      </w:r>
      <w:r>
        <w:rPr>
          <w:color w:val="231F20"/>
          <w:spacing w:val="-3"/>
        </w:rPr>
        <w:t>the </w:t>
      </w:r>
      <w:r>
        <w:rPr>
          <w:color w:val="231F20"/>
          <w:spacing w:val="-4"/>
        </w:rPr>
        <w:t>Company, the </w:t>
      </w:r>
      <w:r>
        <w:rPr>
          <w:color w:val="231F20"/>
          <w:spacing w:val="-5"/>
        </w:rPr>
        <w:t>convertible senior </w:t>
      </w:r>
      <w:r>
        <w:rPr>
          <w:color w:val="231F20"/>
          <w:spacing w:val="-4"/>
        </w:rPr>
        <w:t>notes are </w:t>
      </w:r>
      <w:r>
        <w:rPr>
          <w:color w:val="231F20"/>
          <w:spacing w:val="-5"/>
        </w:rPr>
        <w:t>convertible </w:t>
      </w:r>
      <w:r>
        <w:rPr>
          <w:color w:val="231F20"/>
          <w:spacing w:val="-4"/>
        </w:rPr>
        <w:t>into </w:t>
      </w:r>
      <w:r>
        <w:rPr>
          <w:color w:val="231F20"/>
          <w:spacing w:val="-5"/>
        </w:rPr>
        <w:t>AirTran conversion </w:t>
      </w:r>
      <w:r>
        <w:rPr>
          <w:color w:val="231F20"/>
          <w:spacing w:val="-4"/>
        </w:rPr>
        <w:t>units </w:t>
      </w:r>
      <w:r>
        <w:rPr>
          <w:color w:val="231F20"/>
          <w:spacing w:val="-3"/>
        </w:rPr>
        <w:t>of </w:t>
      </w:r>
      <w:r>
        <w:rPr>
          <w:color w:val="231F20"/>
          <w:spacing w:val="-5"/>
        </w:rPr>
        <w:t>167.5224 </w:t>
      </w:r>
      <w:r>
        <w:rPr>
          <w:color w:val="231F20"/>
          <w:spacing w:val="-4"/>
        </w:rPr>
        <w:t>per </w:t>
      </w:r>
      <w:r>
        <w:rPr>
          <w:color w:val="231F20"/>
          <w:spacing w:val="-5"/>
        </w:rPr>
        <w:t>$1,000  in </w:t>
      </w:r>
      <w:r>
        <w:rPr>
          <w:color w:val="231F20"/>
          <w:spacing w:val="-4"/>
        </w:rPr>
        <w:t>principal amount </w:t>
      </w:r>
      <w:r>
        <w:rPr>
          <w:color w:val="231F20"/>
        </w:rPr>
        <w:t>of </w:t>
      </w:r>
      <w:r>
        <w:rPr>
          <w:color w:val="231F20"/>
          <w:spacing w:val="-3"/>
        </w:rPr>
        <w:t>such </w:t>
      </w:r>
      <w:r>
        <w:rPr>
          <w:color w:val="231F20"/>
          <w:spacing w:val="-4"/>
        </w:rPr>
        <w:t>notes. Based </w:t>
      </w:r>
      <w:r>
        <w:rPr>
          <w:color w:val="231F20"/>
        </w:rPr>
        <w:t>on </w:t>
      </w:r>
      <w:r>
        <w:rPr>
          <w:color w:val="231F20"/>
          <w:spacing w:val="-3"/>
        </w:rPr>
        <w:t>the </w:t>
      </w:r>
      <w:r>
        <w:rPr>
          <w:color w:val="231F20"/>
          <w:spacing w:val="-4"/>
        </w:rPr>
        <w:t>terms </w:t>
      </w:r>
      <w:r>
        <w:rPr>
          <w:color w:val="231F20"/>
        </w:rPr>
        <w:t>of </w:t>
      </w:r>
      <w:r>
        <w:rPr>
          <w:color w:val="231F20"/>
          <w:spacing w:val="-3"/>
        </w:rPr>
        <w:t>the </w:t>
      </w:r>
      <w:r>
        <w:rPr>
          <w:color w:val="231F20"/>
          <w:spacing w:val="-4"/>
        </w:rPr>
        <w:t>merger agreement, </w:t>
      </w:r>
      <w:r>
        <w:rPr>
          <w:color w:val="231F20"/>
          <w:spacing w:val="-3"/>
        </w:rPr>
        <w:t>the </w:t>
      </w:r>
      <w:r>
        <w:rPr>
          <w:color w:val="231F20"/>
          <w:spacing w:val="-4"/>
        </w:rPr>
        <w:t>holders </w:t>
      </w:r>
      <w:r>
        <w:rPr>
          <w:color w:val="231F20"/>
        </w:rPr>
        <w:t>of </w:t>
      </w:r>
      <w:r>
        <w:rPr>
          <w:color w:val="231F20"/>
          <w:spacing w:val="-4"/>
        </w:rPr>
        <w:t>these notes would receive shares </w:t>
      </w:r>
      <w:r>
        <w:rPr>
          <w:color w:val="231F20"/>
        </w:rPr>
        <w:t>of </w:t>
      </w:r>
      <w:r>
        <w:rPr>
          <w:color w:val="231F20"/>
          <w:spacing w:val="-3"/>
        </w:rPr>
        <w:t>the </w:t>
      </w:r>
      <w:r>
        <w:rPr>
          <w:color w:val="231F20"/>
          <w:spacing w:val="-4"/>
        </w:rPr>
        <w:t>Company’s common stock </w:t>
      </w:r>
      <w:r>
        <w:rPr>
          <w:color w:val="231F20"/>
        </w:rPr>
        <w:t>at a </w:t>
      </w:r>
      <w:r>
        <w:rPr>
          <w:color w:val="231F20"/>
          <w:spacing w:val="-4"/>
        </w:rPr>
        <w:t>conversion rate </w:t>
      </w:r>
      <w:r>
        <w:rPr>
          <w:color w:val="231F20"/>
          <w:spacing w:val="-3"/>
        </w:rPr>
        <w:t>of </w:t>
      </w:r>
      <w:r>
        <w:rPr>
          <w:color w:val="231F20"/>
          <w:spacing w:val="-4"/>
        </w:rPr>
        <w:t>53.7747 shares </w:t>
      </w:r>
      <w:r>
        <w:rPr>
          <w:color w:val="231F20"/>
          <w:spacing w:val="-3"/>
        </w:rPr>
        <w:t>and </w:t>
      </w:r>
      <w:r>
        <w:rPr>
          <w:color w:val="231F20"/>
          <w:spacing w:val="-4"/>
        </w:rPr>
        <w:t>$615.16 </w:t>
      </w:r>
      <w:r>
        <w:rPr>
          <w:color w:val="231F20"/>
        </w:rPr>
        <w:t>in </w:t>
      </w:r>
      <w:r>
        <w:rPr>
          <w:color w:val="231F20"/>
          <w:spacing w:val="-3"/>
        </w:rPr>
        <w:t>cash per </w:t>
      </w:r>
      <w:r>
        <w:rPr>
          <w:color w:val="231F20"/>
          <w:spacing w:val="-4"/>
        </w:rPr>
        <w:t>$1,000 </w:t>
      </w:r>
      <w:r>
        <w:rPr>
          <w:color w:val="231F20"/>
        </w:rPr>
        <w:t>in </w:t>
      </w:r>
      <w:r>
        <w:rPr>
          <w:color w:val="231F20"/>
          <w:spacing w:val="-4"/>
        </w:rPr>
        <w:t>principal amount </w:t>
      </w:r>
      <w:r>
        <w:rPr>
          <w:color w:val="231F20"/>
        </w:rPr>
        <w:t>of </w:t>
      </w:r>
      <w:r>
        <w:rPr>
          <w:color w:val="231F20"/>
          <w:spacing w:val="-3"/>
        </w:rPr>
        <w:t>such </w:t>
      </w:r>
      <w:r>
        <w:rPr>
          <w:color w:val="231F20"/>
          <w:spacing w:val="-4"/>
        </w:rPr>
        <w:t>notes. This conversion rate </w:t>
      </w:r>
      <w:r>
        <w:rPr>
          <w:color w:val="231F20"/>
          <w:spacing w:val="-3"/>
        </w:rPr>
        <w:t>is </w:t>
      </w:r>
      <w:r>
        <w:rPr>
          <w:color w:val="231F20"/>
          <w:spacing w:val="-4"/>
        </w:rPr>
        <w:t>subject </w:t>
      </w:r>
      <w:r>
        <w:rPr>
          <w:color w:val="231F20"/>
        </w:rPr>
        <w:t>to </w:t>
      </w:r>
      <w:r>
        <w:rPr>
          <w:color w:val="231F20"/>
          <w:spacing w:val="-4"/>
        </w:rPr>
        <w:t>adjustment under certain circumstances </w:t>
      </w:r>
      <w:r>
        <w:rPr>
          <w:color w:val="231F20"/>
          <w:spacing w:val="-3"/>
        </w:rPr>
        <w:t>such as: </w:t>
      </w:r>
      <w:r>
        <w:rPr>
          <w:color w:val="231F20"/>
          <w:spacing w:val="-4"/>
        </w:rPr>
        <w:t>granting </w:t>
      </w:r>
      <w:r>
        <w:rPr>
          <w:color w:val="231F20"/>
        </w:rPr>
        <w:t>of </w:t>
      </w:r>
      <w:r>
        <w:rPr>
          <w:color w:val="231F20"/>
          <w:spacing w:val="-4"/>
        </w:rPr>
        <w:t>stock </w:t>
      </w:r>
      <w:r>
        <w:rPr>
          <w:color w:val="231F20"/>
          <w:spacing w:val="-3"/>
        </w:rPr>
        <w:t>and cash </w:t>
      </w:r>
      <w:r>
        <w:rPr>
          <w:color w:val="231F20"/>
          <w:spacing w:val="-4"/>
        </w:rPr>
        <w:t>dividends, </w:t>
      </w:r>
      <w:r>
        <w:rPr>
          <w:color w:val="231F20"/>
        </w:rPr>
        <w:t>a </w:t>
      </w:r>
      <w:r>
        <w:rPr>
          <w:color w:val="231F20"/>
          <w:spacing w:val="-4"/>
        </w:rPr>
        <w:t>make-whole fundamental change of ownership provision, </w:t>
      </w:r>
      <w:r>
        <w:rPr>
          <w:color w:val="231F20"/>
          <w:spacing w:val="-3"/>
        </w:rPr>
        <w:t>the </w:t>
      </w:r>
      <w:r>
        <w:rPr>
          <w:color w:val="231F20"/>
          <w:spacing w:val="-4"/>
        </w:rPr>
        <w:t>issuance </w:t>
      </w:r>
      <w:r>
        <w:rPr>
          <w:color w:val="231F20"/>
        </w:rPr>
        <w:t>of </w:t>
      </w:r>
      <w:r>
        <w:rPr>
          <w:color w:val="231F20"/>
          <w:spacing w:val="-4"/>
        </w:rPr>
        <w:t>rights </w:t>
      </w:r>
      <w:r>
        <w:rPr>
          <w:color w:val="231F20"/>
        </w:rPr>
        <w:t>or </w:t>
      </w:r>
      <w:r>
        <w:rPr>
          <w:color w:val="231F20"/>
          <w:spacing w:val="-4"/>
        </w:rPr>
        <w:t>warrants, and/or </w:t>
      </w:r>
      <w:r>
        <w:rPr>
          <w:color w:val="231F20"/>
        </w:rPr>
        <w:t>a </w:t>
      </w:r>
      <w:r>
        <w:rPr>
          <w:color w:val="231F20"/>
          <w:spacing w:val="-4"/>
        </w:rPr>
        <w:t>distribution </w:t>
      </w:r>
      <w:r>
        <w:rPr>
          <w:color w:val="231F20"/>
        </w:rPr>
        <w:t>of </w:t>
      </w:r>
      <w:r>
        <w:rPr>
          <w:color w:val="231F20"/>
          <w:spacing w:val="-4"/>
        </w:rPr>
        <w:t>capital stock. Subsequent to </w:t>
      </w:r>
      <w:r>
        <w:rPr>
          <w:color w:val="231F20"/>
          <w:spacing w:val="-3"/>
        </w:rPr>
        <w:t>the </w:t>
      </w:r>
      <w:r>
        <w:rPr>
          <w:color w:val="231F20"/>
          <w:spacing w:val="-4"/>
        </w:rPr>
        <w:t>acquisition, holders </w:t>
      </w:r>
      <w:r>
        <w:rPr>
          <w:color w:val="231F20"/>
        </w:rPr>
        <w:t>of $5 </w:t>
      </w:r>
      <w:r>
        <w:rPr>
          <w:color w:val="231F20"/>
          <w:spacing w:val="-4"/>
        </w:rPr>
        <w:t>million </w:t>
      </w:r>
      <w:r>
        <w:rPr>
          <w:color w:val="231F20"/>
          <w:spacing w:val="-3"/>
        </w:rPr>
        <w:t>in </w:t>
      </w:r>
      <w:r>
        <w:rPr>
          <w:color w:val="231F20"/>
          <w:spacing w:val="-4"/>
        </w:rPr>
        <w:t>principal amount elected </w:t>
      </w:r>
      <w:r>
        <w:rPr>
          <w:color w:val="231F20"/>
        </w:rPr>
        <w:t>to </w:t>
      </w:r>
      <w:r>
        <w:rPr>
          <w:color w:val="231F20"/>
          <w:spacing w:val="-4"/>
        </w:rPr>
        <w:t>convert their notes. Remaining holders </w:t>
      </w:r>
      <w:r>
        <w:rPr>
          <w:color w:val="231F20"/>
          <w:spacing w:val="-3"/>
        </w:rPr>
        <w:t>may </w:t>
      </w:r>
      <w:r>
        <w:rPr>
          <w:color w:val="231F20"/>
          <w:spacing w:val="-4"/>
        </w:rPr>
        <w:t>convert their convertible senior notes </w:t>
      </w:r>
      <w:r>
        <w:rPr>
          <w:color w:val="231F20"/>
          <w:spacing w:val="-3"/>
        </w:rPr>
        <w:t>into cash and </w:t>
      </w:r>
      <w:r>
        <w:rPr>
          <w:color w:val="231F20"/>
          <w:spacing w:val="-4"/>
        </w:rPr>
        <w:t>shares </w:t>
      </w:r>
      <w:r>
        <w:rPr>
          <w:color w:val="231F20"/>
        </w:rPr>
        <w:t>of </w:t>
      </w:r>
      <w:r>
        <w:rPr>
          <w:color w:val="231F20"/>
          <w:spacing w:val="-4"/>
        </w:rPr>
        <w:t>common stock </w:t>
      </w:r>
      <w:r>
        <w:rPr>
          <w:color w:val="231F20"/>
        </w:rPr>
        <w:t>at </w:t>
      </w:r>
      <w:r>
        <w:rPr>
          <w:color w:val="231F20"/>
          <w:spacing w:val="-4"/>
        </w:rPr>
        <w:t>their option </w:t>
      </w:r>
      <w:r>
        <w:rPr>
          <w:color w:val="231F20"/>
        </w:rPr>
        <w:t>at </w:t>
      </w:r>
      <w:r>
        <w:rPr>
          <w:color w:val="231F20"/>
          <w:spacing w:val="-3"/>
        </w:rPr>
        <w:t>any </w:t>
      </w:r>
      <w:r>
        <w:rPr>
          <w:color w:val="231F20"/>
          <w:spacing w:val="-4"/>
        </w:rPr>
        <w:t>time. </w:t>
      </w:r>
      <w:r>
        <w:rPr>
          <w:color w:val="231F20"/>
        </w:rPr>
        <w:t>As </w:t>
      </w:r>
      <w:r>
        <w:rPr>
          <w:color w:val="231F20"/>
          <w:spacing w:val="-4"/>
        </w:rPr>
        <w:t>such, </w:t>
      </w:r>
      <w:r>
        <w:rPr>
          <w:color w:val="231F20"/>
          <w:spacing w:val="-3"/>
        </w:rPr>
        <w:t>the </w:t>
      </w:r>
      <w:r>
        <w:rPr>
          <w:color w:val="231F20"/>
          <w:spacing w:val="-4"/>
        </w:rPr>
        <w:t>Company </w:t>
      </w:r>
      <w:r>
        <w:rPr>
          <w:color w:val="231F20"/>
          <w:spacing w:val="-3"/>
        </w:rPr>
        <w:t>has </w:t>
      </w:r>
      <w:r>
        <w:rPr>
          <w:color w:val="231F20"/>
          <w:spacing w:val="-4"/>
        </w:rPr>
        <w:t>classified </w:t>
      </w:r>
      <w:r>
        <w:rPr>
          <w:color w:val="231F20"/>
          <w:spacing w:val="-3"/>
        </w:rPr>
        <w:t>$68 </w:t>
      </w:r>
      <w:r>
        <w:rPr>
          <w:color w:val="231F20"/>
          <w:spacing w:val="-4"/>
        </w:rPr>
        <w:t>million, which </w:t>
      </w:r>
      <w:r>
        <w:rPr>
          <w:color w:val="231F20"/>
          <w:spacing w:val="-3"/>
        </w:rPr>
        <w:t>is the cash </w:t>
      </w:r>
      <w:r>
        <w:rPr>
          <w:color w:val="231F20"/>
          <w:spacing w:val="-4"/>
        </w:rPr>
        <w:t>portion </w:t>
      </w:r>
      <w:r>
        <w:rPr>
          <w:color w:val="231F20"/>
          <w:spacing w:val="-3"/>
        </w:rPr>
        <w:t>the </w:t>
      </w:r>
      <w:r>
        <w:rPr>
          <w:color w:val="231F20"/>
          <w:spacing w:val="-4"/>
        </w:rPr>
        <w:t>Company would </w:t>
      </w:r>
      <w:r>
        <w:rPr>
          <w:color w:val="231F20"/>
          <w:spacing w:val="-3"/>
        </w:rPr>
        <w:t>be</w:t>
      </w:r>
      <w:r>
        <w:rPr>
          <w:color w:val="231F20"/>
          <w:spacing w:val="-25"/>
        </w:rPr>
        <w:t> </w:t>
      </w:r>
      <w:r>
        <w:rPr>
          <w:color w:val="231F20"/>
          <w:spacing w:val="-5"/>
        </w:rPr>
        <w:t>required </w:t>
      </w:r>
      <w:r>
        <w:rPr>
          <w:color w:val="231F20"/>
        </w:rPr>
        <w:t>to </w:t>
      </w:r>
      <w:r>
        <w:rPr>
          <w:color w:val="231F20"/>
          <w:spacing w:val="-3"/>
        </w:rPr>
        <w:t>pay upon </w:t>
      </w:r>
      <w:r>
        <w:rPr>
          <w:color w:val="231F20"/>
          <w:spacing w:val="-4"/>
        </w:rPr>
        <w:t>conversion, </w:t>
      </w:r>
      <w:r>
        <w:rPr>
          <w:color w:val="231F20"/>
        </w:rPr>
        <w:t>as </w:t>
      </w:r>
      <w:r>
        <w:rPr>
          <w:color w:val="231F20"/>
          <w:spacing w:val="-4"/>
        </w:rPr>
        <w:t>current maturities </w:t>
      </w:r>
      <w:r>
        <w:rPr>
          <w:color w:val="231F20"/>
          <w:spacing w:val="-3"/>
        </w:rPr>
        <w:t>in the </w:t>
      </w:r>
      <w:r>
        <w:rPr>
          <w:color w:val="231F20"/>
          <w:spacing w:val="-4"/>
        </w:rPr>
        <w:t>Consolidated Balance Sheet. </w:t>
      </w:r>
      <w:r>
        <w:rPr>
          <w:color w:val="231F20"/>
          <w:spacing w:val="-3"/>
        </w:rPr>
        <w:t>The </w:t>
      </w:r>
      <w:r>
        <w:rPr>
          <w:color w:val="231F20"/>
          <w:spacing w:val="-4"/>
        </w:rPr>
        <w:t>convertible senior notes are not </w:t>
      </w:r>
      <w:r>
        <w:rPr>
          <w:color w:val="231F20"/>
          <w:spacing w:val="-5"/>
        </w:rPr>
        <w:t>redeemable </w:t>
      </w:r>
      <w:r>
        <w:rPr>
          <w:color w:val="231F20"/>
          <w:spacing w:val="-3"/>
        </w:rPr>
        <w:t>at </w:t>
      </w:r>
      <w:r>
        <w:rPr>
          <w:color w:val="231F20"/>
          <w:spacing w:val="-4"/>
        </w:rPr>
        <w:t>the </w:t>
      </w:r>
      <w:r>
        <w:rPr>
          <w:color w:val="231F20"/>
          <w:spacing w:val="-5"/>
        </w:rPr>
        <w:t>Company’s option </w:t>
      </w:r>
      <w:r>
        <w:rPr>
          <w:color w:val="231F20"/>
          <w:spacing w:val="-4"/>
        </w:rPr>
        <w:t>prior  </w:t>
      </w:r>
      <w:r>
        <w:rPr>
          <w:color w:val="231F20"/>
          <w:spacing w:val="-3"/>
        </w:rPr>
        <w:t>to  </w:t>
      </w:r>
      <w:r>
        <w:rPr>
          <w:color w:val="231F20"/>
          <w:spacing w:val="-5"/>
        </w:rPr>
        <w:t>maturity.  </w:t>
      </w:r>
      <w:r>
        <w:rPr>
          <w:color w:val="231F20"/>
          <w:spacing w:val="-4"/>
        </w:rPr>
        <w:t>The  </w:t>
      </w:r>
      <w:r>
        <w:rPr>
          <w:color w:val="231F20"/>
          <w:spacing w:val="-5"/>
        </w:rPr>
        <w:t>holders  </w:t>
      </w:r>
      <w:r>
        <w:rPr>
          <w:color w:val="231F20"/>
          <w:spacing w:val="-3"/>
        </w:rPr>
        <w:t>of  </w:t>
      </w:r>
      <w:r>
        <w:rPr>
          <w:color w:val="231F20"/>
          <w:spacing w:val="-4"/>
        </w:rPr>
        <w:t>the  </w:t>
      </w:r>
      <w:r>
        <w:rPr>
          <w:color w:val="231F20"/>
          <w:spacing w:val="-5"/>
        </w:rPr>
        <w:t>convertible </w:t>
      </w:r>
      <w:r>
        <w:rPr>
          <w:color w:val="231F20"/>
          <w:spacing w:val="-4"/>
        </w:rPr>
        <w:t>senior notes </w:t>
      </w:r>
      <w:r>
        <w:rPr>
          <w:color w:val="231F20"/>
          <w:spacing w:val="-3"/>
        </w:rPr>
        <w:t>may </w:t>
      </w:r>
      <w:r>
        <w:rPr>
          <w:color w:val="231F20"/>
          <w:spacing w:val="-4"/>
        </w:rPr>
        <w:t>require </w:t>
      </w:r>
      <w:r>
        <w:rPr>
          <w:color w:val="231F20"/>
          <w:spacing w:val="-3"/>
        </w:rPr>
        <w:t>the </w:t>
      </w:r>
      <w:r>
        <w:rPr>
          <w:color w:val="231F20"/>
          <w:spacing w:val="-4"/>
        </w:rPr>
        <w:t>Company </w:t>
      </w:r>
      <w:r>
        <w:rPr>
          <w:color w:val="231F20"/>
        </w:rPr>
        <w:t>to </w:t>
      </w:r>
      <w:r>
        <w:rPr>
          <w:color w:val="231F20"/>
          <w:spacing w:val="-4"/>
        </w:rPr>
        <w:t>repurchase </w:t>
      </w:r>
      <w:r>
        <w:rPr>
          <w:color w:val="231F20"/>
          <w:spacing w:val="-3"/>
        </w:rPr>
        <w:t>such </w:t>
      </w:r>
      <w:r>
        <w:rPr>
          <w:color w:val="231F20"/>
          <w:spacing w:val="-4"/>
        </w:rPr>
        <w:t>notes, </w:t>
      </w:r>
      <w:r>
        <w:rPr>
          <w:color w:val="231F20"/>
          <w:spacing w:val="-3"/>
        </w:rPr>
        <w:t>in </w:t>
      </w:r>
      <w:r>
        <w:rPr>
          <w:color w:val="231F20"/>
          <w:spacing w:val="-4"/>
        </w:rPr>
        <w:t>whole </w:t>
      </w:r>
      <w:r>
        <w:rPr>
          <w:color w:val="231F20"/>
        </w:rPr>
        <w:t>or </w:t>
      </w:r>
      <w:r>
        <w:rPr>
          <w:color w:val="231F20"/>
          <w:spacing w:val="-3"/>
        </w:rPr>
        <w:t>in </w:t>
      </w:r>
      <w:r>
        <w:rPr>
          <w:color w:val="231F20"/>
          <w:spacing w:val="-4"/>
        </w:rPr>
        <w:t>part, </w:t>
      </w:r>
      <w:r>
        <w:rPr>
          <w:color w:val="231F20"/>
          <w:spacing w:val="-3"/>
        </w:rPr>
        <w:t>for cash upon </w:t>
      </w:r>
      <w:r>
        <w:rPr>
          <w:color w:val="231F20"/>
          <w:spacing w:val="-4"/>
        </w:rPr>
        <w:t>the occurrence </w:t>
      </w:r>
      <w:r>
        <w:rPr>
          <w:color w:val="231F20"/>
          <w:spacing w:val="-3"/>
        </w:rPr>
        <w:t>of </w:t>
      </w:r>
      <w:r>
        <w:rPr>
          <w:color w:val="231F20"/>
        </w:rPr>
        <w:t>a </w:t>
      </w:r>
      <w:r>
        <w:rPr>
          <w:color w:val="231F20"/>
          <w:spacing w:val="-4"/>
        </w:rPr>
        <w:t>fundamental change, </w:t>
      </w:r>
      <w:r>
        <w:rPr>
          <w:color w:val="231F20"/>
        </w:rPr>
        <w:t>as </w:t>
      </w:r>
      <w:r>
        <w:rPr>
          <w:color w:val="231F20"/>
          <w:spacing w:val="-4"/>
        </w:rPr>
        <w:t>defined </w:t>
      </w:r>
      <w:r>
        <w:rPr>
          <w:color w:val="231F20"/>
        </w:rPr>
        <w:t>in </w:t>
      </w:r>
      <w:r>
        <w:rPr>
          <w:color w:val="231F20"/>
          <w:spacing w:val="-3"/>
        </w:rPr>
        <w:t>the </w:t>
      </w:r>
      <w:r>
        <w:rPr>
          <w:color w:val="231F20"/>
          <w:spacing w:val="-4"/>
        </w:rPr>
        <w:t>governing supplemental indenture, </w:t>
      </w:r>
      <w:r>
        <w:rPr>
          <w:color w:val="231F20"/>
        </w:rPr>
        <w:t>at a </w:t>
      </w:r>
      <w:r>
        <w:rPr>
          <w:color w:val="231F20"/>
          <w:spacing w:val="-5"/>
        </w:rPr>
        <w:t>repurchase </w:t>
      </w:r>
      <w:r>
        <w:rPr>
          <w:color w:val="231F20"/>
          <w:spacing w:val="-4"/>
        </w:rPr>
        <w:t>price</w:t>
      </w:r>
      <w:r>
        <w:rPr>
          <w:color w:val="231F20"/>
          <w:spacing w:val="-7"/>
        </w:rPr>
        <w:t> </w:t>
      </w:r>
      <w:r>
        <w:rPr>
          <w:color w:val="231F20"/>
        </w:rPr>
        <w:t>of</w:t>
      </w:r>
      <w:r>
        <w:rPr>
          <w:color w:val="231F20"/>
          <w:spacing w:val="-8"/>
        </w:rPr>
        <w:t> </w:t>
      </w:r>
      <w:r>
        <w:rPr>
          <w:color w:val="231F20"/>
          <w:spacing w:val="-3"/>
        </w:rPr>
        <w:t>100</w:t>
      </w:r>
      <w:r>
        <w:rPr>
          <w:color w:val="231F20"/>
          <w:spacing w:val="-7"/>
        </w:rPr>
        <w:t> </w:t>
      </w:r>
      <w:r>
        <w:rPr>
          <w:color w:val="231F20"/>
          <w:spacing w:val="-4"/>
        </w:rPr>
        <w:t>percent</w:t>
      </w:r>
      <w:r>
        <w:rPr>
          <w:color w:val="231F20"/>
          <w:spacing w:val="-8"/>
        </w:rPr>
        <w:t> </w:t>
      </w:r>
      <w:r>
        <w:rPr>
          <w:color w:val="231F20"/>
        </w:rPr>
        <w:t>of</w:t>
      </w:r>
      <w:r>
        <w:rPr>
          <w:color w:val="231F20"/>
          <w:spacing w:val="-8"/>
        </w:rPr>
        <w:t> </w:t>
      </w:r>
      <w:r>
        <w:rPr>
          <w:color w:val="231F20"/>
          <w:spacing w:val="-3"/>
        </w:rPr>
        <w:t>the</w:t>
      </w:r>
      <w:r>
        <w:rPr>
          <w:color w:val="231F20"/>
          <w:spacing w:val="-7"/>
        </w:rPr>
        <w:t> </w:t>
      </w:r>
      <w:r>
        <w:rPr>
          <w:color w:val="231F20"/>
          <w:spacing w:val="-4"/>
        </w:rPr>
        <w:t>principal</w:t>
      </w:r>
      <w:r>
        <w:rPr>
          <w:color w:val="231F20"/>
          <w:spacing w:val="-8"/>
        </w:rPr>
        <w:t> </w:t>
      </w:r>
      <w:r>
        <w:rPr>
          <w:color w:val="231F20"/>
          <w:spacing w:val="-4"/>
        </w:rPr>
        <w:t>amount</w:t>
      </w:r>
      <w:r>
        <w:rPr>
          <w:color w:val="231F20"/>
          <w:spacing w:val="-8"/>
        </w:rPr>
        <w:t> </w:t>
      </w:r>
      <w:r>
        <w:rPr>
          <w:color w:val="231F20"/>
          <w:spacing w:val="-3"/>
        </w:rPr>
        <w:t>plus</w:t>
      </w:r>
      <w:r>
        <w:rPr>
          <w:color w:val="231F20"/>
          <w:spacing w:val="-7"/>
        </w:rPr>
        <w:t> </w:t>
      </w:r>
      <w:r>
        <w:rPr>
          <w:color w:val="231F20"/>
          <w:spacing w:val="-3"/>
        </w:rPr>
        <w:t>any</w:t>
      </w:r>
      <w:r>
        <w:rPr>
          <w:color w:val="231F20"/>
          <w:spacing w:val="-7"/>
        </w:rPr>
        <w:t> </w:t>
      </w:r>
      <w:r>
        <w:rPr>
          <w:color w:val="231F20"/>
          <w:spacing w:val="-4"/>
        </w:rPr>
        <w:t>accrued</w:t>
      </w:r>
      <w:r>
        <w:rPr>
          <w:color w:val="231F20"/>
          <w:spacing w:val="-7"/>
        </w:rPr>
        <w:t> </w:t>
      </w:r>
      <w:r>
        <w:rPr>
          <w:color w:val="231F20"/>
          <w:spacing w:val="-3"/>
        </w:rPr>
        <w:t>and</w:t>
      </w:r>
      <w:r>
        <w:rPr>
          <w:color w:val="231F20"/>
          <w:spacing w:val="-7"/>
        </w:rPr>
        <w:t> </w:t>
      </w:r>
      <w:r>
        <w:rPr>
          <w:color w:val="231F20"/>
          <w:spacing w:val="-4"/>
        </w:rPr>
        <w:t>unpaid</w:t>
      </w:r>
      <w:r>
        <w:rPr>
          <w:color w:val="231F20"/>
          <w:spacing w:val="-7"/>
        </w:rPr>
        <w:t> </w:t>
      </w:r>
      <w:r>
        <w:rPr>
          <w:color w:val="231F20"/>
          <w:spacing w:val="-4"/>
        </w:rPr>
        <w:t>interest.</w:t>
      </w:r>
    </w:p>
    <w:p>
      <w:pPr>
        <w:pStyle w:val="BodyText"/>
        <w:spacing w:before="9"/>
        <w:rPr>
          <w:sz w:val="20"/>
        </w:rPr>
      </w:pPr>
    </w:p>
    <w:p>
      <w:pPr>
        <w:pStyle w:val="BodyText"/>
        <w:spacing w:line="247" w:lineRule="auto"/>
        <w:ind w:left="100" w:right="117" w:firstLine="720"/>
        <w:jc w:val="both"/>
      </w:pPr>
      <w:r>
        <w:rPr>
          <w:color w:val="231F20"/>
        </w:rPr>
        <w:t>As a result of triggering the fundamental change of ownership provision in the convertible senior notes and as a result of the acquisition, an embedded conversion option is deemed to exist. In accordance with applicable accounting guidance, the embedded conversion option was effectively separated and accounted for as a free-standing derivative. A fair value calculation, utilizing similar market yields and the Company’s common stock price, was performed for the debt with and without  the  equity  to  measure  the  equity  component.  The  value  allocated  to  the  conversion  option     </w:t>
      </w:r>
      <w:r>
        <w:rPr>
          <w:color w:val="231F20"/>
          <w:spacing w:val="16"/>
        </w:rPr>
        <w:t> </w:t>
      </w:r>
      <w:r>
        <w:rPr>
          <w:color w:val="231F20"/>
        </w:rPr>
        <w:t>of</w:t>
      </w:r>
    </w:p>
    <w:p>
      <w:pPr>
        <w:pStyle w:val="BodyText"/>
        <w:spacing w:line="247" w:lineRule="auto"/>
        <w:ind w:left="100" w:right="118"/>
        <w:jc w:val="both"/>
      </w:pPr>
      <w:r>
        <w:rPr>
          <w:color w:val="231F20"/>
        </w:rPr>
        <w:t>$35 million is classified as permanent equity. The estimated premium associated with the notes excluding the equity feature was $10 million, and is being amortized to interest expense over the remaining life of the notes. The dilutive effect of the shares that would be issued if the convertible notes were converted is considered in the Company’s net income per share calculations, unless such conversion would be considered antidilutive. See Note</w:t>
      </w:r>
      <w:r>
        <w:rPr>
          <w:color w:val="231F20"/>
          <w:spacing w:val="-1"/>
        </w:rPr>
        <w:t> </w:t>
      </w:r>
      <w:r>
        <w:rPr>
          <w:color w:val="231F20"/>
        </w:rPr>
        <w:t>3.</w:t>
      </w:r>
    </w:p>
    <w:p>
      <w:pPr>
        <w:spacing w:after="0" w:line="247" w:lineRule="auto"/>
        <w:jc w:val="both"/>
        <w:sectPr>
          <w:pgSz w:w="11880" w:h="15480"/>
          <w:pgMar w:header="0" w:footer="1240" w:top="1240" w:bottom="1420" w:left="1280" w:right="1260"/>
        </w:sectPr>
      </w:pPr>
    </w:p>
    <w:p>
      <w:pPr>
        <w:pStyle w:val="Heading2"/>
        <w:spacing w:before="74"/>
        <w:rPr>
          <w:i/>
        </w:rPr>
      </w:pPr>
      <w:r>
        <w:rPr>
          <w:i/>
          <w:color w:val="231F20"/>
        </w:rPr>
        <w:t>Other Company Long-Term Debt</w:t>
      </w:r>
    </w:p>
    <w:p>
      <w:pPr>
        <w:pStyle w:val="BodyText"/>
        <w:spacing w:before="9"/>
        <w:rPr>
          <w:b/>
          <w:i/>
          <w:sz w:val="31"/>
        </w:rPr>
      </w:pPr>
    </w:p>
    <w:p>
      <w:pPr>
        <w:pStyle w:val="BodyText"/>
        <w:spacing w:line="247" w:lineRule="auto" w:before="1"/>
        <w:ind w:left="100" w:right="118" w:firstLine="720"/>
        <w:jc w:val="both"/>
      </w:pPr>
      <w:r>
        <w:rPr>
          <w:color w:val="231F20"/>
        </w:rPr>
        <w:t>During November 2014, the Company issued $300 million senior unsecured notes due 2019. The notes bear interest at 2.75 percent, payable semi-annually in arrears on May 6 and November 6.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before="9"/>
        <w:rPr>
          <w:sz w:val="20"/>
        </w:rPr>
      </w:pPr>
    </w:p>
    <w:p>
      <w:pPr>
        <w:pStyle w:val="BodyText"/>
        <w:spacing w:line="247" w:lineRule="auto"/>
        <w:ind w:left="100" w:right="117" w:firstLine="720"/>
        <w:jc w:val="both"/>
      </w:pPr>
      <w:r>
        <w:rPr>
          <w:color w:val="231F20"/>
        </w:rPr>
        <w:t>On April 29, 2009, the Company entered into a term loan agreement providing for loans to the 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percent, and interest is payable quarterly, which payments  began  on  August 6, 2009. Pursuant to the terms of the term loan agreement, the Company entered into an interest rate swap agreement to convert the variable rate on the term loan to a fixed 6.315 percent until maturity.</w:t>
      </w:r>
    </w:p>
    <w:p>
      <w:pPr>
        <w:pStyle w:val="BodyText"/>
        <w:spacing w:before="8"/>
        <w:rPr>
          <w:sz w:val="20"/>
        </w:rPr>
      </w:pPr>
    </w:p>
    <w:p>
      <w:pPr>
        <w:pStyle w:val="BodyText"/>
        <w:spacing w:line="247" w:lineRule="auto" w:before="1"/>
        <w:ind w:left="100" w:right="117" w:firstLine="720"/>
        <w:jc w:val="both"/>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 The loan matures on July 1, 2019, and is repayable semi-annually in installments  of  principal  that  began  January  1,  2010.  The  loan  bears  interest  at  a  fixed  rate   of</w:t>
      </w:r>
    </w:p>
    <w:p>
      <w:pPr>
        <w:pStyle w:val="BodyText"/>
        <w:spacing w:line="253" w:lineRule="exact"/>
        <w:ind w:left="100"/>
      </w:pPr>
      <w:r>
        <w:rPr>
          <w:color w:val="231F20"/>
        </w:rPr>
        <w:t>6.84 percent, and interest is payable semi-annually, which payments began on January 1, 2010.</w:t>
      </w:r>
    </w:p>
    <w:p>
      <w:pPr>
        <w:pStyle w:val="BodyText"/>
        <w:spacing w:before="5"/>
        <w:rPr>
          <w:sz w:val="21"/>
        </w:rPr>
      </w:pPr>
    </w:p>
    <w:p>
      <w:pPr>
        <w:pStyle w:val="BodyText"/>
        <w:spacing w:line="247" w:lineRule="auto"/>
        <w:ind w:left="100" w:right="117" w:firstLine="720"/>
        <w:jc w:val="both"/>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0.95 percent, and interest is payable quarterly. Pursuant to the terms of the term loan agreement, the Company entered into  an  interest  rate  swap  agreement  to  convert  the  variable  rate  on  the  term  loan  to  a    </w:t>
      </w:r>
      <w:r>
        <w:rPr>
          <w:color w:val="231F20"/>
          <w:spacing w:val="53"/>
        </w:rPr>
        <w:t> </w:t>
      </w:r>
      <w:r>
        <w:rPr>
          <w:color w:val="231F20"/>
        </w:rPr>
        <w:t>fixed</w:t>
      </w:r>
    </w:p>
    <w:p>
      <w:pPr>
        <w:pStyle w:val="BodyText"/>
        <w:spacing w:line="253" w:lineRule="exact"/>
        <w:ind w:left="100"/>
      </w:pPr>
      <w:r>
        <w:rPr>
          <w:color w:val="231F20"/>
        </w:rPr>
        <w:t>5.223 percent until maturity.</w:t>
      </w:r>
    </w:p>
    <w:p>
      <w:pPr>
        <w:pStyle w:val="BodyText"/>
        <w:spacing w:before="6"/>
        <w:rPr>
          <w:sz w:val="21"/>
        </w:rPr>
      </w:pPr>
    </w:p>
    <w:p>
      <w:pPr>
        <w:pStyle w:val="BodyText"/>
        <w:spacing w:line="247" w:lineRule="auto"/>
        <w:ind w:left="100" w:right="117" w:firstLine="720"/>
        <w:jc w:val="both"/>
      </w:pPr>
      <w:r>
        <w:rPr>
          <w:color w:val="231F20"/>
        </w:rPr>
        <w:t>On October 3, 2007, grantor trusts established by the Company issued $500 million Pass Through Certificates consisting of $412 million 6.15% Series A certificates and $88 million 6.65%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Prior to their issuance, the Company also entered into swap agreements  to  hedge  the  variability  in  interest  rates  on  the  Pass  Through  Certificates.  The</w:t>
      </w:r>
      <w:r>
        <w:rPr>
          <w:color w:val="231F20"/>
          <w:spacing w:val="21"/>
        </w:rPr>
        <w:t> </w:t>
      </w:r>
      <w:r>
        <w:rPr>
          <w:color w:val="231F20"/>
        </w:rPr>
        <w:t>swap</w:t>
      </w:r>
    </w:p>
    <w:p>
      <w:pPr>
        <w:spacing w:after="0" w:line="247" w:lineRule="auto"/>
        <w:jc w:val="both"/>
        <w:sectPr>
          <w:pgSz w:w="11880" w:h="15480"/>
          <w:pgMar w:header="0" w:footer="1240" w:top="1240" w:bottom="1420" w:left="1280" w:right="1260"/>
        </w:sectPr>
      </w:pPr>
    </w:p>
    <w:p>
      <w:pPr>
        <w:pStyle w:val="BodyText"/>
        <w:spacing w:before="74"/>
        <w:ind w:left="100"/>
        <w:jc w:val="both"/>
      </w:pPr>
      <w:r>
        <w:rPr>
          <w:color w:val="231F20"/>
        </w:rPr>
        <w:t>agreements  were  accounted  for as  cash  flow hedges,  and  resulted  in a payment by the Company of</w:t>
      </w:r>
    </w:p>
    <w:p>
      <w:pPr>
        <w:pStyle w:val="BodyText"/>
        <w:spacing w:line="247" w:lineRule="auto" w:before="6"/>
        <w:ind w:left="100" w:right="118"/>
        <w:jc w:val="both"/>
      </w:pPr>
      <w:r>
        <w:rPr>
          <w:color w:val="231F20"/>
        </w:rPr>
        <w:t>$20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9"/>
        <w:rPr>
          <w:sz w:val="20"/>
        </w:rPr>
      </w:pPr>
    </w:p>
    <w:p>
      <w:pPr>
        <w:pStyle w:val="BodyText"/>
        <w:spacing w:line="247" w:lineRule="auto"/>
        <w:ind w:left="100" w:right="118" w:firstLine="720"/>
        <w:jc w:val="both"/>
      </w:pPr>
      <w:r>
        <w:rPr>
          <w:color w:val="231F20"/>
        </w:rPr>
        <w:t>During December 2006, the Company issued $300 million senior unsecured notes due 2016. The notes bear interest at 5.75 percent, payable semi-annually in arrears, with the first payment made on June 15, 2007. During fourth quarter 2009, the Company entered into a fixed-to-floating interest  rate swap to convert the interest on these unsecured notes to a floating rate until their maturity. See Note 10 for further information on the interest-rate swap</w:t>
      </w:r>
      <w:r>
        <w:rPr>
          <w:color w:val="231F20"/>
          <w:spacing w:val="-3"/>
        </w:rPr>
        <w:t> </w:t>
      </w:r>
      <w:r>
        <w:rPr>
          <w:color w:val="231F20"/>
        </w:rPr>
        <w:t>agreement.</w:t>
      </w:r>
    </w:p>
    <w:p>
      <w:pPr>
        <w:pStyle w:val="BodyText"/>
        <w:spacing w:before="9"/>
        <w:rPr>
          <w:sz w:val="20"/>
        </w:rPr>
      </w:pPr>
    </w:p>
    <w:p>
      <w:pPr>
        <w:pStyle w:val="BodyText"/>
        <w:spacing w:line="247" w:lineRule="auto"/>
        <w:ind w:left="100" w:right="118" w:firstLine="720"/>
        <w:jc w:val="both"/>
      </w:pPr>
      <w:r>
        <w:rPr>
          <w:color w:val="231F20"/>
        </w:rPr>
        <w:t>During February 2005, the Company issued $300 million senior unsecured notes due 2017. The notes bear interest at 5.125 percent, payable semi-annually in arrears, with the first payment made on September 1, 2005.</w:t>
      </w:r>
    </w:p>
    <w:p>
      <w:pPr>
        <w:pStyle w:val="BodyText"/>
        <w:spacing w:before="9"/>
        <w:rPr>
          <w:sz w:val="20"/>
        </w:rPr>
      </w:pPr>
    </w:p>
    <w:p>
      <w:pPr>
        <w:pStyle w:val="BodyText"/>
        <w:spacing w:line="247" w:lineRule="auto"/>
        <w:ind w:left="100" w:right="118" w:firstLine="720"/>
        <w:jc w:val="both"/>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w:t>
      </w:r>
      <w:r>
        <w:rPr>
          <w:color w:val="231F20"/>
          <w:spacing w:val="-4"/>
        </w:rPr>
        <w:t> </w:t>
      </w:r>
      <w:r>
        <w:rPr>
          <w:color w:val="231F20"/>
        </w:rPr>
        <w:t>transactions.</w:t>
      </w:r>
    </w:p>
    <w:p>
      <w:pPr>
        <w:pStyle w:val="BodyText"/>
        <w:spacing w:before="9"/>
        <w:rPr>
          <w:sz w:val="20"/>
        </w:rPr>
      </w:pPr>
    </w:p>
    <w:p>
      <w:pPr>
        <w:pStyle w:val="BodyText"/>
        <w:spacing w:line="247" w:lineRule="auto"/>
        <w:ind w:left="100" w:right="117" w:firstLine="720"/>
        <w:jc w:val="both"/>
      </w:pPr>
      <w:r>
        <w:rPr>
          <w:color w:val="231F20"/>
        </w:rPr>
        <w:t>In September 2004, the Company issued $350 million senior unsecured notes due 2014. The notes matured and were redeemed in full on October 1, 2014, utilizing available cash on hand.</w:t>
      </w:r>
    </w:p>
    <w:p>
      <w:pPr>
        <w:pStyle w:val="BodyText"/>
        <w:spacing w:before="9"/>
        <w:rPr>
          <w:sz w:val="20"/>
        </w:rPr>
      </w:pPr>
    </w:p>
    <w:p>
      <w:pPr>
        <w:pStyle w:val="BodyText"/>
        <w:spacing w:line="247" w:lineRule="auto"/>
        <w:ind w:left="100" w:right="117" w:firstLine="720"/>
        <w:jc w:val="both"/>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 See Note 10 for more information on the interest rate swap agreement and termination.</w:t>
      </w:r>
    </w:p>
    <w:p>
      <w:pPr>
        <w:pStyle w:val="BodyText"/>
        <w:spacing w:before="9"/>
        <w:rPr>
          <w:sz w:val="20"/>
        </w:rPr>
      </w:pPr>
    </w:p>
    <w:p>
      <w:pPr>
        <w:pStyle w:val="BodyText"/>
        <w:spacing w:line="247" w:lineRule="auto"/>
        <w:ind w:left="100" w:right="118" w:firstLine="720"/>
        <w:jc w:val="both"/>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$440 million at December 31, 2014.</w:t>
      </w:r>
    </w:p>
    <w:p>
      <w:pPr>
        <w:pStyle w:val="BodyText"/>
        <w:spacing w:before="9"/>
        <w:rPr>
          <w:sz w:val="20"/>
        </w:rPr>
      </w:pPr>
    </w:p>
    <w:p>
      <w:pPr>
        <w:pStyle w:val="BodyText"/>
        <w:spacing w:line="247" w:lineRule="auto"/>
        <w:ind w:left="100" w:right="117" w:firstLine="720"/>
        <w:jc w:val="both"/>
      </w:pPr>
      <w:r>
        <w:rPr>
          <w:color w:val="231F20"/>
        </w:rPr>
        <w:t>The net book value of the assets pledged as collateral for the Company’s secured borrowings, primarily aircraft and engines, was $2.0 billion at December 31, 2014. In addition, the Company has pledged a total of up to 81 of its Boeing 737-700 aircraft at a net book value of $2.0 billion, in the case that it has obligations related to its fuel derivative instruments with counterparties that exceed certain thresholds. See Note 10 for further information on these collateral arrangements.</w:t>
      </w:r>
    </w:p>
    <w:p>
      <w:pPr>
        <w:spacing w:after="0" w:line="247" w:lineRule="auto"/>
        <w:jc w:val="both"/>
        <w:sectPr>
          <w:pgSz w:w="11880" w:h="15480"/>
          <w:pgMar w:header="0" w:footer="1240" w:top="1240" w:bottom="1420" w:left="1280" w:right="1260"/>
        </w:sectPr>
      </w:pPr>
    </w:p>
    <w:p>
      <w:pPr>
        <w:pStyle w:val="BodyText"/>
        <w:spacing w:line="247" w:lineRule="auto" w:before="74"/>
        <w:ind w:left="120" w:right="137" w:firstLine="720"/>
        <w:jc w:val="both"/>
      </w:pPr>
      <w:r>
        <w:rPr>
          <w:color w:val="231F20"/>
        </w:rPr>
        <w:t>As of December 31, 2014, aggregate annual principal maturities of debt and capital leases (not including amounts associated with interest rate swap agreements, interest on capital leases, amortization of capital lease incentives, and amortization of purchase accounting adjustments) for the five-year period ending December 31, 2019 and thereafter, were $182 million in 2015, $610 million in 2016, $520 million in 2017, $264 million in 2018, $514 million in 2019, and $551 million</w:t>
      </w:r>
      <w:r>
        <w:rPr>
          <w:color w:val="231F20"/>
          <w:spacing w:val="-6"/>
        </w:rPr>
        <w:t> </w:t>
      </w:r>
      <w:r>
        <w:rPr>
          <w:color w:val="231F20"/>
        </w:rPr>
        <w:t>thereafter.</w:t>
      </w:r>
    </w:p>
    <w:p>
      <w:pPr>
        <w:pStyle w:val="BodyText"/>
        <w:spacing w:before="2"/>
        <w:rPr>
          <w:sz w:val="31"/>
        </w:rPr>
      </w:pPr>
    </w:p>
    <w:p>
      <w:pPr>
        <w:pStyle w:val="Heading1"/>
        <w:numPr>
          <w:ilvl w:val="0"/>
          <w:numId w:val="15"/>
        </w:numPr>
        <w:tabs>
          <w:tab w:pos="340" w:val="left" w:leader="none"/>
        </w:tabs>
        <w:spacing w:line="240" w:lineRule="auto" w:before="0" w:after="0"/>
        <w:ind w:left="340" w:right="0" w:hanging="220"/>
        <w:jc w:val="both"/>
      </w:pPr>
      <w:r>
        <w:rPr>
          <w:color w:val="231F20"/>
        </w:rPr>
        <w:t>LEASES</w:t>
      </w:r>
    </w:p>
    <w:p>
      <w:pPr>
        <w:pStyle w:val="BodyText"/>
        <w:spacing w:before="9"/>
        <w:rPr>
          <w:b/>
          <w:sz w:val="31"/>
        </w:rPr>
      </w:pPr>
    </w:p>
    <w:p>
      <w:pPr>
        <w:pStyle w:val="BodyText"/>
        <w:spacing w:line="247" w:lineRule="auto" w:before="1"/>
        <w:ind w:left="120" w:right="137"/>
        <w:jc w:val="both"/>
      </w:pPr>
      <w:r>
        <w:rPr/>
        <w:pict>
          <v:line style="position:absolute;mso-position-horizontal-relative:page;mso-position-vertical-relative:paragraph;z-index:-405448" from="69pt,61.819958pt" to="325pt,61.819958pt" stroked="true" strokeweight="1pt" strokecolor="#231f20">
            <v:stroke dashstyle="solid"/>
            <w10:wrap type="none"/>
          </v:line>
        </w:pict>
      </w:r>
      <w:r>
        <w:rPr>
          <w:color w:val="231F20"/>
        </w:rPr>
        <w:t>The Company’s fleet includes 16 aircraft on capital lease, including two B717s, as of December 31, 2014, compared with four aircraft on capital lease as of December 31, 2013. Amounts applicable to these aircraft that are included in property and equipment were:</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20"/>
        <w:gridCol w:w="200"/>
        <w:gridCol w:w="1267"/>
        <w:gridCol w:w="1044"/>
        <w:gridCol w:w="977"/>
        <w:gridCol w:w="513"/>
      </w:tblGrid>
      <w:tr>
        <w:trPr>
          <w:trHeight w:val="256" w:hRule="exact"/>
        </w:trPr>
        <w:tc>
          <w:tcPr>
            <w:tcW w:w="5120" w:type="dxa"/>
          </w:tcPr>
          <w:p>
            <w:pPr>
              <w:pStyle w:val="TableParagraph"/>
              <w:spacing w:line="229" w:lineRule="exact" w:before="0"/>
              <w:ind w:left="80"/>
              <w:rPr>
                <w:b/>
                <w:sz w:val="20"/>
              </w:rPr>
            </w:pPr>
            <w:r>
              <w:rPr>
                <w:b/>
                <w:color w:val="231F20"/>
                <w:sz w:val="20"/>
              </w:rPr>
              <w:t>(in millions)</w:t>
            </w:r>
          </w:p>
        </w:tc>
        <w:tc>
          <w:tcPr>
            <w:tcW w:w="200" w:type="dxa"/>
          </w:tcPr>
          <w:p>
            <w:pPr/>
          </w:p>
        </w:tc>
        <w:tc>
          <w:tcPr>
            <w:tcW w:w="1267" w:type="dxa"/>
            <w:tcBorders>
              <w:bottom w:val="single" w:sz="8" w:space="0" w:color="231F20"/>
            </w:tcBorders>
          </w:tcPr>
          <w:p>
            <w:pPr>
              <w:pStyle w:val="TableParagraph"/>
              <w:spacing w:line="229" w:lineRule="exact" w:before="0"/>
              <w:ind w:left="700"/>
              <w:rPr>
                <w:b/>
                <w:sz w:val="20"/>
              </w:rPr>
            </w:pPr>
            <w:r>
              <w:rPr>
                <w:b/>
                <w:color w:val="231F20"/>
                <w:sz w:val="20"/>
              </w:rPr>
              <w:t>2014</w:t>
            </w:r>
          </w:p>
        </w:tc>
        <w:tc>
          <w:tcPr>
            <w:tcW w:w="1044" w:type="dxa"/>
            <w:tcBorders>
              <w:bottom w:val="single" w:sz="8" w:space="0" w:color="231F20"/>
            </w:tcBorders>
          </w:tcPr>
          <w:p>
            <w:pPr/>
          </w:p>
        </w:tc>
        <w:tc>
          <w:tcPr>
            <w:tcW w:w="977" w:type="dxa"/>
            <w:tcBorders>
              <w:bottom w:val="single" w:sz="8" w:space="0" w:color="231F20"/>
            </w:tcBorders>
          </w:tcPr>
          <w:p>
            <w:pPr>
              <w:pStyle w:val="TableParagraph"/>
              <w:spacing w:line="229" w:lineRule="exact" w:before="0"/>
              <w:ind w:left="329"/>
              <w:rPr>
                <w:b/>
                <w:sz w:val="20"/>
              </w:rPr>
            </w:pPr>
            <w:r>
              <w:rPr>
                <w:b/>
                <w:color w:val="231F20"/>
                <w:sz w:val="20"/>
              </w:rPr>
              <w:t>2013</w:t>
            </w:r>
          </w:p>
        </w:tc>
        <w:tc>
          <w:tcPr>
            <w:tcW w:w="513" w:type="dxa"/>
            <w:tcBorders>
              <w:bottom w:val="single" w:sz="8" w:space="0" w:color="231F20"/>
            </w:tcBorders>
          </w:tcPr>
          <w:p>
            <w:pPr/>
          </w:p>
        </w:tc>
      </w:tr>
      <w:tr>
        <w:trPr>
          <w:trHeight w:val="310" w:hRule="exact"/>
        </w:trPr>
        <w:tc>
          <w:tcPr>
            <w:tcW w:w="5120" w:type="dxa"/>
            <w:shd w:val="clear" w:color="auto" w:fill="CCECFC"/>
          </w:tcPr>
          <w:p>
            <w:pPr>
              <w:pStyle w:val="TableParagraph"/>
              <w:ind w:left="80"/>
              <w:rPr>
                <w:sz w:val="20"/>
              </w:rPr>
            </w:pPr>
            <w:r>
              <w:rPr>
                <w:color w:val="231F20"/>
                <w:sz w:val="20"/>
              </w:rPr>
              <w:t>Flight equipment</w:t>
            </w:r>
          </w:p>
        </w:tc>
        <w:tc>
          <w:tcPr>
            <w:tcW w:w="200" w:type="dxa"/>
            <w:shd w:val="clear" w:color="auto" w:fill="CCECFC"/>
          </w:tcPr>
          <w:p>
            <w:pPr/>
          </w:p>
        </w:tc>
        <w:tc>
          <w:tcPr>
            <w:tcW w:w="1267" w:type="dxa"/>
            <w:tcBorders>
              <w:top w:val="single" w:sz="8" w:space="0" w:color="231F20"/>
            </w:tcBorders>
            <w:shd w:val="clear" w:color="auto" w:fill="CCECFC"/>
          </w:tcPr>
          <w:p>
            <w:pPr>
              <w:pStyle w:val="TableParagraph"/>
              <w:rPr>
                <w:sz w:val="20"/>
              </w:rPr>
            </w:pPr>
            <w:r>
              <w:rPr>
                <w:color w:val="231F20"/>
                <w:sz w:val="20"/>
              </w:rPr>
              <w:t>$</w:t>
            </w:r>
          </w:p>
        </w:tc>
        <w:tc>
          <w:tcPr>
            <w:tcW w:w="1044" w:type="dxa"/>
            <w:tcBorders>
              <w:top w:val="single" w:sz="8" w:space="0" w:color="231F20"/>
            </w:tcBorders>
            <w:shd w:val="clear" w:color="auto" w:fill="CCECFC"/>
          </w:tcPr>
          <w:p>
            <w:pPr>
              <w:pStyle w:val="TableParagraph"/>
              <w:ind w:left="166"/>
              <w:rPr>
                <w:sz w:val="20"/>
              </w:rPr>
            </w:pPr>
            <w:r>
              <w:rPr>
                <w:color w:val="231F20"/>
                <w:sz w:val="20"/>
              </w:rPr>
              <w:t>214  $</w:t>
            </w:r>
          </w:p>
        </w:tc>
        <w:tc>
          <w:tcPr>
            <w:tcW w:w="977" w:type="dxa"/>
            <w:tcBorders>
              <w:top w:val="single" w:sz="8" w:space="0" w:color="231F20"/>
            </w:tcBorders>
            <w:shd w:val="clear" w:color="auto" w:fill="CCECFC"/>
          </w:tcPr>
          <w:p>
            <w:pPr/>
          </w:p>
        </w:tc>
        <w:tc>
          <w:tcPr>
            <w:tcW w:w="513" w:type="dxa"/>
            <w:tcBorders>
              <w:top w:val="single" w:sz="8" w:space="0" w:color="231F20"/>
            </w:tcBorders>
            <w:shd w:val="clear" w:color="auto" w:fill="CCECFC"/>
          </w:tcPr>
          <w:p>
            <w:pPr>
              <w:pStyle w:val="TableParagraph"/>
              <w:ind w:right="64"/>
              <w:jc w:val="right"/>
              <w:rPr>
                <w:sz w:val="20"/>
              </w:rPr>
            </w:pPr>
            <w:r>
              <w:rPr>
                <w:color w:val="231F20"/>
                <w:sz w:val="20"/>
              </w:rPr>
              <w:t>69</w:t>
            </w:r>
          </w:p>
        </w:tc>
      </w:tr>
      <w:tr>
        <w:trPr>
          <w:trHeight w:val="315" w:hRule="exact"/>
        </w:trPr>
        <w:tc>
          <w:tcPr>
            <w:tcW w:w="5120" w:type="dxa"/>
          </w:tcPr>
          <w:p>
            <w:pPr>
              <w:pStyle w:val="TableParagraph"/>
              <w:ind w:left="80"/>
              <w:rPr>
                <w:sz w:val="20"/>
              </w:rPr>
            </w:pPr>
            <w:r>
              <w:rPr>
                <w:color w:val="231F20"/>
                <w:sz w:val="20"/>
              </w:rPr>
              <w:t>Less: accumulated amortization</w:t>
            </w:r>
          </w:p>
        </w:tc>
        <w:tc>
          <w:tcPr>
            <w:tcW w:w="200" w:type="dxa"/>
          </w:tcPr>
          <w:p>
            <w:pPr/>
          </w:p>
        </w:tc>
        <w:tc>
          <w:tcPr>
            <w:tcW w:w="1267" w:type="dxa"/>
            <w:tcBorders>
              <w:bottom w:val="single" w:sz="4" w:space="0" w:color="231F20"/>
            </w:tcBorders>
          </w:tcPr>
          <w:p>
            <w:pPr/>
          </w:p>
        </w:tc>
        <w:tc>
          <w:tcPr>
            <w:tcW w:w="1044" w:type="dxa"/>
            <w:tcBorders>
              <w:bottom w:val="single" w:sz="4" w:space="0" w:color="231F20"/>
            </w:tcBorders>
          </w:tcPr>
          <w:p>
            <w:pPr>
              <w:pStyle w:val="TableParagraph"/>
              <w:ind w:left="266"/>
              <w:rPr>
                <w:sz w:val="20"/>
              </w:rPr>
            </w:pPr>
            <w:r>
              <w:rPr>
                <w:color w:val="231F20"/>
                <w:sz w:val="20"/>
              </w:rPr>
              <w:t>22</w:t>
            </w:r>
          </w:p>
        </w:tc>
        <w:tc>
          <w:tcPr>
            <w:tcW w:w="977" w:type="dxa"/>
            <w:tcBorders>
              <w:bottom w:val="single" w:sz="4" w:space="0" w:color="231F20"/>
            </w:tcBorders>
          </w:tcPr>
          <w:p>
            <w:pPr/>
          </w:p>
        </w:tc>
        <w:tc>
          <w:tcPr>
            <w:tcW w:w="513" w:type="dxa"/>
            <w:tcBorders>
              <w:bottom w:val="single" w:sz="4" w:space="0" w:color="231F20"/>
            </w:tcBorders>
          </w:tcPr>
          <w:p>
            <w:pPr>
              <w:pStyle w:val="TableParagraph"/>
              <w:ind w:right="64"/>
              <w:jc w:val="right"/>
              <w:rPr>
                <w:sz w:val="20"/>
              </w:rPr>
            </w:pPr>
            <w:r>
              <w:rPr>
                <w:color w:val="231F20"/>
                <w:sz w:val="20"/>
              </w:rPr>
              <w:t>12</w:t>
            </w:r>
          </w:p>
        </w:tc>
      </w:tr>
    </w:tbl>
    <w:p>
      <w:pPr>
        <w:pStyle w:val="BodyText"/>
        <w:spacing w:before="1"/>
        <w:rPr>
          <w:sz w:val="23"/>
        </w:rPr>
      </w:pPr>
      <w:r>
        <w:rPr/>
        <w:pict>
          <v:line style="position:absolute;mso-position-horizontal-relative:page;mso-position-vertical-relative:paragraph;z-index:4336;mso-wrap-distance-left:0;mso-wrap-distance-right:0" from="335pt,15.5pt" to="425pt,15.5pt" stroked="true" strokeweight=".5pt" strokecolor="#231f20">
            <v:stroke dashstyle="solid"/>
            <w10:wrap type="topAndBottom"/>
          </v:line>
        </w:pict>
      </w:r>
      <w:r>
        <w:rPr/>
        <w:pict>
          <v:line style="position:absolute;mso-position-horizontal-relative:page;mso-position-vertical-relative:paragraph;z-index:4360;mso-wrap-distance-left:0;mso-wrap-distance-right:0" from="429pt,15.5pt" to="525pt,15.5pt" stroked="true" strokeweight=".5pt" strokecolor="#231f20">
            <v:stroke dashstyle="solid"/>
            <w10:wrap type="topAndBottom"/>
          </v:line>
        </w:pict>
      </w:r>
    </w:p>
    <w:p>
      <w:pPr>
        <w:pStyle w:val="BodyText"/>
        <w:spacing w:before="1"/>
        <w:rPr>
          <w:sz w:val="23"/>
        </w:rPr>
      </w:pPr>
    </w:p>
    <w:p>
      <w:pPr>
        <w:pStyle w:val="BodyText"/>
        <w:spacing w:line="247" w:lineRule="auto"/>
        <w:ind w:left="120" w:right="137" w:firstLine="720"/>
        <w:jc w:val="both"/>
      </w:pPr>
      <w:r>
        <w:rPr/>
        <w:pict>
          <v:shape style="position:absolute;margin-left:69pt;margin-top:-30.730469pt;width:456pt;height:13pt;mso-position-horizontal-relative:page;mso-position-vertical-relative:paragraph;z-index:-405376" type="#_x0000_t202" filled="true" fillcolor="#ccecfc" stroked="false">
            <v:textbox inset="0,0,0,0">
              <w:txbxContent>
                <w:p>
                  <w:pPr>
                    <w:tabs>
                      <w:tab w:pos="6752" w:val="left" w:leader="none"/>
                      <w:tab w:pos="8852" w:val="left" w:leader="none"/>
                    </w:tabs>
                    <w:spacing w:line="207" w:lineRule="exact" w:before="53"/>
                    <w:ind w:left="5320" w:right="0" w:firstLine="0"/>
                    <w:jc w:val="left"/>
                    <w:rPr>
                      <w:sz w:val="20"/>
                    </w:rPr>
                  </w:pPr>
                  <w:r>
                    <w:rPr>
                      <w:color w:val="231F20"/>
                      <w:sz w:val="20"/>
                      <w:u w:val="single" w:color="231F20"/>
                    </w:rPr>
                    <w:t>$</w:t>
                    <w:tab/>
                    <w:t>192 </w:t>
                  </w:r>
                  <w:r>
                    <w:rPr>
                      <w:color w:val="231F20"/>
                      <w:spacing w:val="47"/>
                      <w:sz w:val="20"/>
                      <w:u w:val="single" w:color="231F20"/>
                    </w:rPr>
                    <w:t> </w:t>
                  </w:r>
                  <w:r>
                    <w:rPr>
                      <w:color w:val="231F20"/>
                      <w:sz w:val="20"/>
                      <w:u w:val="single" w:color="231F20"/>
                    </w:rPr>
                    <w:t>$</w:t>
                    <w:tab/>
                    <w:t>57</w:t>
                  </w:r>
                  <w:r>
                    <w:rPr>
                      <w:color w:val="231F20"/>
                      <w:spacing w:val="17"/>
                      <w:sz w:val="20"/>
                      <w:u w:val="single" w:color="231F20"/>
                    </w:rPr>
                    <w:t> </w:t>
                  </w:r>
                </w:p>
              </w:txbxContent>
            </v:textbox>
            <v:fill type="solid"/>
            <w10:wrap type="none"/>
          </v:shape>
        </w:pict>
      </w:r>
      <w:r>
        <w:rPr>
          <w:color w:val="231F20"/>
        </w:rPr>
        <w:t>Total rental expense for operating leases, both aircraft and other, charged to operations in  2014, 2013, and 2012 was $931 million, $997 million, and $943 million, respectively. The majority of the Company’s terminal operations space, as well as 174 aircraft, which includes 76 B717s, were under operating leases at December 31, 2014. For aircraft operating leases and for terminal operations leases, expense is included in Aircraft rentals and in Landing fees and other rentals, respectively, in the Consolidated Statement of Income. Future minimum lease payments under capital leases and noncancelable operating leases and rentals to be received under subleases with initial or remaining terms in excess of one year at December 31, 2014, were:</w:t>
      </w:r>
    </w:p>
    <w:p>
      <w:pPr>
        <w:spacing w:after="0" w:line="247" w:lineRule="auto"/>
        <w:jc w:val="both"/>
        <w:sectPr>
          <w:pgSz w:w="11880" w:h="15480"/>
          <w:pgMar w:header="0" w:footer="1240" w:top="1240" w:bottom="1420" w:left="1260" w:right="1240"/>
        </w:sectPr>
      </w:pPr>
    </w:p>
    <w:p>
      <w:pPr>
        <w:pStyle w:val="BodyText"/>
        <w:spacing w:before="2"/>
        <w:rPr>
          <w:sz w:val="17"/>
        </w:rPr>
      </w:pPr>
    </w:p>
    <w:p>
      <w:pPr>
        <w:tabs>
          <w:tab w:pos="4559" w:val="left" w:leader="none"/>
        </w:tabs>
        <w:spacing w:line="201" w:lineRule="exact" w:before="0"/>
        <w:ind w:left="3482" w:right="0" w:firstLine="0"/>
        <w:jc w:val="left"/>
        <w:rPr>
          <w:b/>
          <w:sz w:val="20"/>
        </w:rPr>
      </w:pPr>
      <w:r>
        <w:rPr>
          <w:b/>
          <w:color w:val="231F20"/>
          <w:sz w:val="20"/>
        </w:rPr>
        <w:t>Capital</w:t>
        <w:tab/>
        <w:t>Operating</w:t>
      </w:r>
    </w:p>
    <w:p>
      <w:pPr>
        <w:pStyle w:val="BodyText"/>
        <w:spacing w:before="2"/>
        <w:rPr>
          <w:b/>
          <w:sz w:val="17"/>
        </w:rPr>
      </w:pPr>
      <w:r>
        <w:rPr/>
        <w:br w:type="column"/>
      </w:r>
      <w:r>
        <w:rPr>
          <w:b/>
          <w:sz w:val="17"/>
        </w:rPr>
      </w:r>
    </w:p>
    <w:p>
      <w:pPr>
        <w:spacing w:line="201" w:lineRule="exact" w:before="0"/>
        <w:ind w:left="0" w:right="0" w:firstLine="0"/>
        <w:jc w:val="right"/>
        <w:rPr>
          <w:b/>
          <w:sz w:val="20"/>
        </w:rPr>
      </w:pPr>
      <w:r>
        <w:rPr>
          <w:b/>
          <w:color w:val="231F20"/>
          <w:sz w:val="20"/>
        </w:rPr>
        <w:t>LFMP</w:t>
      </w:r>
    </w:p>
    <w:p>
      <w:pPr>
        <w:pStyle w:val="BodyText"/>
        <w:spacing w:before="2"/>
        <w:rPr>
          <w:b/>
          <w:sz w:val="17"/>
        </w:rPr>
      </w:pPr>
      <w:r>
        <w:rPr/>
        <w:br w:type="column"/>
      </w:r>
      <w:r>
        <w:rPr>
          <w:b/>
          <w:sz w:val="17"/>
        </w:rPr>
      </w:r>
    </w:p>
    <w:p>
      <w:pPr>
        <w:spacing w:line="201" w:lineRule="exact" w:before="0"/>
        <w:ind w:left="476" w:right="0" w:firstLine="0"/>
        <w:jc w:val="left"/>
        <w:rPr>
          <w:b/>
          <w:sz w:val="20"/>
        </w:rPr>
      </w:pPr>
      <w:r>
        <w:rPr>
          <w:b/>
          <w:color w:val="231F20"/>
          <w:sz w:val="20"/>
        </w:rPr>
        <w:t>Operating</w:t>
      </w:r>
    </w:p>
    <w:p>
      <w:pPr>
        <w:spacing w:after="0" w:line="201" w:lineRule="exact"/>
        <w:jc w:val="left"/>
        <w:rPr>
          <w:sz w:val="20"/>
        </w:rPr>
        <w:sectPr>
          <w:type w:val="continuous"/>
          <w:pgSz w:w="11880" w:h="15480"/>
          <w:pgMar w:top="1260" w:bottom="280" w:left="1260" w:right="1240"/>
          <w:cols w:num="3" w:equalWidth="0">
            <w:col w:w="5438" w:space="40"/>
            <w:col w:w="2246" w:space="40"/>
            <w:col w:w="1616"/>
          </w:cols>
        </w:sectPr>
      </w:pPr>
    </w:p>
    <w:p>
      <w:pPr>
        <w:spacing w:line="228" w:lineRule="exact" w:before="0"/>
        <w:ind w:left="200" w:right="0" w:firstLine="0"/>
        <w:jc w:val="left"/>
        <w:rPr>
          <w:b/>
          <w:sz w:val="20"/>
        </w:rPr>
      </w:pPr>
      <w:r>
        <w:rPr/>
        <w:pict>
          <v:line style="position:absolute;mso-position-horizontal-relative:page;mso-position-vertical-relative:paragraph;z-index:4432" from="69pt,12.010139pt" to="221pt,12.010139pt" stroked="true" strokeweight=".5pt" strokecolor="#231f20">
            <v:stroke dashstyle="solid"/>
            <w10:wrap type="none"/>
          </v:line>
        </w:pict>
      </w:r>
      <w:r>
        <w:rPr/>
        <w:pict>
          <v:line style="position:absolute;mso-position-horizontal-relative:page;mso-position-vertical-relative:paragraph;z-index:4456" from="405pt,12.010139pt" to="525pt,12.010139pt" stroked="true" strokeweight=".5pt" strokecolor="#231f20">
            <v:stroke dashstyle="solid"/>
            <w10:wrap type="none"/>
          </v:line>
        </w:pict>
      </w:r>
      <w:r>
        <w:rPr>
          <w:b/>
          <w:color w:val="231F20"/>
          <w:sz w:val="20"/>
        </w:rPr>
        <w:t>(in millions)</w:t>
      </w:r>
    </w:p>
    <w:p>
      <w:pPr>
        <w:tabs>
          <w:tab w:pos="514" w:val="left" w:leader="none"/>
          <w:tab w:pos="1319" w:val="left" w:leader="none"/>
          <w:tab w:pos="1714" w:val="left" w:leader="none"/>
          <w:tab w:pos="2519" w:val="left" w:leader="none"/>
        </w:tabs>
        <w:spacing w:line="228" w:lineRule="exact" w:before="0"/>
        <w:ind w:left="200" w:right="0" w:firstLine="0"/>
        <w:jc w:val="left"/>
        <w:rPr>
          <w:b/>
          <w:sz w:val="20"/>
        </w:rPr>
      </w:pPr>
      <w:r>
        <w:rPr/>
        <w:br w:type="column"/>
      </w:r>
      <w:r>
        <w:rPr>
          <w:b/>
          <w:color w:val="231F20"/>
          <w:sz w:val="20"/>
          <w:u w:val="single" w:color="231F20"/>
        </w:rPr>
        <w:t> </w:t>
        <w:tab/>
        <w:t>leases</w:t>
        <w:tab/>
        <w:t> </w:t>
        <w:tab/>
        <w:t>leases</w:t>
        <w:tab/>
        <w:t>Subleases</w:t>
      </w:r>
      <w:r>
        <w:rPr>
          <w:b/>
          <w:color w:val="231F20"/>
          <w:spacing w:val="-1"/>
          <w:sz w:val="20"/>
          <w:u w:val="single" w:color="231F20"/>
        </w:rPr>
        <w:t> </w:t>
      </w:r>
    </w:p>
    <w:p>
      <w:pPr>
        <w:spacing w:line="228" w:lineRule="exact" w:before="0"/>
        <w:ind w:left="63" w:right="0" w:firstLine="0"/>
        <w:jc w:val="left"/>
        <w:rPr>
          <w:b/>
          <w:sz w:val="20"/>
        </w:rPr>
      </w:pPr>
      <w:r>
        <w:rPr/>
        <w:br w:type="column"/>
      </w:r>
      <w:r>
        <w:rPr>
          <w:b/>
          <w:color w:val="231F20"/>
          <w:sz w:val="20"/>
        </w:rPr>
        <w:t>facility lease*</w:t>
      </w:r>
    </w:p>
    <w:p>
      <w:pPr>
        <w:spacing w:line="228" w:lineRule="exact" w:before="0"/>
        <w:ind w:left="195" w:right="0" w:firstLine="0"/>
        <w:jc w:val="left"/>
        <w:rPr>
          <w:b/>
          <w:sz w:val="20"/>
        </w:rPr>
      </w:pPr>
      <w:r>
        <w:rPr/>
        <w:br w:type="column"/>
      </w:r>
      <w:r>
        <w:rPr>
          <w:b/>
          <w:color w:val="231F20"/>
          <w:sz w:val="20"/>
        </w:rPr>
        <w:t>leases, net</w:t>
      </w:r>
    </w:p>
    <w:p>
      <w:pPr>
        <w:spacing w:after="0" w:line="228" w:lineRule="exact"/>
        <w:jc w:val="left"/>
        <w:rPr>
          <w:sz w:val="20"/>
        </w:rPr>
        <w:sectPr>
          <w:type w:val="continuous"/>
          <w:pgSz w:w="11880" w:h="15480"/>
          <w:pgMar w:top="1260" w:bottom="280" w:left="1260" w:right="1240"/>
          <w:cols w:num="4" w:equalWidth="0">
            <w:col w:w="1229" w:space="1811"/>
            <w:col w:w="3720" w:space="40"/>
            <w:col w:w="1216" w:space="40"/>
            <w:col w:w="1324"/>
          </w:cols>
        </w:sectPr>
      </w:pPr>
    </w:p>
    <w:p>
      <w:pPr>
        <w:pStyle w:val="BodyText"/>
        <w:ind w:left="120"/>
        <w:rPr>
          <w:sz w:val="20"/>
        </w:rPr>
      </w:pPr>
      <w:r>
        <w:rPr>
          <w:sz w:val="20"/>
        </w:rPr>
        <w:pict>
          <v:shape style="width:456pt;height:15pt;mso-position-horizontal-relative:char;mso-position-vertical-relative:line" type="#_x0000_t202" filled="true" fillcolor="#ccecfc" stroked="false">
            <w10:anchorlock/>
            <v:textbox inset="0,0,0,0">
              <w:txbxContent>
                <w:p>
                  <w:pPr>
                    <w:tabs>
                      <w:tab w:pos="3119" w:val="left" w:leader="none"/>
                      <w:tab w:pos="3972" w:val="left" w:leader="none"/>
                      <w:tab w:pos="5072" w:val="left" w:leader="none"/>
                      <w:tab w:pos="6305" w:val="left" w:leader="none"/>
                      <w:tab w:pos="7652" w:val="left" w:leader="none"/>
                      <w:tab w:pos="8752" w:val="left" w:leader="none"/>
                    </w:tabs>
                    <w:spacing w:before="53"/>
                    <w:ind w:left="80" w:right="0" w:firstLine="0"/>
                    <w:jc w:val="left"/>
                    <w:rPr>
                      <w:sz w:val="20"/>
                    </w:rPr>
                  </w:pPr>
                  <w:r>
                    <w:rPr>
                      <w:color w:val="231F20"/>
                      <w:sz w:val="20"/>
                    </w:rPr>
                    <w:t>2015</w:t>
                    <w:tab/>
                    <w:t>$</w:t>
                    <w:tab/>
                    <w:t>33 </w:t>
                  </w:r>
                  <w:r>
                    <w:rPr>
                      <w:color w:val="231F20"/>
                      <w:spacing w:val="47"/>
                      <w:sz w:val="20"/>
                    </w:rPr>
                    <w:t> </w:t>
                  </w:r>
                  <w:r>
                    <w:rPr>
                      <w:color w:val="231F20"/>
                      <w:sz w:val="20"/>
                    </w:rPr>
                    <w:t>$</w:t>
                    <w:tab/>
                    <w:t>753 </w:t>
                  </w:r>
                  <w:r>
                    <w:rPr>
                      <w:color w:val="231F20"/>
                      <w:spacing w:val="47"/>
                      <w:sz w:val="20"/>
                    </w:rPr>
                    <w:t> </w:t>
                  </w:r>
                  <w:r>
                    <w:rPr>
                      <w:color w:val="231F20"/>
                      <w:sz w:val="20"/>
                    </w:rPr>
                    <w:t>$</w:t>
                    <w:tab/>
                    <w:t>(93)</w:t>
                  </w:r>
                  <w:r>
                    <w:rPr>
                      <w:color w:val="231F20"/>
                      <w:spacing w:val="30"/>
                      <w:sz w:val="20"/>
                    </w:rPr>
                    <w:t> </w:t>
                  </w:r>
                  <w:r>
                    <w:rPr>
                      <w:color w:val="231F20"/>
                      <w:sz w:val="20"/>
                    </w:rPr>
                    <w:t>$</w:t>
                    <w:tab/>
                    <w:t>24 </w:t>
                  </w:r>
                  <w:r>
                    <w:rPr>
                      <w:color w:val="231F20"/>
                      <w:spacing w:val="47"/>
                      <w:sz w:val="20"/>
                    </w:rPr>
                    <w:t> </w:t>
                  </w:r>
                  <w:r>
                    <w:rPr>
                      <w:color w:val="231F20"/>
                      <w:sz w:val="20"/>
                    </w:rPr>
                    <w:t>$</w:t>
                    <w:tab/>
                    <w:t>684</w:t>
                  </w:r>
                </w:p>
              </w:txbxContent>
            </v:textbox>
            <v:fill type="solid"/>
          </v:shape>
        </w:pict>
      </w:r>
      <w:r>
        <w:rPr>
          <w:sz w:val="20"/>
        </w:rPr>
      </w:r>
    </w:p>
    <w:p>
      <w:pPr>
        <w:pStyle w:val="BodyText"/>
        <w:spacing w:before="4"/>
        <w:rPr>
          <w:b/>
          <w:sz w:val="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20"/>
        <w:gridCol w:w="1120"/>
        <w:gridCol w:w="1240"/>
        <w:gridCol w:w="1707"/>
        <w:gridCol w:w="740"/>
        <w:gridCol w:w="1193"/>
      </w:tblGrid>
      <w:tr>
        <w:trPr>
          <w:trHeight w:val="240" w:hRule="exact"/>
        </w:trPr>
        <w:tc>
          <w:tcPr>
            <w:tcW w:w="3120" w:type="dxa"/>
          </w:tcPr>
          <w:p>
            <w:pPr>
              <w:pStyle w:val="TableParagraph"/>
              <w:spacing w:line="223" w:lineRule="exact" w:before="0"/>
              <w:ind w:left="80"/>
              <w:rPr>
                <w:sz w:val="20"/>
              </w:rPr>
            </w:pPr>
            <w:r>
              <w:rPr>
                <w:color w:val="231F20"/>
                <w:sz w:val="20"/>
              </w:rPr>
              <w:t>2016</w:t>
            </w:r>
          </w:p>
        </w:tc>
        <w:tc>
          <w:tcPr>
            <w:tcW w:w="1120" w:type="dxa"/>
          </w:tcPr>
          <w:p>
            <w:pPr>
              <w:pStyle w:val="TableParagraph"/>
              <w:spacing w:line="223" w:lineRule="exact" w:before="0"/>
              <w:ind w:right="66"/>
              <w:jc w:val="right"/>
              <w:rPr>
                <w:sz w:val="20"/>
              </w:rPr>
            </w:pPr>
            <w:r>
              <w:rPr>
                <w:color w:val="231F20"/>
                <w:sz w:val="20"/>
              </w:rPr>
              <w:t>42</w:t>
            </w:r>
          </w:p>
        </w:tc>
        <w:tc>
          <w:tcPr>
            <w:tcW w:w="1240" w:type="dxa"/>
          </w:tcPr>
          <w:p>
            <w:pPr>
              <w:pStyle w:val="TableParagraph"/>
              <w:spacing w:line="223" w:lineRule="exact" w:before="0"/>
              <w:ind w:right="105"/>
              <w:jc w:val="right"/>
              <w:rPr>
                <w:sz w:val="20"/>
              </w:rPr>
            </w:pPr>
            <w:r>
              <w:rPr>
                <w:color w:val="231F20"/>
                <w:sz w:val="20"/>
              </w:rPr>
              <w:t>715</w:t>
            </w:r>
          </w:p>
        </w:tc>
        <w:tc>
          <w:tcPr>
            <w:tcW w:w="1707" w:type="dxa"/>
          </w:tcPr>
          <w:p>
            <w:pPr>
              <w:pStyle w:val="TableParagraph"/>
              <w:spacing w:line="223" w:lineRule="exact" w:before="0"/>
              <w:ind w:left="725"/>
              <w:rPr>
                <w:sz w:val="20"/>
              </w:rPr>
            </w:pPr>
            <w:r>
              <w:rPr>
                <w:color w:val="231F20"/>
                <w:sz w:val="20"/>
              </w:rPr>
              <w:t>(103)</w:t>
            </w:r>
          </w:p>
        </w:tc>
        <w:tc>
          <w:tcPr>
            <w:tcW w:w="740" w:type="dxa"/>
          </w:tcPr>
          <w:p>
            <w:pPr>
              <w:pStyle w:val="TableParagraph"/>
              <w:spacing w:line="223" w:lineRule="exact" w:before="0"/>
              <w:ind w:right="71"/>
              <w:jc w:val="right"/>
              <w:rPr>
                <w:sz w:val="20"/>
              </w:rPr>
            </w:pPr>
            <w:r>
              <w:rPr>
                <w:color w:val="231F20"/>
                <w:sz w:val="20"/>
              </w:rPr>
              <w:t>24</w:t>
            </w:r>
          </w:p>
        </w:tc>
        <w:tc>
          <w:tcPr>
            <w:tcW w:w="1193" w:type="dxa"/>
          </w:tcPr>
          <w:p>
            <w:pPr>
              <w:pStyle w:val="TableParagraph"/>
              <w:spacing w:line="223" w:lineRule="exact" w:before="0"/>
              <w:ind w:right="66"/>
              <w:jc w:val="right"/>
              <w:rPr>
                <w:sz w:val="20"/>
              </w:rPr>
            </w:pPr>
            <w:r>
              <w:rPr>
                <w:color w:val="231F20"/>
                <w:sz w:val="20"/>
              </w:rPr>
              <w:t>636</w:t>
            </w:r>
          </w:p>
        </w:tc>
      </w:tr>
      <w:tr>
        <w:trPr>
          <w:trHeight w:val="300" w:hRule="exact"/>
        </w:trPr>
        <w:tc>
          <w:tcPr>
            <w:tcW w:w="3120" w:type="dxa"/>
            <w:shd w:val="clear" w:color="auto" w:fill="CCECFC"/>
          </w:tcPr>
          <w:p>
            <w:pPr>
              <w:pStyle w:val="TableParagraph"/>
              <w:ind w:left="80"/>
              <w:rPr>
                <w:sz w:val="20"/>
              </w:rPr>
            </w:pPr>
            <w:r>
              <w:rPr>
                <w:color w:val="231F20"/>
                <w:sz w:val="20"/>
              </w:rPr>
              <w:t>2017</w:t>
            </w:r>
          </w:p>
        </w:tc>
        <w:tc>
          <w:tcPr>
            <w:tcW w:w="1120" w:type="dxa"/>
            <w:shd w:val="clear" w:color="auto" w:fill="CCECFC"/>
          </w:tcPr>
          <w:p>
            <w:pPr>
              <w:pStyle w:val="TableParagraph"/>
              <w:ind w:right="66"/>
              <w:jc w:val="right"/>
              <w:rPr>
                <w:sz w:val="20"/>
              </w:rPr>
            </w:pPr>
            <w:r>
              <w:rPr>
                <w:color w:val="231F20"/>
                <w:sz w:val="20"/>
              </w:rPr>
              <w:t>45</w:t>
            </w:r>
          </w:p>
        </w:tc>
        <w:tc>
          <w:tcPr>
            <w:tcW w:w="1240" w:type="dxa"/>
            <w:shd w:val="clear" w:color="auto" w:fill="CCECFC"/>
          </w:tcPr>
          <w:p>
            <w:pPr>
              <w:pStyle w:val="TableParagraph"/>
              <w:ind w:right="105"/>
              <w:jc w:val="right"/>
              <w:rPr>
                <w:sz w:val="20"/>
              </w:rPr>
            </w:pPr>
            <w:r>
              <w:rPr>
                <w:color w:val="231F20"/>
                <w:sz w:val="20"/>
              </w:rPr>
              <w:t>671</w:t>
            </w:r>
          </w:p>
        </w:tc>
        <w:tc>
          <w:tcPr>
            <w:tcW w:w="1707" w:type="dxa"/>
            <w:shd w:val="clear" w:color="auto" w:fill="CCECFC"/>
          </w:tcPr>
          <w:p>
            <w:pPr>
              <w:pStyle w:val="TableParagraph"/>
              <w:ind w:left="725"/>
              <w:rPr>
                <w:sz w:val="20"/>
              </w:rPr>
            </w:pPr>
            <w:r>
              <w:rPr>
                <w:color w:val="231F20"/>
                <w:sz w:val="20"/>
              </w:rPr>
              <w:t>(103)</w:t>
            </w:r>
          </w:p>
        </w:tc>
        <w:tc>
          <w:tcPr>
            <w:tcW w:w="740" w:type="dxa"/>
            <w:shd w:val="clear" w:color="auto" w:fill="CCECFC"/>
          </w:tcPr>
          <w:p>
            <w:pPr>
              <w:pStyle w:val="TableParagraph"/>
              <w:ind w:right="71"/>
              <w:jc w:val="right"/>
              <w:rPr>
                <w:sz w:val="20"/>
              </w:rPr>
            </w:pPr>
            <w:r>
              <w:rPr>
                <w:color w:val="231F20"/>
                <w:sz w:val="20"/>
              </w:rPr>
              <w:t>24</w:t>
            </w:r>
          </w:p>
        </w:tc>
        <w:tc>
          <w:tcPr>
            <w:tcW w:w="1193" w:type="dxa"/>
            <w:shd w:val="clear" w:color="auto" w:fill="CCECFC"/>
          </w:tcPr>
          <w:p>
            <w:pPr>
              <w:pStyle w:val="TableParagraph"/>
              <w:ind w:right="66"/>
              <w:jc w:val="right"/>
              <w:rPr>
                <w:sz w:val="20"/>
              </w:rPr>
            </w:pPr>
            <w:r>
              <w:rPr>
                <w:color w:val="231F20"/>
                <w:sz w:val="20"/>
              </w:rPr>
              <w:t>592</w:t>
            </w:r>
          </w:p>
        </w:tc>
      </w:tr>
      <w:tr>
        <w:trPr>
          <w:trHeight w:val="300" w:hRule="exact"/>
        </w:trPr>
        <w:tc>
          <w:tcPr>
            <w:tcW w:w="3120" w:type="dxa"/>
          </w:tcPr>
          <w:p>
            <w:pPr>
              <w:pStyle w:val="TableParagraph"/>
              <w:ind w:left="80"/>
              <w:rPr>
                <w:sz w:val="20"/>
              </w:rPr>
            </w:pPr>
            <w:r>
              <w:rPr>
                <w:color w:val="231F20"/>
                <w:sz w:val="20"/>
              </w:rPr>
              <w:t>2018</w:t>
            </w:r>
          </w:p>
        </w:tc>
        <w:tc>
          <w:tcPr>
            <w:tcW w:w="1120" w:type="dxa"/>
          </w:tcPr>
          <w:p>
            <w:pPr>
              <w:pStyle w:val="TableParagraph"/>
              <w:ind w:right="66"/>
              <w:jc w:val="right"/>
              <w:rPr>
                <w:sz w:val="20"/>
              </w:rPr>
            </w:pPr>
            <w:r>
              <w:rPr>
                <w:color w:val="231F20"/>
                <w:sz w:val="20"/>
              </w:rPr>
              <w:t>44</w:t>
            </w:r>
          </w:p>
        </w:tc>
        <w:tc>
          <w:tcPr>
            <w:tcW w:w="1240" w:type="dxa"/>
          </w:tcPr>
          <w:p>
            <w:pPr>
              <w:pStyle w:val="TableParagraph"/>
              <w:ind w:right="105"/>
              <w:jc w:val="right"/>
              <w:rPr>
                <w:sz w:val="20"/>
              </w:rPr>
            </w:pPr>
            <w:r>
              <w:rPr>
                <w:color w:val="231F20"/>
                <w:sz w:val="20"/>
              </w:rPr>
              <w:t>573</w:t>
            </w:r>
          </w:p>
        </w:tc>
        <w:tc>
          <w:tcPr>
            <w:tcW w:w="1707" w:type="dxa"/>
          </w:tcPr>
          <w:p>
            <w:pPr>
              <w:pStyle w:val="TableParagraph"/>
              <w:ind w:left="725"/>
              <w:rPr>
                <w:sz w:val="20"/>
              </w:rPr>
            </w:pPr>
            <w:r>
              <w:rPr>
                <w:color w:val="231F20"/>
                <w:sz w:val="20"/>
              </w:rPr>
              <w:t>(102)</w:t>
            </w:r>
          </w:p>
        </w:tc>
        <w:tc>
          <w:tcPr>
            <w:tcW w:w="740" w:type="dxa"/>
          </w:tcPr>
          <w:p>
            <w:pPr>
              <w:pStyle w:val="TableParagraph"/>
              <w:ind w:right="71"/>
              <w:jc w:val="right"/>
              <w:rPr>
                <w:sz w:val="20"/>
              </w:rPr>
            </w:pPr>
            <w:r>
              <w:rPr>
                <w:color w:val="231F20"/>
                <w:sz w:val="20"/>
              </w:rPr>
              <w:t>25</w:t>
            </w:r>
          </w:p>
        </w:tc>
        <w:tc>
          <w:tcPr>
            <w:tcW w:w="1193" w:type="dxa"/>
          </w:tcPr>
          <w:p>
            <w:pPr>
              <w:pStyle w:val="TableParagraph"/>
              <w:ind w:right="66"/>
              <w:jc w:val="right"/>
              <w:rPr>
                <w:sz w:val="20"/>
              </w:rPr>
            </w:pPr>
            <w:r>
              <w:rPr>
                <w:color w:val="231F20"/>
                <w:sz w:val="20"/>
              </w:rPr>
              <w:t>496</w:t>
            </w:r>
          </w:p>
        </w:tc>
      </w:tr>
      <w:tr>
        <w:trPr>
          <w:trHeight w:val="300" w:hRule="exact"/>
        </w:trPr>
        <w:tc>
          <w:tcPr>
            <w:tcW w:w="3120" w:type="dxa"/>
            <w:shd w:val="clear" w:color="auto" w:fill="CCECFC"/>
          </w:tcPr>
          <w:p>
            <w:pPr>
              <w:pStyle w:val="TableParagraph"/>
              <w:ind w:left="80"/>
              <w:rPr>
                <w:sz w:val="20"/>
              </w:rPr>
            </w:pPr>
            <w:r>
              <w:rPr>
                <w:color w:val="231F20"/>
                <w:sz w:val="20"/>
              </w:rPr>
              <w:t>2019</w:t>
            </w:r>
          </w:p>
        </w:tc>
        <w:tc>
          <w:tcPr>
            <w:tcW w:w="1120" w:type="dxa"/>
            <w:shd w:val="clear" w:color="auto" w:fill="CCECFC"/>
          </w:tcPr>
          <w:p>
            <w:pPr>
              <w:pStyle w:val="TableParagraph"/>
              <w:ind w:right="66"/>
              <w:jc w:val="right"/>
              <w:rPr>
                <w:sz w:val="20"/>
              </w:rPr>
            </w:pPr>
            <w:r>
              <w:rPr>
                <w:color w:val="231F20"/>
                <w:sz w:val="20"/>
              </w:rPr>
              <w:t>43</w:t>
            </w:r>
          </w:p>
        </w:tc>
        <w:tc>
          <w:tcPr>
            <w:tcW w:w="1240" w:type="dxa"/>
            <w:shd w:val="clear" w:color="auto" w:fill="CCECFC"/>
          </w:tcPr>
          <w:p>
            <w:pPr>
              <w:pStyle w:val="TableParagraph"/>
              <w:ind w:right="105"/>
              <w:jc w:val="right"/>
              <w:rPr>
                <w:sz w:val="20"/>
              </w:rPr>
            </w:pPr>
            <w:r>
              <w:rPr>
                <w:color w:val="231F20"/>
                <w:sz w:val="20"/>
              </w:rPr>
              <w:t>502</w:t>
            </w:r>
          </w:p>
        </w:tc>
        <w:tc>
          <w:tcPr>
            <w:tcW w:w="1707" w:type="dxa"/>
            <w:shd w:val="clear" w:color="auto" w:fill="CCECFC"/>
          </w:tcPr>
          <w:p>
            <w:pPr>
              <w:pStyle w:val="TableParagraph"/>
              <w:ind w:left="825"/>
              <w:rPr>
                <w:sz w:val="20"/>
              </w:rPr>
            </w:pPr>
            <w:r>
              <w:rPr>
                <w:color w:val="231F20"/>
                <w:sz w:val="20"/>
              </w:rPr>
              <w:t>(97)</w:t>
            </w:r>
          </w:p>
        </w:tc>
        <w:tc>
          <w:tcPr>
            <w:tcW w:w="740" w:type="dxa"/>
            <w:shd w:val="clear" w:color="auto" w:fill="CCECFC"/>
          </w:tcPr>
          <w:p>
            <w:pPr>
              <w:pStyle w:val="TableParagraph"/>
              <w:ind w:right="71"/>
              <w:jc w:val="right"/>
              <w:rPr>
                <w:sz w:val="20"/>
              </w:rPr>
            </w:pPr>
            <w:r>
              <w:rPr>
                <w:color w:val="231F20"/>
                <w:sz w:val="20"/>
              </w:rPr>
              <w:t>25</w:t>
            </w:r>
          </w:p>
        </w:tc>
        <w:tc>
          <w:tcPr>
            <w:tcW w:w="1193" w:type="dxa"/>
            <w:shd w:val="clear" w:color="auto" w:fill="CCECFC"/>
          </w:tcPr>
          <w:p>
            <w:pPr>
              <w:pStyle w:val="TableParagraph"/>
              <w:ind w:right="66"/>
              <w:jc w:val="right"/>
              <w:rPr>
                <w:sz w:val="20"/>
              </w:rPr>
            </w:pPr>
            <w:r>
              <w:rPr>
                <w:color w:val="231F20"/>
                <w:sz w:val="20"/>
              </w:rPr>
              <w:t>430</w:t>
            </w:r>
          </w:p>
        </w:tc>
      </w:tr>
      <w:tr>
        <w:trPr>
          <w:trHeight w:val="315" w:hRule="exact"/>
        </w:trPr>
        <w:tc>
          <w:tcPr>
            <w:tcW w:w="3120" w:type="dxa"/>
          </w:tcPr>
          <w:p>
            <w:pPr>
              <w:pStyle w:val="TableParagraph"/>
              <w:ind w:left="80"/>
              <w:rPr>
                <w:sz w:val="20"/>
              </w:rPr>
            </w:pPr>
            <w:r>
              <w:rPr>
                <w:color w:val="231F20"/>
                <w:sz w:val="20"/>
              </w:rPr>
              <w:t>Thereafter</w:t>
            </w:r>
          </w:p>
        </w:tc>
        <w:tc>
          <w:tcPr>
            <w:tcW w:w="1120" w:type="dxa"/>
            <w:tcBorders>
              <w:bottom w:val="single" w:sz="4" w:space="0" w:color="231F20"/>
            </w:tcBorders>
          </w:tcPr>
          <w:p>
            <w:pPr>
              <w:pStyle w:val="TableParagraph"/>
              <w:ind w:right="64"/>
              <w:jc w:val="right"/>
              <w:rPr>
                <w:sz w:val="20"/>
              </w:rPr>
            </w:pPr>
            <w:r>
              <w:rPr>
                <w:color w:val="231F20"/>
                <w:sz w:val="20"/>
              </w:rPr>
              <w:t>202</w:t>
            </w:r>
          </w:p>
        </w:tc>
        <w:tc>
          <w:tcPr>
            <w:tcW w:w="1240" w:type="dxa"/>
            <w:tcBorders>
              <w:bottom w:val="single" w:sz="4" w:space="0" w:color="231F20"/>
            </w:tcBorders>
          </w:tcPr>
          <w:p>
            <w:pPr>
              <w:pStyle w:val="TableParagraph"/>
              <w:ind w:right="106"/>
              <w:jc w:val="right"/>
              <w:rPr>
                <w:sz w:val="20"/>
              </w:rPr>
            </w:pPr>
            <w:r>
              <w:rPr>
                <w:color w:val="231F20"/>
                <w:sz w:val="20"/>
              </w:rPr>
              <w:t>1,802</w:t>
            </w:r>
          </w:p>
        </w:tc>
        <w:tc>
          <w:tcPr>
            <w:tcW w:w="1707" w:type="dxa"/>
            <w:tcBorders>
              <w:bottom w:val="single" w:sz="4" w:space="0" w:color="231F20"/>
            </w:tcBorders>
          </w:tcPr>
          <w:p>
            <w:pPr>
              <w:pStyle w:val="TableParagraph"/>
              <w:ind w:left="726"/>
              <w:rPr>
                <w:sz w:val="20"/>
              </w:rPr>
            </w:pPr>
            <w:r>
              <w:rPr>
                <w:color w:val="231F20"/>
                <w:sz w:val="20"/>
              </w:rPr>
              <w:t>(144)</w:t>
            </w:r>
          </w:p>
        </w:tc>
        <w:tc>
          <w:tcPr>
            <w:tcW w:w="740" w:type="dxa"/>
            <w:tcBorders>
              <w:bottom w:val="single" w:sz="4" w:space="0" w:color="231F20"/>
            </w:tcBorders>
          </w:tcPr>
          <w:p>
            <w:pPr>
              <w:pStyle w:val="TableParagraph"/>
              <w:ind w:right="71"/>
              <w:jc w:val="right"/>
              <w:rPr>
                <w:sz w:val="20"/>
              </w:rPr>
            </w:pPr>
            <w:r>
              <w:rPr>
                <w:color w:val="231F20"/>
                <w:sz w:val="20"/>
              </w:rPr>
              <w:t>659</w:t>
            </w:r>
          </w:p>
        </w:tc>
        <w:tc>
          <w:tcPr>
            <w:tcW w:w="1193" w:type="dxa"/>
            <w:tcBorders>
              <w:bottom w:val="single" w:sz="4" w:space="0" w:color="231F20"/>
            </w:tcBorders>
          </w:tcPr>
          <w:p>
            <w:pPr>
              <w:pStyle w:val="TableParagraph"/>
              <w:ind w:right="64"/>
              <w:jc w:val="right"/>
              <w:rPr>
                <w:sz w:val="20"/>
              </w:rPr>
            </w:pPr>
            <w:r>
              <w:rPr>
                <w:color w:val="231F20"/>
                <w:sz w:val="20"/>
              </w:rPr>
              <w:t>2,317</w:t>
            </w:r>
          </w:p>
        </w:tc>
      </w:tr>
      <w:tr>
        <w:trPr>
          <w:trHeight w:val="340" w:hRule="exact"/>
        </w:trPr>
        <w:tc>
          <w:tcPr>
            <w:tcW w:w="3120" w:type="dxa"/>
            <w:shd w:val="clear" w:color="auto" w:fill="CCECFC"/>
          </w:tcPr>
          <w:p>
            <w:pPr>
              <w:pStyle w:val="TableParagraph"/>
              <w:ind w:left="80"/>
              <w:rPr>
                <w:sz w:val="20"/>
              </w:rPr>
            </w:pPr>
            <w:r>
              <w:rPr>
                <w:color w:val="231F20"/>
                <w:sz w:val="20"/>
              </w:rPr>
              <w:t>Total minimum lease payments</w:t>
            </w:r>
          </w:p>
        </w:tc>
        <w:tc>
          <w:tcPr>
            <w:tcW w:w="1120" w:type="dxa"/>
            <w:tcBorders>
              <w:top w:val="single" w:sz="4" w:space="0" w:color="231F20"/>
            </w:tcBorders>
            <w:shd w:val="clear" w:color="auto" w:fill="CCECFC"/>
          </w:tcPr>
          <w:p>
            <w:pPr>
              <w:pStyle w:val="TableParagraph"/>
              <w:tabs>
                <w:tab w:pos="752" w:val="left" w:leader="none"/>
              </w:tabs>
              <w:ind w:right="64"/>
              <w:jc w:val="right"/>
              <w:rPr>
                <w:sz w:val="20"/>
              </w:rPr>
            </w:pPr>
            <w:r>
              <w:rPr>
                <w:color w:val="231F20"/>
                <w:sz w:val="20"/>
              </w:rPr>
              <w:t>$</w:t>
              <w:tab/>
              <w:t>409</w:t>
            </w:r>
          </w:p>
        </w:tc>
        <w:tc>
          <w:tcPr>
            <w:tcW w:w="1240" w:type="dxa"/>
            <w:tcBorders>
              <w:top w:val="single" w:sz="4" w:space="0" w:color="231F20"/>
              <w:bottom w:val="single" w:sz="4" w:space="0" w:color="231F20"/>
            </w:tcBorders>
            <w:shd w:val="clear" w:color="auto" w:fill="CCECFC"/>
          </w:tcPr>
          <w:p>
            <w:pPr>
              <w:pStyle w:val="TableParagraph"/>
              <w:tabs>
                <w:tab w:pos="602" w:val="left" w:leader="none"/>
              </w:tabs>
              <w:ind w:right="38"/>
              <w:jc w:val="right"/>
              <w:rPr>
                <w:sz w:val="20"/>
              </w:rPr>
            </w:pPr>
            <w:r>
              <w:rPr>
                <w:color w:val="231F20"/>
                <w:sz w:val="20"/>
                <w:u w:val="single" w:color="231F20"/>
              </w:rPr>
              <w:t>$</w:t>
              <w:tab/>
              <w:t>5,016</w:t>
            </w:r>
            <w:r>
              <w:rPr>
                <w:color w:val="231F20"/>
                <w:spacing w:val="16"/>
                <w:sz w:val="20"/>
                <w:u w:val="single" w:color="231F20"/>
              </w:rPr>
              <w:t> </w:t>
            </w:r>
          </w:p>
        </w:tc>
        <w:tc>
          <w:tcPr>
            <w:tcW w:w="1707" w:type="dxa"/>
            <w:tcBorders>
              <w:top w:val="single" w:sz="4" w:space="0" w:color="231F20"/>
              <w:bottom w:val="single" w:sz="4" w:space="0" w:color="231F20"/>
            </w:tcBorders>
            <w:shd w:val="clear" w:color="auto" w:fill="CCECFC"/>
          </w:tcPr>
          <w:p>
            <w:pPr>
              <w:pStyle w:val="TableParagraph"/>
              <w:tabs>
                <w:tab w:pos="725" w:val="left" w:leader="none"/>
              </w:tabs>
              <w:ind w:left="40"/>
              <w:rPr>
                <w:sz w:val="20"/>
              </w:rPr>
            </w:pPr>
            <w:r>
              <w:rPr>
                <w:color w:val="231F20"/>
                <w:sz w:val="20"/>
                <w:u w:val="single" w:color="231F20"/>
              </w:rPr>
              <w:t>$</w:t>
              <w:tab/>
              <w:t>(642)</w:t>
            </w:r>
            <w:r>
              <w:rPr>
                <w:color w:val="231F20"/>
                <w:spacing w:val="30"/>
                <w:sz w:val="20"/>
                <w:u w:val="single" w:color="231F20"/>
              </w:rPr>
              <w:t> </w:t>
            </w:r>
            <w:r>
              <w:rPr>
                <w:color w:val="231F20"/>
                <w:sz w:val="20"/>
              </w:rPr>
              <w:t>$</w:t>
            </w:r>
          </w:p>
        </w:tc>
        <w:tc>
          <w:tcPr>
            <w:tcW w:w="740" w:type="dxa"/>
            <w:tcBorders>
              <w:top w:val="single" w:sz="4" w:space="0" w:color="231F20"/>
              <w:bottom w:val="double" w:sz="7" w:space="0" w:color="231F20"/>
            </w:tcBorders>
            <w:shd w:val="clear" w:color="auto" w:fill="CCECFC"/>
          </w:tcPr>
          <w:p>
            <w:pPr>
              <w:pStyle w:val="TableParagraph"/>
              <w:spacing w:before="48"/>
              <w:ind w:right="71"/>
              <w:jc w:val="right"/>
              <w:rPr>
                <w:sz w:val="20"/>
              </w:rPr>
            </w:pPr>
            <w:r>
              <w:rPr>
                <w:color w:val="231F20"/>
                <w:sz w:val="20"/>
              </w:rPr>
              <w:t>781</w:t>
            </w:r>
          </w:p>
        </w:tc>
        <w:tc>
          <w:tcPr>
            <w:tcW w:w="1193" w:type="dxa"/>
            <w:tcBorders>
              <w:top w:val="single" w:sz="4" w:space="0" w:color="231F20"/>
              <w:bottom w:val="double" w:sz="7" w:space="0" w:color="231F20"/>
            </w:tcBorders>
            <w:shd w:val="clear" w:color="auto" w:fill="CCECFC"/>
          </w:tcPr>
          <w:p>
            <w:pPr>
              <w:pStyle w:val="TableParagraph"/>
              <w:tabs>
                <w:tab w:pos="602" w:val="left" w:leader="none"/>
              </w:tabs>
              <w:spacing w:before="48"/>
              <w:ind w:right="64"/>
              <w:jc w:val="right"/>
              <w:rPr>
                <w:sz w:val="20"/>
              </w:rPr>
            </w:pPr>
            <w:r>
              <w:rPr>
                <w:color w:val="231F20"/>
                <w:sz w:val="20"/>
              </w:rPr>
              <w:t>$</w:t>
              <w:tab/>
              <w:t>5,155</w:t>
            </w:r>
          </w:p>
        </w:tc>
      </w:tr>
      <w:tr>
        <w:trPr>
          <w:trHeight w:val="320" w:hRule="exact"/>
        </w:trPr>
        <w:tc>
          <w:tcPr>
            <w:tcW w:w="3120" w:type="dxa"/>
          </w:tcPr>
          <w:p>
            <w:pPr>
              <w:pStyle w:val="TableParagraph"/>
              <w:spacing w:before="93"/>
              <w:ind w:left="80"/>
              <w:rPr>
                <w:sz w:val="20"/>
              </w:rPr>
            </w:pPr>
            <w:r>
              <w:rPr>
                <w:color w:val="231F20"/>
                <w:sz w:val="20"/>
              </w:rPr>
              <w:t>Less amount representing interest</w:t>
            </w:r>
          </w:p>
        </w:tc>
        <w:tc>
          <w:tcPr>
            <w:tcW w:w="1120" w:type="dxa"/>
            <w:tcBorders>
              <w:bottom w:val="single" w:sz="4" w:space="0" w:color="231F20"/>
            </w:tcBorders>
          </w:tcPr>
          <w:p>
            <w:pPr>
              <w:pStyle w:val="TableParagraph"/>
              <w:spacing w:before="93"/>
              <w:ind w:right="64"/>
              <w:jc w:val="right"/>
              <w:rPr>
                <w:sz w:val="20"/>
              </w:rPr>
            </w:pPr>
            <w:r>
              <w:rPr>
                <w:color w:val="231F20"/>
                <w:sz w:val="20"/>
              </w:rPr>
              <w:t>75</w:t>
            </w:r>
          </w:p>
        </w:tc>
        <w:tc>
          <w:tcPr>
            <w:tcW w:w="1240" w:type="dxa"/>
            <w:tcBorders>
              <w:top w:val="single" w:sz="4" w:space="0" w:color="231F20"/>
            </w:tcBorders>
          </w:tcPr>
          <w:p>
            <w:pPr/>
          </w:p>
        </w:tc>
        <w:tc>
          <w:tcPr>
            <w:tcW w:w="1707" w:type="dxa"/>
            <w:tcBorders>
              <w:top w:val="single" w:sz="4" w:space="0" w:color="231F20"/>
            </w:tcBorders>
          </w:tcPr>
          <w:p>
            <w:pPr/>
          </w:p>
        </w:tc>
        <w:tc>
          <w:tcPr>
            <w:tcW w:w="740" w:type="dxa"/>
            <w:tcBorders>
              <w:top w:val="double" w:sz="7" w:space="0" w:color="231F20"/>
            </w:tcBorders>
          </w:tcPr>
          <w:p>
            <w:pPr/>
          </w:p>
        </w:tc>
        <w:tc>
          <w:tcPr>
            <w:tcW w:w="1193" w:type="dxa"/>
            <w:tcBorders>
              <w:top w:val="double" w:sz="7" w:space="0" w:color="231F20"/>
            </w:tcBorders>
          </w:tcPr>
          <w:p>
            <w:pPr/>
          </w:p>
        </w:tc>
      </w:tr>
      <w:tr>
        <w:trPr>
          <w:trHeight w:val="545" w:hRule="exact"/>
        </w:trPr>
        <w:tc>
          <w:tcPr>
            <w:tcW w:w="3120" w:type="dxa"/>
            <w:shd w:val="clear" w:color="auto" w:fill="CCECFC"/>
          </w:tcPr>
          <w:p>
            <w:pPr>
              <w:pStyle w:val="TableParagraph"/>
              <w:spacing w:line="249" w:lineRule="auto"/>
              <w:ind w:left="80" w:right="454"/>
              <w:rPr>
                <w:sz w:val="20"/>
              </w:rPr>
            </w:pPr>
            <w:r>
              <w:rPr>
                <w:color w:val="231F20"/>
                <w:sz w:val="20"/>
              </w:rPr>
              <w:t>Present value of minimum lease payments</w:t>
            </w:r>
          </w:p>
        </w:tc>
        <w:tc>
          <w:tcPr>
            <w:tcW w:w="1120" w:type="dxa"/>
            <w:tcBorders>
              <w:top w:val="single" w:sz="4" w:space="0" w:color="231F20"/>
            </w:tcBorders>
            <w:shd w:val="clear" w:color="auto" w:fill="CCECFC"/>
          </w:tcPr>
          <w:p>
            <w:pPr>
              <w:pStyle w:val="TableParagraph"/>
              <w:spacing w:before="5"/>
              <w:rPr>
                <w:b/>
                <w:sz w:val="25"/>
              </w:rPr>
            </w:pPr>
          </w:p>
          <w:p>
            <w:pPr>
              <w:pStyle w:val="TableParagraph"/>
              <w:spacing w:before="1"/>
              <w:ind w:right="64"/>
              <w:jc w:val="right"/>
              <w:rPr>
                <w:sz w:val="20"/>
              </w:rPr>
            </w:pPr>
            <w:r>
              <w:rPr>
                <w:color w:val="231F20"/>
                <w:sz w:val="20"/>
              </w:rPr>
              <w:t>334</w:t>
            </w:r>
          </w:p>
        </w:tc>
        <w:tc>
          <w:tcPr>
            <w:tcW w:w="1240" w:type="dxa"/>
            <w:shd w:val="clear" w:color="auto" w:fill="CCECFC"/>
          </w:tcPr>
          <w:p>
            <w:pPr/>
          </w:p>
        </w:tc>
        <w:tc>
          <w:tcPr>
            <w:tcW w:w="1707" w:type="dxa"/>
            <w:shd w:val="clear" w:color="auto" w:fill="CCECFC"/>
          </w:tcPr>
          <w:p>
            <w:pPr/>
          </w:p>
        </w:tc>
        <w:tc>
          <w:tcPr>
            <w:tcW w:w="740" w:type="dxa"/>
            <w:shd w:val="clear" w:color="auto" w:fill="CCECFC"/>
          </w:tcPr>
          <w:p>
            <w:pPr/>
          </w:p>
        </w:tc>
        <w:tc>
          <w:tcPr>
            <w:tcW w:w="1193" w:type="dxa"/>
            <w:shd w:val="clear" w:color="auto" w:fill="CCECFC"/>
          </w:tcPr>
          <w:p>
            <w:pPr/>
          </w:p>
        </w:tc>
      </w:tr>
      <w:tr>
        <w:trPr>
          <w:trHeight w:val="315" w:hRule="exact"/>
        </w:trPr>
        <w:tc>
          <w:tcPr>
            <w:tcW w:w="3120" w:type="dxa"/>
          </w:tcPr>
          <w:p>
            <w:pPr>
              <w:pStyle w:val="TableParagraph"/>
              <w:ind w:left="80"/>
              <w:rPr>
                <w:sz w:val="20"/>
              </w:rPr>
            </w:pPr>
            <w:r>
              <w:rPr>
                <w:color w:val="231F20"/>
                <w:sz w:val="20"/>
              </w:rPr>
              <w:t>Less current portion</w:t>
            </w:r>
          </w:p>
        </w:tc>
        <w:tc>
          <w:tcPr>
            <w:tcW w:w="1120" w:type="dxa"/>
            <w:tcBorders>
              <w:bottom w:val="single" w:sz="4" w:space="0" w:color="231F20"/>
            </w:tcBorders>
          </w:tcPr>
          <w:p>
            <w:pPr>
              <w:pStyle w:val="TableParagraph"/>
              <w:ind w:right="66"/>
              <w:jc w:val="right"/>
              <w:rPr>
                <w:sz w:val="20"/>
              </w:rPr>
            </w:pPr>
            <w:r>
              <w:rPr>
                <w:color w:val="231F20"/>
                <w:sz w:val="20"/>
              </w:rPr>
              <w:t>23</w:t>
            </w:r>
          </w:p>
        </w:tc>
        <w:tc>
          <w:tcPr>
            <w:tcW w:w="1240" w:type="dxa"/>
          </w:tcPr>
          <w:p>
            <w:pPr/>
          </w:p>
        </w:tc>
        <w:tc>
          <w:tcPr>
            <w:tcW w:w="1707" w:type="dxa"/>
          </w:tcPr>
          <w:p>
            <w:pPr/>
          </w:p>
        </w:tc>
        <w:tc>
          <w:tcPr>
            <w:tcW w:w="740" w:type="dxa"/>
          </w:tcPr>
          <w:p>
            <w:pPr/>
          </w:p>
        </w:tc>
        <w:tc>
          <w:tcPr>
            <w:tcW w:w="1193" w:type="dxa"/>
          </w:tcPr>
          <w:p>
            <w:pPr/>
          </w:p>
        </w:tc>
      </w:tr>
      <w:tr>
        <w:trPr>
          <w:trHeight w:val="340" w:hRule="exact"/>
        </w:trPr>
        <w:tc>
          <w:tcPr>
            <w:tcW w:w="3120" w:type="dxa"/>
            <w:shd w:val="clear" w:color="auto" w:fill="CCECFC"/>
          </w:tcPr>
          <w:p>
            <w:pPr>
              <w:pStyle w:val="TableParagraph"/>
              <w:ind w:left="80"/>
              <w:rPr>
                <w:sz w:val="20"/>
              </w:rPr>
            </w:pPr>
            <w:r>
              <w:rPr>
                <w:color w:val="231F20"/>
                <w:sz w:val="20"/>
              </w:rPr>
              <w:t>Long-term portion</w:t>
            </w:r>
          </w:p>
        </w:tc>
        <w:tc>
          <w:tcPr>
            <w:tcW w:w="1120" w:type="dxa"/>
            <w:tcBorders>
              <w:top w:val="single" w:sz="4" w:space="0" w:color="231F20"/>
              <w:bottom w:val="double" w:sz="7" w:space="0" w:color="231F20"/>
            </w:tcBorders>
            <w:shd w:val="clear" w:color="auto" w:fill="CCECFC"/>
          </w:tcPr>
          <w:p>
            <w:pPr>
              <w:pStyle w:val="TableParagraph"/>
              <w:tabs>
                <w:tab w:pos="752" w:val="left" w:leader="none"/>
              </w:tabs>
              <w:ind w:right="64"/>
              <w:jc w:val="right"/>
              <w:rPr>
                <w:sz w:val="20"/>
              </w:rPr>
            </w:pPr>
            <w:r>
              <w:rPr>
                <w:color w:val="231F20"/>
                <w:sz w:val="20"/>
              </w:rPr>
              <w:t>$</w:t>
              <w:tab/>
              <w:t>311</w:t>
            </w:r>
          </w:p>
        </w:tc>
        <w:tc>
          <w:tcPr>
            <w:tcW w:w="1240" w:type="dxa"/>
            <w:shd w:val="clear" w:color="auto" w:fill="CCECFC"/>
          </w:tcPr>
          <w:p>
            <w:pPr/>
          </w:p>
        </w:tc>
        <w:tc>
          <w:tcPr>
            <w:tcW w:w="1707" w:type="dxa"/>
            <w:shd w:val="clear" w:color="auto" w:fill="CCECFC"/>
          </w:tcPr>
          <w:p>
            <w:pPr/>
          </w:p>
        </w:tc>
        <w:tc>
          <w:tcPr>
            <w:tcW w:w="740" w:type="dxa"/>
            <w:shd w:val="clear" w:color="auto" w:fill="CCECFC"/>
          </w:tcPr>
          <w:p>
            <w:pPr/>
          </w:p>
        </w:tc>
        <w:tc>
          <w:tcPr>
            <w:tcW w:w="1193" w:type="dxa"/>
            <w:shd w:val="clear" w:color="auto" w:fill="CCECFC"/>
          </w:tcPr>
          <w:p>
            <w:pPr/>
          </w:p>
        </w:tc>
      </w:tr>
    </w:tbl>
    <w:p>
      <w:pPr>
        <w:spacing w:before="27"/>
        <w:ind w:left="120" w:right="0" w:firstLine="0"/>
        <w:jc w:val="left"/>
        <w:rPr>
          <w:sz w:val="18"/>
        </w:rPr>
      </w:pPr>
      <w:r>
        <w:rPr>
          <w:color w:val="231F20"/>
          <w:sz w:val="18"/>
        </w:rPr>
        <w:t>* See Note 4 for further details</w:t>
      </w:r>
    </w:p>
    <w:p>
      <w:pPr>
        <w:pStyle w:val="BodyText"/>
        <w:spacing w:before="2"/>
      </w:pPr>
    </w:p>
    <w:p>
      <w:pPr>
        <w:pStyle w:val="BodyText"/>
        <w:spacing w:line="247" w:lineRule="auto"/>
        <w:ind w:left="120" w:right="141" w:firstLine="720"/>
        <w:jc w:val="both"/>
      </w:pPr>
      <w:r>
        <w:rPr>
          <w:color w:val="231F20"/>
          <w:spacing w:val="-3"/>
        </w:rPr>
        <w:t>The </w:t>
      </w:r>
      <w:r>
        <w:rPr>
          <w:color w:val="231F20"/>
          <w:spacing w:val="-4"/>
        </w:rPr>
        <w:t>aircraft leases generally </w:t>
      </w:r>
      <w:r>
        <w:rPr>
          <w:color w:val="231F20"/>
          <w:spacing w:val="-3"/>
        </w:rPr>
        <w:t>can </w:t>
      </w:r>
      <w:r>
        <w:rPr>
          <w:color w:val="231F20"/>
        </w:rPr>
        <w:t>be </w:t>
      </w:r>
      <w:r>
        <w:rPr>
          <w:color w:val="231F20"/>
          <w:spacing w:val="-4"/>
        </w:rPr>
        <w:t>renewed </w:t>
      </w:r>
      <w:r>
        <w:rPr>
          <w:color w:val="231F20"/>
          <w:spacing w:val="-3"/>
        </w:rPr>
        <w:t>for one </w:t>
      </w:r>
      <w:r>
        <w:rPr>
          <w:color w:val="231F20"/>
        </w:rPr>
        <w:t>to </w:t>
      </w:r>
      <w:r>
        <w:rPr>
          <w:color w:val="231F20"/>
          <w:spacing w:val="-3"/>
        </w:rPr>
        <w:t>five </w:t>
      </w:r>
      <w:r>
        <w:rPr>
          <w:color w:val="231F20"/>
          <w:spacing w:val="-4"/>
        </w:rPr>
        <w:t>years </w:t>
      </w:r>
      <w:r>
        <w:rPr>
          <w:color w:val="231F20"/>
        </w:rPr>
        <w:t>at </w:t>
      </w:r>
      <w:r>
        <w:rPr>
          <w:color w:val="231F20"/>
          <w:spacing w:val="-4"/>
        </w:rPr>
        <w:t>rates based </w:t>
      </w:r>
      <w:r>
        <w:rPr>
          <w:color w:val="231F20"/>
        </w:rPr>
        <w:t>on </w:t>
      </w:r>
      <w:r>
        <w:rPr>
          <w:color w:val="231F20"/>
          <w:spacing w:val="-4"/>
        </w:rPr>
        <w:t>fair </w:t>
      </w:r>
      <w:r>
        <w:rPr>
          <w:color w:val="231F20"/>
          <w:spacing w:val="-5"/>
        </w:rPr>
        <w:t>market </w:t>
      </w:r>
      <w:r>
        <w:rPr>
          <w:color w:val="231F20"/>
          <w:spacing w:val="-4"/>
        </w:rPr>
        <w:t>value </w:t>
      </w:r>
      <w:r>
        <w:rPr>
          <w:color w:val="231F20"/>
        </w:rPr>
        <w:t>at </w:t>
      </w:r>
      <w:r>
        <w:rPr>
          <w:color w:val="231F20"/>
          <w:spacing w:val="-3"/>
        </w:rPr>
        <w:t>the end </w:t>
      </w:r>
      <w:r>
        <w:rPr>
          <w:color w:val="231F20"/>
        </w:rPr>
        <w:t>of </w:t>
      </w:r>
      <w:r>
        <w:rPr>
          <w:color w:val="231F20"/>
          <w:spacing w:val="-3"/>
        </w:rPr>
        <w:t>the </w:t>
      </w:r>
      <w:r>
        <w:rPr>
          <w:color w:val="231F20"/>
          <w:spacing w:val="-4"/>
        </w:rPr>
        <w:t>lease term. </w:t>
      </w:r>
      <w:r>
        <w:rPr>
          <w:color w:val="231F20"/>
          <w:spacing w:val="-3"/>
        </w:rPr>
        <w:t>Most </w:t>
      </w:r>
      <w:r>
        <w:rPr>
          <w:color w:val="231F20"/>
          <w:spacing w:val="-4"/>
        </w:rPr>
        <w:t>aircraft leases </w:t>
      </w:r>
      <w:r>
        <w:rPr>
          <w:color w:val="231F20"/>
          <w:spacing w:val="-3"/>
        </w:rPr>
        <w:t>have </w:t>
      </w:r>
      <w:r>
        <w:rPr>
          <w:color w:val="231F20"/>
          <w:spacing w:val="-4"/>
        </w:rPr>
        <w:t>purchase options </w:t>
      </w:r>
      <w:r>
        <w:rPr>
          <w:color w:val="231F20"/>
        </w:rPr>
        <w:t>at or </w:t>
      </w:r>
      <w:r>
        <w:rPr>
          <w:color w:val="231F20"/>
          <w:spacing w:val="-3"/>
        </w:rPr>
        <w:t>near the end </w:t>
      </w:r>
      <w:r>
        <w:rPr>
          <w:color w:val="231F20"/>
        </w:rPr>
        <w:t>of </w:t>
      </w:r>
      <w:r>
        <w:rPr>
          <w:color w:val="231F20"/>
          <w:spacing w:val="-3"/>
        </w:rPr>
        <w:t>the </w:t>
      </w:r>
      <w:r>
        <w:rPr>
          <w:color w:val="231F20"/>
          <w:spacing w:val="-5"/>
        </w:rPr>
        <w:t>lease </w:t>
      </w:r>
      <w:r>
        <w:rPr>
          <w:color w:val="231F20"/>
          <w:spacing w:val="-3"/>
        </w:rPr>
        <w:t>term </w:t>
      </w:r>
      <w:r>
        <w:rPr>
          <w:color w:val="231F20"/>
        </w:rPr>
        <w:t>at </w:t>
      </w:r>
      <w:r>
        <w:rPr>
          <w:color w:val="231F20"/>
          <w:spacing w:val="-3"/>
        </w:rPr>
        <w:t>fair </w:t>
      </w:r>
      <w:r>
        <w:rPr>
          <w:color w:val="231F20"/>
          <w:spacing w:val="-4"/>
        </w:rPr>
        <w:t>market value, generally limited </w:t>
      </w:r>
      <w:r>
        <w:rPr>
          <w:color w:val="231F20"/>
          <w:spacing w:val="-3"/>
        </w:rPr>
        <w:t>to </w:t>
      </w:r>
      <w:r>
        <w:rPr>
          <w:color w:val="231F20"/>
        </w:rPr>
        <w:t>a </w:t>
      </w:r>
      <w:r>
        <w:rPr>
          <w:color w:val="231F20"/>
          <w:spacing w:val="-4"/>
        </w:rPr>
        <w:t>stated percentage </w:t>
      </w:r>
      <w:r>
        <w:rPr>
          <w:color w:val="231F20"/>
        </w:rPr>
        <w:t>of </w:t>
      </w:r>
      <w:r>
        <w:rPr>
          <w:color w:val="231F20"/>
          <w:spacing w:val="-3"/>
        </w:rPr>
        <w:t>the </w:t>
      </w:r>
      <w:r>
        <w:rPr>
          <w:color w:val="231F20"/>
          <w:spacing w:val="-4"/>
        </w:rPr>
        <w:t>lessor’s defined </w:t>
      </w:r>
      <w:r>
        <w:rPr>
          <w:color w:val="231F20"/>
          <w:spacing w:val="-3"/>
        </w:rPr>
        <w:t>cost </w:t>
      </w:r>
      <w:r>
        <w:rPr>
          <w:color w:val="231F20"/>
        </w:rPr>
        <w:t>of </w:t>
      </w:r>
      <w:r>
        <w:rPr>
          <w:color w:val="231F20"/>
          <w:spacing w:val="-3"/>
        </w:rPr>
        <w:t>the </w:t>
      </w:r>
      <w:r>
        <w:rPr>
          <w:color w:val="231F20"/>
          <w:spacing w:val="-4"/>
        </w:rPr>
        <w:t>aircraft.</w:t>
      </w:r>
    </w:p>
    <w:p>
      <w:pPr>
        <w:spacing w:after="0" w:line="247" w:lineRule="auto"/>
        <w:jc w:val="both"/>
        <w:sectPr>
          <w:type w:val="continuous"/>
          <w:pgSz w:w="11880" w:h="15480"/>
          <w:pgMar w:top="1260" w:bottom="280" w:left="1260" w:right="1240"/>
        </w:sectPr>
      </w:pPr>
    </w:p>
    <w:p>
      <w:pPr>
        <w:pStyle w:val="BodyText"/>
        <w:spacing w:line="247" w:lineRule="auto" w:before="74"/>
        <w:ind w:left="100" w:right="117" w:firstLine="720"/>
        <w:jc w:val="both"/>
      </w:pPr>
      <w:r>
        <w:rPr>
          <w:color w:val="231F20"/>
        </w:rPr>
        <w:t>During fourth quarter 2013, the Company entered into sale and leaseback transactions with a third party aircraft lessor for the sale and leaseback of two Boeing 737-800 aircraft. The transactions were closed on the date of delivery from Boeing, and resulted in the delivery payments being made by the aircraft lessor directly to Boeing, and Southwest being refunded the $12 million in progress payments it had previously made to Boeing during the period the aircraft was being constructed. These transactions resulted in deferred gains that are not material, which are being amortized over the terms of the respective leases, which are both 11 years. Both of the leases from these sale and leaseback transactions are accounted for as operating leases. Under the terms of the lease agreements, the Company will continue to operate and maintain the aircraft. Payments under the lease agreements are fixed. The lease agreements contain standard termination events, including termination upon a breach of the Company’s obligations to make rental payments and upon any other material breach of the Company’s obligations under the leases, and standard maintenance and return condition provisions. Upon a termination of the lease due to a breach by the Company, the Company would be liable for standard contractual damages, possibly including damages suffered by the lessor in connection with remarketing the aircraft or while the aircraft is not leased to another</w:t>
      </w:r>
      <w:r>
        <w:rPr>
          <w:color w:val="231F20"/>
          <w:spacing w:val="-4"/>
        </w:rPr>
        <w:t> </w:t>
      </w:r>
      <w:r>
        <w:rPr>
          <w:color w:val="231F20"/>
        </w:rPr>
        <w:t>party.</w:t>
      </w:r>
    </w:p>
    <w:p>
      <w:pPr>
        <w:pStyle w:val="BodyText"/>
        <w:spacing w:before="9"/>
        <w:rPr>
          <w:sz w:val="20"/>
        </w:rPr>
      </w:pPr>
    </w:p>
    <w:p>
      <w:pPr>
        <w:pStyle w:val="BodyText"/>
        <w:spacing w:line="247" w:lineRule="auto"/>
        <w:ind w:left="100" w:right="117" w:firstLine="720"/>
        <w:jc w:val="both"/>
      </w:pPr>
      <w:r>
        <w:rPr>
          <w:color w:val="231F20"/>
        </w:rPr>
        <w:t>On July 9, 2012, the Company signed an agreement with Delta Air Lines, Inc. and Boeing Capital Corp. to lease or sublease all 88 of AirTran’s B717s to Delta at agreed-upon lease rates. The first converted B717 was delivered to Delta in September 2013, and as of December 31, 2014, the Company had delivered a total of 52 B717s to Delta. Over the expected term of the transition period  for all B717s, the Company expects to average approximately three B717 conversions per month; however, as the Company previously announced, all B717s remaining at Southwest were grounded on December 28, 2014. A portion of the B717 fleet that will not be delivered to Delta until the second half of 2015 has been placed in storage until each aircraft is ready to be converted. A total of 76 of the B717s are on operating lease, ten are owned, and two are on capital</w:t>
      </w:r>
      <w:r>
        <w:rPr>
          <w:color w:val="231F20"/>
          <w:spacing w:val="1"/>
        </w:rPr>
        <w:t> </w:t>
      </w:r>
      <w:r>
        <w:rPr>
          <w:color w:val="231F20"/>
        </w:rPr>
        <w:t>lease.</w:t>
      </w:r>
    </w:p>
    <w:p>
      <w:pPr>
        <w:pStyle w:val="BodyText"/>
        <w:spacing w:before="9"/>
        <w:rPr>
          <w:sz w:val="20"/>
        </w:rPr>
      </w:pPr>
    </w:p>
    <w:p>
      <w:pPr>
        <w:pStyle w:val="BodyText"/>
        <w:spacing w:line="247" w:lineRule="auto"/>
        <w:ind w:left="100" w:right="117" w:firstLine="720"/>
        <w:jc w:val="both"/>
      </w:pPr>
      <w:r>
        <w:rPr>
          <w:color w:val="231F20"/>
        </w:rPr>
        <w:t>The Company has paid and will continue to pay the majority of the costs to convert the aircraft to the Delta livery and perform certain maintenance checks prior to the delivery of each aircraft. The agreement to pay these conversion and maintenance costs is a “lease incentive” under applicable accounting guidance. The sublease terms for the 76 B717s on operating lease and the two B717s on capital lease coincide with the Company’s remaining lease terms for these aircraft from the original lessor, which range from approximately three to nine years. The leasing of the ten B717s that are owned by the Company is subject to certain conditions, and the lease terms are for seven years, after which Delta will have the option to purchase the aircraft at the then-prevailing market value. The Company accounts for the lease and sublease transactions with Delta as operating leases, except for the two aircraft classified by the Company as capital leases. The subleases of the two capital lease aircraft are accounted for as direct financing leases. There are no contingent payments and no significant residual value conditions associated with the transaction.</w:t>
      </w:r>
    </w:p>
    <w:p>
      <w:pPr>
        <w:pStyle w:val="BodyText"/>
        <w:spacing w:before="9"/>
        <w:rPr>
          <w:sz w:val="20"/>
        </w:rPr>
      </w:pPr>
    </w:p>
    <w:p>
      <w:pPr>
        <w:pStyle w:val="BodyText"/>
        <w:spacing w:line="247" w:lineRule="auto"/>
        <w:ind w:left="100" w:right="118" w:firstLine="720"/>
        <w:jc w:val="both"/>
      </w:pPr>
      <w:r>
        <w:rPr>
          <w:color w:val="231F20"/>
        </w:rPr>
        <w:t>The accounting for this transaction is based on the guidance provided for lease transactions. For the components of this transaction finalized in third quarter 2012 and with respect to which the lease  inception  has  been  deemed  to  occur,  the  Company  recorded  a  charge  of      </w:t>
      </w:r>
      <w:r>
        <w:rPr>
          <w:color w:val="231F20"/>
          <w:spacing w:val="11"/>
        </w:rPr>
        <w:t> </w:t>
      </w:r>
      <w:r>
        <w:rPr>
          <w:color w:val="231F20"/>
        </w:rPr>
        <w:t>approximately</w:t>
      </w:r>
    </w:p>
    <w:p>
      <w:pPr>
        <w:pStyle w:val="BodyText"/>
        <w:spacing w:line="247" w:lineRule="auto"/>
        <w:ind w:left="100" w:right="117"/>
        <w:jc w:val="both"/>
      </w:pPr>
      <w:r>
        <w:rPr>
          <w:color w:val="231F20"/>
        </w:rPr>
        <w:t>$137 million during third quarter 2012. The charge represents the remaining estimated cost, at the scheduled date of delivery of each B717 to Delta (including the conversion, maintenance, and other contractual costs to be incurred), of the Company’s lease of the 76 B717s that are accounted for as operating leases, net of the future sublease income from Delta and the remaining unfavorable aircraft lease liability established as of the acquisition date. During 2014, the Company recorded an   additional</w:t>
      </w:r>
    </w:p>
    <w:p>
      <w:pPr>
        <w:pStyle w:val="BodyText"/>
        <w:spacing w:line="253" w:lineRule="exact"/>
        <w:ind w:left="100"/>
        <w:jc w:val="both"/>
      </w:pPr>
      <w:r>
        <w:rPr>
          <w:color w:val="231F20"/>
        </w:rPr>
        <w:t>$22 million in expense for its revised estimate of conversion costs for these B717s. The charges</w:t>
      </w:r>
    </w:p>
    <w:p>
      <w:pPr>
        <w:spacing w:after="0" w:line="253" w:lineRule="exact"/>
        <w:jc w:val="both"/>
        <w:sectPr>
          <w:pgSz w:w="11880" w:h="15480"/>
          <w:pgMar w:header="0" w:footer="1240" w:top="1240" w:bottom="1420" w:left="1280" w:right="1260"/>
        </w:sectPr>
      </w:pPr>
    </w:p>
    <w:p>
      <w:pPr>
        <w:pStyle w:val="BodyText"/>
        <w:spacing w:line="247" w:lineRule="auto" w:before="74"/>
        <w:ind w:left="100" w:right="118"/>
        <w:jc w:val="both"/>
      </w:pPr>
      <w:r>
        <w:rPr>
          <w:color w:val="231F20"/>
        </w:rPr>
        <w:t>recorded by the Company for this transaction were included as a component of Acquisition and integration costs in the Company’s Consolidated Statement of Income and were included as a component of Other, net in Cash flows from operating activities in the Company’s Consolidated Statement of Cash Flows, and the corresponding liability for this transaction is included as a  component of Current liabilities and Other noncurrent liabilities in the Company’s Consolidated Balance Sheet. A rollforward of the Company’s B717 lease/sublease liability for 2014 and 2013 is shown below:</w:t>
      </w:r>
    </w:p>
    <w:p>
      <w:pPr>
        <w:pStyle w:val="BodyText"/>
        <w:spacing w:before="3"/>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87"/>
        <w:gridCol w:w="4298"/>
        <w:gridCol w:w="435"/>
      </w:tblGrid>
      <w:tr>
        <w:trPr>
          <w:trHeight w:val="256" w:hRule="exact"/>
        </w:trPr>
        <w:tc>
          <w:tcPr>
            <w:tcW w:w="4387" w:type="dxa"/>
            <w:tcBorders>
              <w:bottom w:val="single" w:sz="8" w:space="0" w:color="231F20"/>
            </w:tcBorders>
          </w:tcPr>
          <w:p>
            <w:pPr>
              <w:pStyle w:val="TableParagraph"/>
              <w:spacing w:line="229" w:lineRule="exact" w:before="0"/>
              <w:ind w:left="80"/>
              <w:rPr>
                <w:b/>
                <w:sz w:val="20"/>
              </w:rPr>
            </w:pPr>
            <w:r>
              <w:rPr>
                <w:b/>
                <w:color w:val="231F20"/>
                <w:sz w:val="20"/>
              </w:rPr>
              <w:t>(in millions)</w:t>
            </w:r>
          </w:p>
        </w:tc>
        <w:tc>
          <w:tcPr>
            <w:tcW w:w="4298" w:type="dxa"/>
            <w:tcBorders>
              <w:bottom w:val="single" w:sz="8" w:space="0" w:color="231F20"/>
            </w:tcBorders>
          </w:tcPr>
          <w:p>
            <w:pPr>
              <w:pStyle w:val="TableParagraph"/>
              <w:spacing w:line="229" w:lineRule="exact" w:before="0"/>
              <w:ind w:left="1862"/>
              <w:rPr>
                <w:b/>
                <w:sz w:val="20"/>
              </w:rPr>
            </w:pPr>
            <w:r>
              <w:rPr>
                <w:b/>
                <w:color w:val="231F20"/>
                <w:sz w:val="20"/>
              </w:rPr>
              <w:t>B717 lease/sublease liability</w:t>
            </w:r>
          </w:p>
        </w:tc>
        <w:tc>
          <w:tcPr>
            <w:tcW w:w="435" w:type="dxa"/>
            <w:tcBorders>
              <w:bottom w:val="single" w:sz="8" w:space="0" w:color="231F20"/>
            </w:tcBorders>
          </w:tcPr>
          <w:p>
            <w:pPr/>
          </w:p>
        </w:tc>
      </w:tr>
      <w:tr>
        <w:trPr>
          <w:trHeight w:val="310" w:hRule="exact"/>
        </w:trPr>
        <w:tc>
          <w:tcPr>
            <w:tcW w:w="4387" w:type="dxa"/>
            <w:tcBorders>
              <w:top w:val="single" w:sz="8" w:space="0" w:color="231F20"/>
            </w:tcBorders>
            <w:shd w:val="clear" w:color="auto" w:fill="CCECFC"/>
          </w:tcPr>
          <w:p>
            <w:pPr>
              <w:pStyle w:val="TableParagraph"/>
              <w:ind w:left="80"/>
              <w:rPr>
                <w:sz w:val="20"/>
              </w:rPr>
            </w:pPr>
            <w:r>
              <w:rPr>
                <w:color w:val="231F20"/>
                <w:sz w:val="20"/>
              </w:rPr>
              <w:t>Balance at December 31, 2012</w:t>
            </w:r>
          </w:p>
        </w:tc>
        <w:tc>
          <w:tcPr>
            <w:tcW w:w="4298" w:type="dxa"/>
            <w:tcBorders>
              <w:top w:val="single" w:sz="8" w:space="0" w:color="231F20"/>
            </w:tcBorders>
            <w:shd w:val="clear" w:color="auto" w:fill="CCECFC"/>
          </w:tcPr>
          <w:p>
            <w:pPr>
              <w:pStyle w:val="TableParagraph"/>
              <w:ind w:left="1362"/>
              <w:rPr>
                <w:sz w:val="20"/>
              </w:rPr>
            </w:pPr>
            <w:r>
              <w:rPr>
                <w:color w:val="231F20"/>
                <w:sz w:val="20"/>
              </w:rPr>
              <w:t>$</w:t>
            </w:r>
          </w:p>
        </w:tc>
        <w:tc>
          <w:tcPr>
            <w:tcW w:w="435" w:type="dxa"/>
            <w:tcBorders>
              <w:top w:val="single" w:sz="8" w:space="0" w:color="231F20"/>
            </w:tcBorders>
            <w:shd w:val="clear" w:color="auto" w:fill="CCECFC"/>
          </w:tcPr>
          <w:p>
            <w:pPr>
              <w:pStyle w:val="TableParagraph"/>
              <w:ind w:left="67"/>
              <w:rPr>
                <w:sz w:val="20"/>
              </w:rPr>
            </w:pPr>
            <w:r>
              <w:rPr>
                <w:color w:val="231F20"/>
                <w:sz w:val="20"/>
              </w:rPr>
              <w:t>128</w:t>
            </w:r>
          </w:p>
        </w:tc>
      </w:tr>
      <w:tr>
        <w:trPr>
          <w:trHeight w:val="300" w:hRule="exact"/>
        </w:trPr>
        <w:tc>
          <w:tcPr>
            <w:tcW w:w="4387" w:type="dxa"/>
          </w:tcPr>
          <w:p>
            <w:pPr>
              <w:pStyle w:val="TableParagraph"/>
              <w:ind w:left="200"/>
              <w:rPr>
                <w:sz w:val="20"/>
              </w:rPr>
            </w:pPr>
            <w:r>
              <w:rPr>
                <w:color w:val="231F20"/>
                <w:sz w:val="20"/>
              </w:rPr>
              <w:t>Lease/sublease accretion</w:t>
            </w:r>
          </w:p>
        </w:tc>
        <w:tc>
          <w:tcPr>
            <w:tcW w:w="4298" w:type="dxa"/>
          </w:tcPr>
          <w:p>
            <w:pPr/>
          </w:p>
        </w:tc>
        <w:tc>
          <w:tcPr>
            <w:tcW w:w="435" w:type="dxa"/>
          </w:tcPr>
          <w:p>
            <w:pPr>
              <w:pStyle w:val="TableParagraph"/>
              <w:ind w:left="267"/>
              <w:rPr>
                <w:sz w:val="20"/>
              </w:rPr>
            </w:pPr>
            <w:r>
              <w:rPr>
                <w:color w:val="231F20"/>
                <w:sz w:val="20"/>
              </w:rPr>
              <w:t>6</w:t>
            </w:r>
          </w:p>
        </w:tc>
      </w:tr>
      <w:tr>
        <w:trPr>
          <w:trHeight w:val="300" w:hRule="exact"/>
        </w:trPr>
        <w:tc>
          <w:tcPr>
            <w:tcW w:w="4387" w:type="dxa"/>
            <w:shd w:val="clear" w:color="auto" w:fill="CCECFC"/>
          </w:tcPr>
          <w:p>
            <w:pPr>
              <w:pStyle w:val="TableParagraph"/>
              <w:ind w:left="200"/>
              <w:rPr>
                <w:sz w:val="20"/>
              </w:rPr>
            </w:pPr>
            <w:r>
              <w:rPr>
                <w:color w:val="231F20"/>
                <w:sz w:val="20"/>
              </w:rPr>
              <w:t>Lease/sublease payments, net (a)</w:t>
            </w:r>
          </w:p>
        </w:tc>
        <w:tc>
          <w:tcPr>
            <w:tcW w:w="4298" w:type="dxa"/>
            <w:tcBorders>
              <w:bottom w:val="single" w:sz="4" w:space="0" w:color="231F20"/>
            </w:tcBorders>
            <w:shd w:val="clear" w:color="auto" w:fill="CCECFC"/>
          </w:tcPr>
          <w:p>
            <w:pPr/>
          </w:p>
        </w:tc>
        <w:tc>
          <w:tcPr>
            <w:tcW w:w="435" w:type="dxa"/>
            <w:tcBorders>
              <w:bottom w:val="single" w:sz="4" w:space="0" w:color="231F20"/>
            </w:tcBorders>
            <w:shd w:val="clear" w:color="auto" w:fill="CCECFC"/>
          </w:tcPr>
          <w:p>
            <w:pPr>
              <w:pStyle w:val="TableParagraph"/>
              <w:ind w:left="100"/>
              <w:rPr>
                <w:sz w:val="20"/>
              </w:rPr>
            </w:pPr>
            <w:r>
              <w:rPr>
                <w:color w:val="231F20"/>
                <w:sz w:val="20"/>
              </w:rPr>
              <w:t>(12)</w:t>
            </w:r>
          </w:p>
        </w:tc>
      </w:tr>
      <w:tr>
        <w:trPr>
          <w:trHeight w:val="340" w:hRule="exact"/>
        </w:trPr>
        <w:tc>
          <w:tcPr>
            <w:tcW w:w="4387" w:type="dxa"/>
          </w:tcPr>
          <w:p>
            <w:pPr>
              <w:pStyle w:val="TableParagraph"/>
              <w:spacing w:before="73"/>
              <w:ind w:left="80"/>
              <w:rPr>
                <w:sz w:val="20"/>
              </w:rPr>
            </w:pPr>
            <w:r>
              <w:rPr>
                <w:color w:val="231F20"/>
                <w:sz w:val="20"/>
              </w:rPr>
              <w:t>Balance at December 31, 2013</w:t>
            </w:r>
          </w:p>
        </w:tc>
        <w:tc>
          <w:tcPr>
            <w:tcW w:w="4298" w:type="dxa"/>
            <w:tcBorders>
              <w:top w:val="single" w:sz="4" w:space="0" w:color="231F20"/>
              <w:bottom w:val="single" w:sz="4" w:space="0" w:color="231F20"/>
            </w:tcBorders>
          </w:tcPr>
          <w:p>
            <w:pPr>
              <w:pStyle w:val="TableParagraph"/>
              <w:spacing w:before="68"/>
              <w:ind w:left="1362"/>
              <w:rPr>
                <w:sz w:val="20"/>
              </w:rPr>
            </w:pPr>
            <w:r>
              <w:rPr>
                <w:color w:val="231F20"/>
                <w:sz w:val="20"/>
              </w:rPr>
              <w:t>$</w:t>
            </w:r>
          </w:p>
        </w:tc>
        <w:tc>
          <w:tcPr>
            <w:tcW w:w="435" w:type="dxa"/>
            <w:tcBorders>
              <w:top w:val="single" w:sz="4" w:space="0" w:color="231F20"/>
              <w:bottom w:val="single" w:sz="4" w:space="0" w:color="231F20"/>
            </w:tcBorders>
          </w:tcPr>
          <w:p>
            <w:pPr>
              <w:pStyle w:val="TableParagraph"/>
              <w:spacing w:before="68"/>
              <w:ind w:left="67"/>
              <w:rPr>
                <w:sz w:val="20"/>
              </w:rPr>
            </w:pPr>
            <w:r>
              <w:rPr>
                <w:color w:val="231F20"/>
                <w:sz w:val="20"/>
              </w:rPr>
              <w:t>122</w:t>
            </w:r>
          </w:p>
        </w:tc>
      </w:tr>
      <w:tr>
        <w:trPr>
          <w:trHeight w:val="300" w:hRule="exact"/>
        </w:trPr>
        <w:tc>
          <w:tcPr>
            <w:tcW w:w="4387" w:type="dxa"/>
            <w:shd w:val="clear" w:color="auto" w:fill="CCECFC"/>
          </w:tcPr>
          <w:p>
            <w:pPr>
              <w:pStyle w:val="TableParagraph"/>
              <w:ind w:left="200"/>
              <w:rPr>
                <w:sz w:val="20"/>
              </w:rPr>
            </w:pPr>
            <w:r>
              <w:rPr>
                <w:color w:val="231F20"/>
                <w:sz w:val="20"/>
              </w:rPr>
              <w:t>Lease/sublease accretion</w:t>
            </w:r>
          </w:p>
        </w:tc>
        <w:tc>
          <w:tcPr>
            <w:tcW w:w="4298" w:type="dxa"/>
            <w:tcBorders>
              <w:top w:val="single" w:sz="4" w:space="0" w:color="231F20"/>
            </w:tcBorders>
            <w:shd w:val="clear" w:color="auto" w:fill="CCECFC"/>
          </w:tcPr>
          <w:p>
            <w:pPr/>
          </w:p>
        </w:tc>
        <w:tc>
          <w:tcPr>
            <w:tcW w:w="435" w:type="dxa"/>
            <w:tcBorders>
              <w:top w:val="single" w:sz="4" w:space="0" w:color="231F20"/>
            </w:tcBorders>
            <w:shd w:val="clear" w:color="auto" w:fill="CCECFC"/>
          </w:tcPr>
          <w:p>
            <w:pPr>
              <w:pStyle w:val="TableParagraph"/>
              <w:spacing w:before="48"/>
              <w:ind w:left="267"/>
              <w:rPr>
                <w:sz w:val="20"/>
              </w:rPr>
            </w:pPr>
            <w:r>
              <w:rPr>
                <w:color w:val="231F20"/>
                <w:sz w:val="20"/>
              </w:rPr>
              <w:t>5</w:t>
            </w:r>
          </w:p>
        </w:tc>
      </w:tr>
      <w:tr>
        <w:trPr>
          <w:trHeight w:val="300" w:hRule="exact"/>
        </w:trPr>
        <w:tc>
          <w:tcPr>
            <w:tcW w:w="4387" w:type="dxa"/>
          </w:tcPr>
          <w:p>
            <w:pPr>
              <w:pStyle w:val="TableParagraph"/>
              <w:ind w:left="200"/>
              <w:rPr>
                <w:sz w:val="20"/>
              </w:rPr>
            </w:pPr>
            <w:r>
              <w:rPr>
                <w:color w:val="231F20"/>
                <w:sz w:val="20"/>
              </w:rPr>
              <w:t>Lease/sublease expense adjustment</w:t>
            </w:r>
          </w:p>
        </w:tc>
        <w:tc>
          <w:tcPr>
            <w:tcW w:w="4298" w:type="dxa"/>
          </w:tcPr>
          <w:p>
            <w:pPr/>
          </w:p>
        </w:tc>
        <w:tc>
          <w:tcPr>
            <w:tcW w:w="435" w:type="dxa"/>
          </w:tcPr>
          <w:p>
            <w:pPr>
              <w:pStyle w:val="TableParagraph"/>
              <w:ind w:left="167"/>
              <w:rPr>
                <w:sz w:val="20"/>
              </w:rPr>
            </w:pPr>
            <w:r>
              <w:rPr>
                <w:color w:val="231F20"/>
                <w:sz w:val="20"/>
              </w:rPr>
              <w:t>22</w:t>
            </w:r>
          </w:p>
        </w:tc>
      </w:tr>
      <w:tr>
        <w:trPr>
          <w:trHeight w:val="300" w:hRule="exact"/>
        </w:trPr>
        <w:tc>
          <w:tcPr>
            <w:tcW w:w="4387" w:type="dxa"/>
            <w:shd w:val="clear" w:color="auto" w:fill="CCECFC"/>
          </w:tcPr>
          <w:p>
            <w:pPr>
              <w:pStyle w:val="TableParagraph"/>
              <w:ind w:left="200"/>
              <w:rPr>
                <w:sz w:val="20"/>
              </w:rPr>
            </w:pPr>
            <w:r>
              <w:rPr>
                <w:color w:val="231F20"/>
                <w:sz w:val="20"/>
              </w:rPr>
              <w:t>Lease/sublease payments, net (a)</w:t>
            </w:r>
          </w:p>
        </w:tc>
        <w:tc>
          <w:tcPr>
            <w:tcW w:w="4298" w:type="dxa"/>
            <w:shd w:val="clear" w:color="auto" w:fill="CCECFC"/>
          </w:tcPr>
          <w:p>
            <w:pPr/>
          </w:p>
        </w:tc>
        <w:tc>
          <w:tcPr>
            <w:tcW w:w="435" w:type="dxa"/>
            <w:shd w:val="clear" w:color="auto" w:fill="CCECFC"/>
          </w:tcPr>
          <w:p>
            <w:pPr>
              <w:pStyle w:val="TableParagraph"/>
              <w:ind w:left="100"/>
              <w:rPr>
                <w:sz w:val="20"/>
              </w:rPr>
            </w:pPr>
            <w:r>
              <w:rPr>
                <w:color w:val="231F20"/>
                <w:sz w:val="20"/>
              </w:rPr>
              <w:t>(86)</w:t>
            </w:r>
          </w:p>
        </w:tc>
      </w:tr>
    </w:tbl>
    <w:p>
      <w:pPr>
        <w:pStyle w:val="BodyText"/>
        <w:spacing w:line="20" w:lineRule="exact"/>
        <w:ind w:left="5844"/>
        <w:rPr>
          <w:sz w:val="2"/>
        </w:rPr>
      </w:pPr>
      <w:r>
        <w:rPr>
          <w:sz w:val="2"/>
        </w:rPr>
        <w:pict>
          <v:group style="width:169.05pt;height:.5pt;mso-position-horizontal-relative:char;mso-position-vertical-relative:line" coordorigin="0,0" coordsize="3381,10">
            <v:line style="position:absolute" from="5,5" to="3376,5" stroked="true" strokeweight=".5pt" strokecolor="#231f20">
              <v:stroke dashstyle="solid"/>
            </v:line>
          </v:group>
        </w:pict>
      </w:r>
      <w:r>
        <w:rPr>
          <w:sz w:val="2"/>
        </w:rPr>
      </w:r>
    </w:p>
    <w:p>
      <w:pPr>
        <w:tabs>
          <w:tab w:pos="5848" w:val="left" w:leader="none"/>
          <w:tab w:pos="8952" w:val="left" w:leader="none"/>
        </w:tabs>
        <w:spacing w:before="53"/>
        <w:ind w:left="180" w:right="0" w:firstLine="0"/>
        <w:jc w:val="both"/>
        <w:rPr>
          <w:sz w:val="20"/>
        </w:rPr>
      </w:pPr>
      <w:r>
        <w:rPr/>
        <w:pict>
          <v:line style="position:absolute;mso-position-horizontal-relative:page;mso-position-vertical-relative:paragraph;z-index:4528;mso-wrap-distance-left:0;mso-wrap-distance-right:0" from="356.450012pt,15.735937pt" to="525.000012pt,15.735937pt" stroked="true" strokeweight=".5pt" strokecolor="#231f20">
            <v:stroke dashstyle="solid"/>
            <w10:wrap type="topAndBottom"/>
          </v:line>
        </w:pict>
      </w:r>
      <w:r>
        <w:rPr>
          <w:color w:val="231F20"/>
          <w:sz w:val="20"/>
        </w:rPr>
        <w:t>Balance at December</w:t>
      </w:r>
      <w:r>
        <w:rPr>
          <w:color w:val="231F20"/>
          <w:spacing w:val="1"/>
          <w:sz w:val="20"/>
        </w:rPr>
        <w:t> </w:t>
      </w:r>
      <w:r>
        <w:rPr>
          <w:color w:val="231F20"/>
          <w:sz w:val="20"/>
        </w:rPr>
        <w:t>31, 2014</w:t>
        <w:tab/>
      </w:r>
      <w:r>
        <w:rPr>
          <w:color w:val="231F20"/>
          <w:sz w:val="20"/>
          <w:u w:val="single" w:color="231F20"/>
        </w:rPr>
        <w:t>$</w:t>
        <w:tab/>
        <w:t>63</w:t>
      </w:r>
      <w:r>
        <w:rPr>
          <w:color w:val="231F20"/>
          <w:spacing w:val="16"/>
          <w:sz w:val="20"/>
          <w:u w:val="single" w:color="231F20"/>
        </w:rPr>
        <w:t> </w:t>
      </w:r>
    </w:p>
    <w:p>
      <w:pPr>
        <w:spacing w:before="24"/>
        <w:ind w:left="100" w:right="0" w:firstLine="0"/>
        <w:jc w:val="both"/>
        <w:rPr>
          <w:sz w:val="20"/>
        </w:rPr>
      </w:pPr>
      <w:r>
        <w:rPr>
          <w:color w:val="231F20"/>
          <w:sz w:val="20"/>
        </w:rPr>
        <w:t>(a) Includes lease conversion cost payments</w:t>
      </w:r>
    </w:p>
    <w:p>
      <w:pPr>
        <w:pStyle w:val="BodyText"/>
        <w:spacing w:before="9"/>
        <w:rPr>
          <w:sz w:val="21"/>
        </w:rPr>
      </w:pPr>
    </w:p>
    <w:p>
      <w:pPr>
        <w:pStyle w:val="BodyText"/>
        <w:spacing w:line="247" w:lineRule="auto"/>
        <w:ind w:left="100" w:right="118"/>
        <w:jc w:val="both"/>
      </w:pPr>
      <w:r>
        <w:rPr>
          <w:color w:val="231F20"/>
        </w:rPr>
        <w:t>The Company halted service of its B717 fleet as of December 28, 2014, and as a result recorded an additional $9 million charge associated with the extension of the time between when the Company removed the aircraft from revenue service and when they enter the conversion process.</w:t>
      </w:r>
    </w:p>
    <w:p>
      <w:pPr>
        <w:pStyle w:val="BodyText"/>
        <w:spacing w:before="9"/>
        <w:rPr>
          <w:sz w:val="20"/>
        </w:rPr>
      </w:pPr>
    </w:p>
    <w:p>
      <w:pPr>
        <w:pStyle w:val="Heading1"/>
        <w:numPr>
          <w:ilvl w:val="0"/>
          <w:numId w:val="15"/>
        </w:numPr>
        <w:tabs>
          <w:tab w:pos="320" w:val="left" w:leader="none"/>
        </w:tabs>
        <w:spacing w:line="240" w:lineRule="auto" w:before="0" w:after="0"/>
        <w:ind w:left="320" w:right="0" w:hanging="220"/>
        <w:jc w:val="both"/>
      </w:pPr>
      <w:r>
        <w:rPr>
          <w:color w:val="231F20"/>
        </w:rPr>
        <w:t>COMMON STOCK</w:t>
      </w:r>
    </w:p>
    <w:p>
      <w:pPr>
        <w:pStyle w:val="BodyText"/>
        <w:spacing w:before="5"/>
        <w:rPr>
          <w:b/>
          <w:sz w:val="21"/>
        </w:rPr>
      </w:pPr>
    </w:p>
    <w:p>
      <w:pPr>
        <w:pStyle w:val="BodyText"/>
        <w:spacing w:line="247" w:lineRule="auto"/>
        <w:ind w:left="100" w:right="119" w:firstLine="720"/>
        <w:jc w:val="both"/>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2014, the Company had 47 million shares of common stock reserved for issuance pursuant to Employee equity plans (of which 20 million shares had not been granted) through various share-based compensation arrangements. See Note 9 to the Consolidated Financial Statements for information regarding the Company’s equity plans.</w:t>
      </w:r>
    </w:p>
    <w:p>
      <w:pPr>
        <w:pStyle w:val="BodyText"/>
        <w:spacing w:before="2"/>
        <w:rPr>
          <w:sz w:val="31"/>
        </w:rPr>
      </w:pPr>
    </w:p>
    <w:p>
      <w:pPr>
        <w:pStyle w:val="Heading1"/>
        <w:numPr>
          <w:ilvl w:val="0"/>
          <w:numId w:val="15"/>
        </w:numPr>
        <w:tabs>
          <w:tab w:pos="320" w:val="left" w:leader="none"/>
        </w:tabs>
        <w:spacing w:line="240" w:lineRule="auto" w:before="1" w:after="0"/>
        <w:ind w:left="320" w:right="0" w:hanging="220"/>
        <w:jc w:val="both"/>
      </w:pPr>
      <w:r>
        <w:rPr>
          <w:color w:val="231F20"/>
        </w:rPr>
        <w:t>STOCK</w:t>
      </w:r>
      <w:r>
        <w:rPr>
          <w:color w:val="231F20"/>
          <w:spacing w:val="-1"/>
        </w:rPr>
        <w:t> </w:t>
      </w:r>
      <w:r>
        <w:rPr>
          <w:color w:val="231F20"/>
        </w:rPr>
        <w:t>PLANS</w:t>
      </w:r>
    </w:p>
    <w:p>
      <w:pPr>
        <w:pStyle w:val="BodyText"/>
        <w:spacing w:before="5"/>
        <w:rPr>
          <w:b/>
          <w:sz w:val="21"/>
        </w:rPr>
      </w:pPr>
    </w:p>
    <w:p>
      <w:pPr>
        <w:pStyle w:val="Heading2"/>
        <w:ind w:left="320"/>
        <w:rPr>
          <w:i/>
        </w:rPr>
      </w:pPr>
      <w:r>
        <w:rPr>
          <w:i/>
          <w:color w:val="231F20"/>
        </w:rPr>
        <w:t>Share-based compensation</w:t>
      </w:r>
    </w:p>
    <w:p>
      <w:pPr>
        <w:pStyle w:val="BodyText"/>
        <w:spacing w:before="4"/>
        <w:rPr>
          <w:b/>
          <w:i/>
          <w:sz w:val="21"/>
        </w:rPr>
      </w:pPr>
    </w:p>
    <w:p>
      <w:pPr>
        <w:pStyle w:val="BodyText"/>
        <w:spacing w:line="247" w:lineRule="auto" w:before="1"/>
        <w:ind w:left="100" w:right="117" w:firstLine="720"/>
        <w:jc w:val="both"/>
      </w:pPr>
      <w:r>
        <w:rPr>
          <w:color w:val="231F20"/>
        </w:rPr>
        <w:t>The Company accounts for share-based compensation utilizing fair value. The Consolidated Statement of Income for the years ended December 31, 2014, 2013, and 2012, reflects share-based compensation expense of $21 million, $18 million, and $16 million, respectively. The total tax benefit recognized in earnings from share-based compensation arrangements for the years ended December 31, 2014, 2013, and 2012, was not material. As of December 31, 2014, there was $33 million of total unrecognized compensation cost related to share-based compensation arrangements, which is expected to be recognized over a weighted-average period of 1.1 years.</w:t>
      </w:r>
    </w:p>
    <w:p>
      <w:pPr>
        <w:spacing w:after="0" w:line="247" w:lineRule="auto"/>
        <w:jc w:val="both"/>
        <w:sectPr>
          <w:pgSz w:w="11880" w:h="15480"/>
          <w:pgMar w:header="0" w:footer="1240" w:top="1240" w:bottom="1420" w:left="1280" w:right="1260"/>
        </w:sectPr>
      </w:pPr>
    </w:p>
    <w:p>
      <w:pPr>
        <w:pStyle w:val="Heading2"/>
        <w:spacing w:before="74"/>
        <w:ind w:left="320"/>
        <w:rPr>
          <w:i/>
        </w:rPr>
      </w:pPr>
      <w:r>
        <w:rPr>
          <w:i/>
          <w:color w:val="231F20"/>
        </w:rPr>
        <w:t>Restricted stock units and stock grants</w:t>
      </w:r>
    </w:p>
    <w:p>
      <w:pPr>
        <w:pStyle w:val="BodyText"/>
        <w:spacing w:before="4"/>
        <w:rPr>
          <w:b/>
          <w:i/>
          <w:sz w:val="21"/>
        </w:rPr>
      </w:pPr>
    </w:p>
    <w:p>
      <w:pPr>
        <w:pStyle w:val="BodyText"/>
        <w:spacing w:line="247" w:lineRule="auto" w:before="1"/>
        <w:ind w:left="100" w:right="117" w:firstLine="720"/>
        <w:jc w:val="both"/>
      </w:pPr>
      <w:r>
        <w:rPr>
          <w:color w:val="231F20"/>
        </w:rPr>
        <w:t>Under the Company’s Amended and Restated 2007 Equity Incentive Plan (“2007 Equity Plan”), it granted restricted stock units (“RSUs”) to certain Employees during 2012, 2013, and 2014 and performance-based restricted stock units (“PBRSUs”) to certain Employees during 2014. The fair value of RSUs and PBRSUs is based on the closing price of the Company’s common stock on the date of grant. Outstanding RSUs vest over three years, subject generally to the individual’s continued employment or service. The PBRSUs vest on May 14, 2017, subject to the Company’s performance with respect to a three-year simple average of Return on Invested Capital, before taxes and excluding special items (“ROIC”), for the period beginning on January 1, 2014 and ending on December 31, 2016, and the individual’s continued employment or service. The number of PBRSUs vesting on the vesting date will be interpolated based on the average ROIC for the defined performance period, and ranges from zero PBRSUs at an average ROIC of 12 percent or lower to 200 percent of granted PBRSUs at an average ROIC of 20 percent or higher. The Company recognizes all expense on a straight-line basis over the vesting period, with any changes in expense due to the number of PBRSUs expected to vest being modified on a prospective</w:t>
      </w:r>
      <w:r>
        <w:rPr>
          <w:color w:val="231F20"/>
          <w:spacing w:val="-1"/>
        </w:rPr>
        <w:t> </w:t>
      </w:r>
      <w:r>
        <w:rPr>
          <w:color w:val="231F20"/>
        </w:rPr>
        <w:t>basis.</w:t>
      </w:r>
    </w:p>
    <w:p>
      <w:pPr>
        <w:pStyle w:val="BodyText"/>
        <w:spacing w:before="9"/>
        <w:rPr>
          <w:sz w:val="20"/>
        </w:rPr>
      </w:pPr>
    </w:p>
    <w:p>
      <w:pPr>
        <w:pStyle w:val="BodyText"/>
        <w:spacing w:line="247" w:lineRule="auto"/>
        <w:ind w:left="100" w:right="118" w:firstLine="720"/>
        <w:jc w:val="both"/>
      </w:pPr>
      <w:r>
        <w:rPr>
          <w:color w:val="231F20"/>
        </w:rPr>
        <w:t>In addition, the Company granted approximately 36 thousand shares of unrestricted stock at a weighted average grant price of $24.91 in 2014, approximately 63 thousand shares at a weighted average grant price of $14.34 in 2013, and approximately 82 thousand shares at a weighted average grant price of $8.21 in 2012, to members of its Board of Directors. The fair value of unrestricted stock grants is also based on the closing price of the Company’s common stock on the date of grant.</w:t>
      </w:r>
    </w:p>
    <w:p>
      <w:pPr>
        <w:pStyle w:val="BodyText"/>
        <w:spacing w:before="8"/>
        <w:rPr>
          <w:sz w:val="20"/>
        </w:rPr>
      </w:pPr>
    </w:p>
    <w:p>
      <w:pPr>
        <w:pStyle w:val="BodyText"/>
        <w:spacing w:line="247" w:lineRule="auto" w:before="1"/>
        <w:ind w:left="100" w:right="118" w:firstLine="720"/>
        <w:jc w:val="both"/>
      </w:pPr>
      <w:r>
        <w:rPr>
          <w:color w:val="231F20"/>
        </w:rPr>
        <w:t>A remaining balance of up to ten million shares of the Company’s common stock may be issued pursuant to grants under the 2007 Equity Plan. Aggregated information regarding the Company’s RSUs and PBRSUs is summarized below:</w:t>
      </w:r>
    </w:p>
    <w:p>
      <w:pPr>
        <w:pStyle w:val="BodyText"/>
        <w:spacing w:before="3"/>
        <w:rPr>
          <w:sz w:val="17"/>
        </w:rPr>
      </w:pPr>
    </w:p>
    <w:p>
      <w:pPr>
        <w:spacing w:before="0" w:after="17"/>
        <w:ind w:left="6210" w:right="0" w:firstLine="0"/>
        <w:jc w:val="left"/>
        <w:rPr>
          <w:b/>
          <w:sz w:val="20"/>
        </w:rPr>
      </w:pPr>
      <w:r>
        <w:rPr>
          <w:b/>
          <w:color w:val="231F20"/>
          <w:sz w:val="20"/>
        </w:rPr>
        <w:t>All Restricted Stock Units</w:t>
      </w:r>
    </w:p>
    <w:p>
      <w:pPr>
        <w:pStyle w:val="BodyText"/>
        <w:spacing w:line="20" w:lineRule="exact"/>
        <w:ind w:left="5410"/>
        <w:rPr>
          <w:sz w:val="2"/>
        </w:rPr>
      </w:pPr>
      <w:r>
        <w:rPr>
          <w:sz w:val="2"/>
        </w:rPr>
        <w:pict>
          <v:group style="width:191pt;height:1pt;mso-position-horizontal-relative:char;mso-position-vertical-relative:line" coordorigin="0,0" coordsize="3820,20">
            <v:line style="position:absolute" from="10,10" to="3810,10" stroked="true" strokeweight="1pt" strokecolor="#231f20">
              <v:stroke dashstyle="solid"/>
            </v:line>
          </v:group>
        </w:pict>
      </w:r>
      <w:r>
        <w:rPr>
          <w:sz w:val="2"/>
        </w:rPr>
      </w:r>
    </w:p>
    <w:p>
      <w:pPr>
        <w:spacing w:line="200" w:lineRule="exact" w:before="40"/>
        <w:ind w:left="7961" w:right="306" w:hanging="136"/>
        <w:jc w:val="left"/>
        <w:rPr>
          <w:b/>
          <w:sz w:val="20"/>
        </w:rPr>
      </w:pPr>
      <w:r>
        <w:rPr/>
        <w:pict>
          <v:shape style="position:absolute;margin-left:69pt;margin-top:20.700001pt;width:456pt;height:225.5pt;mso-position-horizontal-relative:page;mso-position-vertical-relative:paragraph;z-index:45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20"/>
                    <w:gridCol w:w="2111"/>
                    <w:gridCol w:w="1689"/>
                  </w:tblGrid>
                  <w:tr>
                    <w:trPr>
                      <w:trHeight w:val="256" w:hRule="exact"/>
                    </w:trPr>
                    <w:tc>
                      <w:tcPr>
                        <w:tcW w:w="5320" w:type="dxa"/>
                      </w:tcPr>
                      <w:p>
                        <w:pPr/>
                      </w:p>
                    </w:tc>
                    <w:tc>
                      <w:tcPr>
                        <w:tcW w:w="2111" w:type="dxa"/>
                        <w:tcBorders>
                          <w:bottom w:val="single" w:sz="8" w:space="0" w:color="231F20"/>
                        </w:tcBorders>
                      </w:tcPr>
                      <w:p>
                        <w:pPr>
                          <w:pStyle w:val="TableParagraph"/>
                          <w:spacing w:line="229" w:lineRule="exact" w:before="0"/>
                          <w:ind w:left="430"/>
                          <w:rPr>
                            <w:b/>
                            <w:sz w:val="20"/>
                          </w:rPr>
                        </w:pPr>
                        <w:r>
                          <w:rPr>
                            <w:b/>
                            <w:color w:val="231F20"/>
                            <w:sz w:val="20"/>
                          </w:rPr>
                          <w:t>Units (000)</w:t>
                        </w:r>
                      </w:p>
                    </w:tc>
                    <w:tc>
                      <w:tcPr>
                        <w:tcW w:w="1689" w:type="dxa"/>
                        <w:tcBorders>
                          <w:bottom w:val="single" w:sz="8" w:space="0" w:color="231F20"/>
                        </w:tcBorders>
                      </w:tcPr>
                      <w:p>
                        <w:pPr>
                          <w:pStyle w:val="TableParagraph"/>
                          <w:spacing w:line="229" w:lineRule="exact" w:before="0"/>
                          <w:ind w:left="418"/>
                          <w:rPr>
                            <w:b/>
                            <w:sz w:val="20"/>
                          </w:rPr>
                        </w:pPr>
                        <w:r>
                          <w:rPr>
                            <w:b/>
                            <w:color w:val="231F20"/>
                            <w:sz w:val="20"/>
                          </w:rPr>
                          <w:t>(per share)</w:t>
                        </w:r>
                      </w:p>
                    </w:tc>
                  </w:tr>
                  <w:tr>
                    <w:trPr>
                      <w:trHeight w:val="310" w:hRule="exact"/>
                    </w:trPr>
                    <w:tc>
                      <w:tcPr>
                        <w:tcW w:w="5320" w:type="dxa"/>
                        <w:shd w:val="clear" w:color="auto" w:fill="CCECFC"/>
                      </w:tcPr>
                      <w:p>
                        <w:pPr>
                          <w:pStyle w:val="TableParagraph"/>
                          <w:ind w:left="80"/>
                          <w:rPr>
                            <w:sz w:val="20"/>
                          </w:rPr>
                        </w:pPr>
                        <w:r>
                          <w:rPr>
                            <w:color w:val="231F20"/>
                            <w:sz w:val="20"/>
                          </w:rPr>
                          <w:t>Outstanding December 31, 2011, Unvested</w:t>
                        </w:r>
                      </w:p>
                    </w:tc>
                    <w:tc>
                      <w:tcPr>
                        <w:tcW w:w="2111" w:type="dxa"/>
                        <w:tcBorders>
                          <w:top w:val="single" w:sz="8" w:space="0" w:color="231F20"/>
                        </w:tcBorders>
                        <w:shd w:val="clear" w:color="auto" w:fill="CCECFC"/>
                      </w:tcPr>
                      <w:p>
                        <w:pPr>
                          <w:pStyle w:val="TableParagraph"/>
                          <w:ind w:left="1283"/>
                          <w:rPr>
                            <w:sz w:val="20"/>
                          </w:rPr>
                        </w:pPr>
                        <w:r>
                          <w:rPr>
                            <w:color w:val="231F20"/>
                            <w:sz w:val="20"/>
                          </w:rPr>
                          <w:t>1,640</w:t>
                        </w:r>
                      </w:p>
                    </w:tc>
                    <w:tc>
                      <w:tcPr>
                        <w:tcW w:w="1689" w:type="dxa"/>
                        <w:tcBorders>
                          <w:top w:val="single" w:sz="8" w:space="0" w:color="231F20"/>
                        </w:tcBorders>
                        <w:shd w:val="clear" w:color="auto" w:fill="CCECFC"/>
                      </w:tcPr>
                      <w:p>
                        <w:pPr>
                          <w:pStyle w:val="TableParagraph"/>
                          <w:tabs>
                            <w:tab w:pos="1082" w:val="left" w:leader="none"/>
                          </w:tabs>
                          <w:ind w:right="64"/>
                          <w:jc w:val="right"/>
                          <w:rPr>
                            <w:sz w:val="20"/>
                          </w:rPr>
                        </w:pPr>
                        <w:r>
                          <w:rPr>
                            <w:color w:val="231F20"/>
                            <w:sz w:val="20"/>
                          </w:rPr>
                          <w:t>$</w:t>
                          <w:tab/>
                          <w:t>12.27</w:t>
                        </w:r>
                      </w:p>
                    </w:tc>
                  </w:tr>
                  <w:tr>
                    <w:trPr>
                      <w:trHeight w:val="300" w:hRule="exact"/>
                    </w:trPr>
                    <w:tc>
                      <w:tcPr>
                        <w:tcW w:w="5320" w:type="dxa"/>
                      </w:tcPr>
                      <w:p>
                        <w:pPr>
                          <w:pStyle w:val="TableParagraph"/>
                          <w:ind w:left="80"/>
                          <w:rPr>
                            <w:sz w:val="20"/>
                          </w:rPr>
                        </w:pPr>
                        <w:r>
                          <w:rPr>
                            <w:color w:val="231F20"/>
                            <w:sz w:val="20"/>
                          </w:rPr>
                          <w:t>Granted</w:t>
                        </w:r>
                      </w:p>
                    </w:tc>
                    <w:tc>
                      <w:tcPr>
                        <w:tcW w:w="2111" w:type="dxa"/>
                      </w:tcPr>
                      <w:p>
                        <w:pPr>
                          <w:pStyle w:val="TableParagraph"/>
                          <w:ind w:left="1283"/>
                          <w:rPr>
                            <w:sz w:val="20"/>
                          </w:rPr>
                        </w:pPr>
                        <w:r>
                          <w:rPr>
                            <w:color w:val="231F20"/>
                            <w:sz w:val="20"/>
                          </w:rPr>
                          <w:t>1,939</w:t>
                        </w:r>
                      </w:p>
                    </w:tc>
                    <w:tc>
                      <w:tcPr>
                        <w:tcW w:w="1689" w:type="dxa"/>
                      </w:tcPr>
                      <w:p>
                        <w:pPr>
                          <w:pStyle w:val="TableParagraph"/>
                          <w:ind w:right="66"/>
                          <w:jc w:val="right"/>
                          <w:rPr>
                            <w:sz w:val="20"/>
                          </w:rPr>
                        </w:pPr>
                        <w:r>
                          <w:rPr>
                            <w:color w:val="231F20"/>
                            <w:sz w:val="20"/>
                          </w:rPr>
                          <w:t>8.21</w:t>
                        </w:r>
                      </w:p>
                    </w:tc>
                  </w:tr>
                  <w:tr>
                    <w:trPr>
                      <w:trHeight w:val="300" w:hRule="exact"/>
                    </w:trPr>
                    <w:tc>
                      <w:tcPr>
                        <w:tcW w:w="5320" w:type="dxa"/>
                        <w:shd w:val="clear" w:color="auto" w:fill="CCECFC"/>
                      </w:tcPr>
                      <w:p>
                        <w:pPr>
                          <w:pStyle w:val="TableParagraph"/>
                          <w:ind w:left="80"/>
                          <w:rPr>
                            <w:sz w:val="20"/>
                          </w:rPr>
                        </w:pPr>
                        <w:r>
                          <w:rPr>
                            <w:color w:val="231F20"/>
                            <w:sz w:val="20"/>
                          </w:rPr>
                          <w:t>Vested</w:t>
                        </w:r>
                      </w:p>
                    </w:tc>
                    <w:tc>
                      <w:tcPr>
                        <w:tcW w:w="2111" w:type="dxa"/>
                        <w:shd w:val="clear" w:color="auto" w:fill="CCECFC"/>
                      </w:tcPr>
                      <w:p>
                        <w:pPr>
                          <w:pStyle w:val="TableParagraph"/>
                          <w:ind w:left="1366"/>
                          <w:rPr>
                            <w:sz w:val="20"/>
                          </w:rPr>
                        </w:pPr>
                        <w:r>
                          <w:rPr>
                            <w:color w:val="231F20"/>
                            <w:sz w:val="20"/>
                          </w:rPr>
                          <w:t>(644)</w:t>
                        </w:r>
                      </w:p>
                    </w:tc>
                    <w:tc>
                      <w:tcPr>
                        <w:tcW w:w="1689" w:type="dxa"/>
                        <w:shd w:val="clear" w:color="auto" w:fill="CCECFC"/>
                      </w:tcPr>
                      <w:p>
                        <w:pPr>
                          <w:pStyle w:val="TableParagraph"/>
                          <w:ind w:right="66"/>
                          <w:jc w:val="right"/>
                          <w:rPr>
                            <w:sz w:val="20"/>
                          </w:rPr>
                        </w:pPr>
                        <w:r>
                          <w:rPr>
                            <w:color w:val="231F20"/>
                            <w:sz w:val="20"/>
                          </w:rPr>
                          <w:t>12.27</w:t>
                        </w:r>
                      </w:p>
                    </w:tc>
                  </w:tr>
                  <w:tr>
                    <w:trPr>
                      <w:trHeight w:val="315" w:hRule="exact"/>
                    </w:trPr>
                    <w:tc>
                      <w:tcPr>
                        <w:tcW w:w="5320" w:type="dxa"/>
                      </w:tcPr>
                      <w:p>
                        <w:pPr>
                          <w:pStyle w:val="TableParagraph"/>
                          <w:ind w:left="80"/>
                          <w:rPr>
                            <w:sz w:val="20"/>
                          </w:rPr>
                        </w:pPr>
                        <w:r>
                          <w:rPr>
                            <w:color w:val="231F20"/>
                            <w:sz w:val="20"/>
                          </w:rPr>
                          <w:t>Surrendered</w:t>
                        </w:r>
                      </w:p>
                    </w:tc>
                    <w:tc>
                      <w:tcPr>
                        <w:tcW w:w="2111" w:type="dxa"/>
                        <w:tcBorders>
                          <w:bottom w:val="single" w:sz="4" w:space="0" w:color="231F20"/>
                        </w:tcBorders>
                      </w:tcPr>
                      <w:p>
                        <w:pPr>
                          <w:pStyle w:val="TableParagraph"/>
                          <w:ind w:right="309"/>
                          <w:jc w:val="right"/>
                          <w:rPr>
                            <w:sz w:val="20"/>
                          </w:rPr>
                        </w:pPr>
                        <w:r>
                          <w:rPr>
                            <w:color w:val="231F20"/>
                            <w:sz w:val="20"/>
                          </w:rPr>
                          <w:t>(59)</w:t>
                        </w:r>
                      </w:p>
                    </w:tc>
                    <w:tc>
                      <w:tcPr>
                        <w:tcW w:w="1689" w:type="dxa"/>
                      </w:tcPr>
                      <w:p>
                        <w:pPr>
                          <w:pStyle w:val="TableParagraph"/>
                          <w:ind w:right="64"/>
                          <w:jc w:val="right"/>
                          <w:rPr>
                            <w:sz w:val="20"/>
                          </w:rPr>
                        </w:pPr>
                        <w:r>
                          <w:rPr>
                            <w:color w:val="231F20"/>
                            <w:sz w:val="20"/>
                          </w:rPr>
                          <w:t>10.54</w:t>
                        </w:r>
                      </w:p>
                    </w:tc>
                  </w:tr>
                  <w:tr>
                    <w:trPr>
                      <w:trHeight w:val="305" w:hRule="exact"/>
                    </w:trPr>
                    <w:tc>
                      <w:tcPr>
                        <w:tcW w:w="5320" w:type="dxa"/>
                        <w:shd w:val="clear" w:color="auto" w:fill="CCECFC"/>
                      </w:tcPr>
                      <w:p>
                        <w:pPr>
                          <w:pStyle w:val="TableParagraph"/>
                          <w:ind w:left="80"/>
                          <w:rPr>
                            <w:sz w:val="20"/>
                          </w:rPr>
                        </w:pPr>
                        <w:r>
                          <w:rPr>
                            <w:color w:val="231F20"/>
                            <w:sz w:val="20"/>
                          </w:rPr>
                          <w:t>Outstanding December 31, 2012</w:t>
                        </w:r>
                      </w:p>
                    </w:tc>
                    <w:tc>
                      <w:tcPr>
                        <w:tcW w:w="2111" w:type="dxa"/>
                        <w:tcBorders>
                          <w:top w:val="single" w:sz="4" w:space="0" w:color="231F20"/>
                        </w:tcBorders>
                        <w:shd w:val="clear" w:color="auto" w:fill="CCECFC"/>
                      </w:tcPr>
                      <w:p>
                        <w:pPr>
                          <w:pStyle w:val="TableParagraph"/>
                          <w:ind w:left="1283"/>
                          <w:rPr>
                            <w:sz w:val="20"/>
                          </w:rPr>
                        </w:pPr>
                        <w:r>
                          <w:rPr>
                            <w:color w:val="231F20"/>
                            <w:sz w:val="20"/>
                          </w:rPr>
                          <w:t>2,876</w:t>
                        </w:r>
                      </w:p>
                    </w:tc>
                    <w:tc>
                      <w:tcPr>
                        <w:tcW w:w="1689" w:type="dxa"/>
                        <w:shd w:val="clear" w:color="auto" w:fill="CCECFC"/>
                      </w:tcPr>
                      <w:p>
                        <w:pPr>
                          <w:pStyle w:val="TableParagraph"/>
                          <w:ind w:right="64"/>
                          <w:jc w:val="right"/>
                          <w:rPr>
                            <w:sz w:val="20"/>
                          </w:rPr>
                        </w:pPr>
                        <w:r>
                          <w:rPr>
                            <w:color w:val="231F20"/>
                            <w:sz w:val="20"/>
                          </w:rPr>
                          <w:t>9.57</w:t>
                        </w:r>
                      </w:p>
                    </w:tc>
                  </w:tr>
                  <w:tr>
                    <w:trPr>
                      <w:trHeight w:val="300" w:hRule="exact"/>
                    </w:trPr>
                    <w:tc>
                      <w:tcPr>
                        <w:tcW w:w="5320" w:type="dxa"/>
                      </w:tcPr>
                      <w:p>
                        <w:pPr>
                          <w:pStyle w:val="TableParagraph"/>
                          <w:ind w:left="80"/>
                          <w:rPr>
                            <w:sz w:val="20"/>
                          </w:rPr>
                        </w:pPr>
                        <w:r>
                          <w:rPr>
                            <w:color w:val="231F20"/>
                            <w:sz w:val="20"/>
                          </w:rPr>
                          <w:t>Granted</w:t>
                        </w:r>
                      </w:p>
                    </w:tc>
                    <w:tc>
                      <w:tcPr>
                        <w:tcW w:w="2111" w:type="dxa"/>
                      </w:tcPr>
                      <w:p>
                        <w:pPr>
                          <w:pStyle w:val="TableParagraph"/>
                          <w:ind w:left="1283"/>
                          <w:rPr>
                            <w:sz w:val="20"/>
                          </w:rPr>
                        </w:pPr>
                        <w:r>
                          <w:rPr>
                            <w:color w:val="231F20"/>
                            <w:sz w:val="20"/>
                          </w:rPr>
                          <w:t>1,139</w:t>
                        </w:r>
                      </w:p>
                    </w:tc>
                    <w:tc>
                      <w:tcPr>
                        <w:tcW w:w="1689" w:type="dxa"/>
                      </w:tcPr>
                      <w:p>
                        <w:pPr>
                          <w:pStyle w:val="TableParagraph"/>
                          <w:ind w:right="66"/>
                          <w:jc w:val="right"/>
                          <w:rPr>
                            <w:sz w:val="20"/>
                          </w:rPr>
                        </w:pPr>
                        <w:r>
                          <w:rPr>
                            <w:color w:val="231F20"/>
                            <w:sz w:val="20"/>
                          </w:rPr>
                          <w:t>14.34</w:t>
                        </w:r>
                      </w:p>
                    </w:tc>
                  </w:tr>
                  <w:tr>
                    <w:trPr>
                      <w:trHeight w:val="300" w:hRule="exact"/>
                    </w:trPr>
                    <w:tc>
                      <w:tcPr>
                        <w:tcW w:w="5320" w:type="dxa"/>
                        <w:shd w:val="clear" w:color="auto" w:fill="CCECFC"/>
                      </w:tcPr>
                      <w:p>
                        <w:pPr>
                          <w:pStyle w:val="TableParagraph"/>
                          <w:ind w:left="80"/>
                          <w:rPr>
                            <w:sz w:val="20"/>
                          </w:rPr>
                        </w:pPr>
                        <w:r>
                          <w:rPr>
                            <w:color w:val="231F20"/>
                            <w:sz w:val="20"/>
                          </w:rPr>
                          <w:t>Vested</w:t>
                        </w:r>
                      </w:p>
                    </w:tc>
                    <w:tc>
                      <w:tcPr>
                        <w:tcW w:w="2111" w:type="dxa"/>
                        <w:shd w:val="clear" w:color="auto" w:fill="CCECFC"/>
                      </w:tcPr>
                      <w:p>
                        <w:pPr>
                          <w:pStyle w:val="TableParagraph"/>
                          <w:ind w:left="1216"/>
                          <w:rPr>
                            <w:sz w:val="20"/>
                          </w:rPr>
                        </w:pPr>
                        <w:r>
                          <w:rPr>
                            <w:color w:val="231F20"/>
                            <w:sz w:val="20"/>
                          </w:rPr>
                          <w:t>(1,263)</w:t>
                        </w:r>
                      </w:p>
                    </w:tc>
                    <w:tc>
                      <w:tcPr>
                        <w:tcW w:w="1689" w:type="dxa"/>
                        <w:shd w:val="clear" w:color="auto" w:fill="CCECFC"/>
                      </w:tcPr>
                      <w:p>
                        <w:pPr>
                          <w:pStyle w:val="TableParagraph"/>
                          <w:ind w:right="66"/>
                          <w:jc w:val="right"/>
                          <w:rPr>
                            <w:sz w:val="20"/>
                          </w:rPr>
                        </w:pPr>
                        <w:r>
                          <w:rPr>
                            <w:color w:val="231F20"/>
                            <w:sz w:val="20"/>
                          </w:rPr>
                          <w:t>10.24</w:t>
                        </w:r>
                      </w:p>
                    </w:tc>
                  </w:tr>
                  <w:tr>
                    <w:trPr>
                      <w:trHeight w:val="300" w:hRule="exact"/>
                    </w:trPr>
                    <w:tc>
                      <w:tcPr>
                        <w:tcW w:w="5320" w:type="dxa"/>
                      </w:tcPr>
                      <w:p>
                        <w:pPr>
                          <w:pStyle w:val="TableParagraph"/>
                          <w:ind w:left="80"/>
                          <w:rPr>
                            <w:sz w:val="20"/>
                          </w:rPr>
                        </w:pPr>
                        <w:r>
                          <w:rPr>
                            <w:color w:val="231F20"/>
                            <w:sz w:val="20"/>
                          </w:rPr>
                          <w:t>Surrendered</w:t>
                        </w:r>
                      </w:p>
                    </w:tc>
                    <w:tc>
                      <w:tcPr>
                        <w:tcW w:w="2111" w:type="dxa"/>
                      </w:tcPr>
                      <w:p>
                        <w:pPr>
                          <w:pStyle w:val="TableParagraph"/>
                          <w:tabs>
                            <w:tab w:pos="1365" w:val="left" w:leader="none"/>
                          </w:tabs>
                          <w:rPr>
                            <w:sz w:val="20"/>
                          </w:rPr>
                        </w:pPr>
                        <w:r>
                          <w:rPr>
                            <w:color w:val="231F20"/>
                            <w:sz w:val="20"/>
                            <w:u w:val="single" w:color="231F20"/>
                          </w:rPr>
                          <w:t> </w:t>
                          <w:tab/>
                          <w:t>(168)</w:t>
                        </w:r>
                      </w:p>
                    </w:tc>
                    <w:tc>
                      <w:tcPr>
                        <w:tcW w:w="1689" w:type="dxa"/>
                      </w:tcPr>
                      <w:p>
                        <w:pPr>
                          <w:pStyle w:val="TableParagraph"/>
                          <w:ind w:right="64"/>
                          <w:jc w:val="right"/>
                          <w:rPr>
                            <w:sz w:val="20"/>
                          </w:rPr>
                        </w:pPr>
                        <w:r>
                          <w:rPr>
                            <w:color w:val="231F20"/>
                            <w:sz w:val="20"/>
                          </w:rPr>
                          <w:t>9.11</w:t>
                        </w:r>
                      </w:p>
                    </w:tc>
                  </w:tr>
                  <w:tr>
                    <w:trPr>
                      <w:trHeight w:val="300" w:hRule="exact"/>
                    </w:trPr>
                    <w:tc>
                      <w:tcPr>
                        <w:tcW w:w="5320" w:type="dxa"/>
                        <w:shd w:val="clear" w:color="auto" w:fill="CCECFC"/>
                      </w:tcPr>
                      <w:p>
                        <w:pPr>
                          <w:pStyle w:val="TableParagraph"/>
                          <w:ind w:left="80"/>
                          <w:rPr>
                            <w:sz w:val="20"/>
                          </w:rPr>
                        </w:pPr>
                        <w:r>
                          <w:rPr>
                            <w:color w:val="231F20"/>
                            <w:sz w:val="20"/>
                          </w:rPr>
                          <w:t>Outstanding December 31, 2013</w:t>
                        </w:r>
                      </w:p>
                    </w:tc>
                    <w:tc>
                      <w:tcPr>
                        <w:tcW w:w="2111" w:type="dxa"/>
                        <w:shd w:val="clear" w:color="auto" w:fill="CCECFC"/>
                      </w:tcPr>
                      <w:p>
                        <w:pPr>
                          <w:pStyle w:val="TableParagraph"/>
                          <w:ind w:left="1283"/>
                          <w:rPr>
                            <w:sz w:val="20"/>
                          </w:rPr>
                        </w:pPr>
                        <w:r>
                          <w:rPr>
                            <w:color w:val="231F20"/>
                            <w:sz w:val="20"/>
                          </w:rPr>
                          <w:t>2,584</w:t>
                        </w:r>
                      </w:p>
                    </w:tc>
                    <w:tc>
                      <w:tcPr>
                        <w:tcW w:w="1689" w:type="dxa"/>
                        <w:shd w:val="clear" w:color="auto" w:fill="CCECFC"/>
                      </w:tcPr>
                      <w:p>
                        <w:pPr>
                          <w:pStyle w:val="TableParagraph"/>
                          <w:ind w:right="64"/>
                          <w:jc w:val="right"/>
                          <w:rPr>
                            <w:sz w:val="20"/>
                          </w:rPr>
                        </w:pPr>
                        <w:r>
                          <w:rPr>
                            <w:color w:val="231F20"/>
                            <w:sz w:val="20"/>
                          </w:rPr>
                          <w:t>11.38</w:t>
                        </w:r>
                      </w:p>
                    </w:tc>
                  </w:tr>
                  <w:tr>
                    <w:trPr>
                      <w:trHeight w:val="300" w:hRule="exact"/>
                    </w:trPr>
                    <w:tc>
                      <w:tcPr>
                        <w:tcW w:w="5320" w:type="dxa"/>
                      </w:tcPr>
                      <w:p>
                        <w:pPr>
                          <w:pStyle w:val="TableParagraph"/>
                          <w:ind w:left="80"/>
                          <w:rPr>
                            <w:sz w:val="20"/>
                          </w:rPr>
                        </w:pPr>
                        <w:r>
                          <w:rPr>
                            <w:color w:val="231F20"/>
                            <w:sz w:val="20"/>
                          </w:rPr>
                          <w:t>Granted</w:t>
                        </w:r>
                      </w:p>
                    </w:tc>
                    <w:tc>
                      <w:tcPr>
                        <w:tcW w:w="2111" w:type="dxa"/>
                      </w:tcPr>
                      <w:p>
                        <w:pPr>
                          <w:pStyle w:val="TableParagraph"/>
                          <w:ind w:right="87"/>
                          <w:jc w:val="right"/>
                          <w:rPr>
                            <w:sz w:val="20"/>
                          </w:rPr>
                        </w:pPr>
                        <w:r>
                          <w:rPr>
                            <w:color w:val="231F20"/>
                            <w:sz w:val="20"/>
                          </w:rPr>
                          <w:t>834 (a)</w:t>
                        </w:r>
                      </w:p>
                    </w:tc>
                    <w:tc>
                      <w:tcPr>
                        <w:tcW w:w="1689" w:type="dxa"/>
                      </w:tcPr>
                      <w:p>
                        <w:pPr>
                          <w:pStyle w:val="TableParagraph"/>
                          <w:ind w:right="66"/>
                          <w:jc w:val="right"/>
                          <w:rPr>
                            <w:sz w:val="20"/>
                          </w:rPr>
                        </w:pPr>
                        <w:r>
                          <w:rPr>
                            <w:color w:val="231F20"/>
                            <w:sz w:val="20"/>
                          </w:rPr>
                          <w:t>24.93</w:t>
                        </w:r>
                      </w:p>
                    </w:tc>
                  </w:tr>
                  <w:tr>
                    <w:trPr>
                      <w:trHeight w:val="300" w:hRule="exact"/>
                    </w:trPr>
                    <w:tc>
                      <w:tcPr>
                        <w:tcW w:w="5320" w:type="dxa"/>
                        <w:shd w:val="clear" w:color="auto" w:fill="CCECFC"/>
                      </w:tcPr>
                      <w:p>
                        <w:pPr>
                          <w:pStyle w:val="TableParagraph"/>
                          <w:ind w:left="80"/>
                          <w:rPr>
                            <w:sz w:val="20"/>
                          </w:rPr>
                        </w:pPr>
                        <w:r>
                          <w:rPr>
                            <w:color w:val="231F20"/>
                            <w:sz w:val="20"/>
                          </w:rPr>
                          <w:t>Vested</w:t>
                        </w:r>
                      </w:p>
                    </w:tc>
                    <w:tc>
                      <w:tcPr>
                        <w:tcW w:w="2111" w:type="dxa"/>
                        <w:shd w:val="clear" w:color="auto" w:fill="CCECFC"/>
                      </w:tcPr>
                      <w:p>
                        <w:pPr>
                          <w:pStyle w:val="TableParagraph"/>
                          <w:ind w:left="1216"/>
                          <w:rPr>
                            <w:sz w:val="20"/>
                          </w:rPr>
                        </w:pPr>
                        <w:r>
                          <w:rPr>
                            <w:color w:val="231F20"/>
                            <w:sz w:val="20"/>
                          </w:rPr>
                          <w:t>(1,239)</w:t>
                        </w:r>
                      </w:p>
                    </w:tc>
                    <w:tc>
                      <w:tcPr>
                        <w:tcW w:w="1689" w:type="dxa"/>
                        <w:shd w:val="clear" w:color="auto" w:fill="CCECFC"/>
                      </w:tcPr>
                      <w:p>
                        <w:pPr>
                          <w:pStyle w:val="TableParagraph"/>
                          <w:ind w:right="66"/>
                          <w:jc w:val="right"/>
                          <w:rPr>
                            <w:sz w:val="20"/>
                          </w:rPr>
                        </w:pPr>
                        <w:r>
                          <w:rPr>
                            <w:color w:val="231F20"/>
                            <w:sz w:val="20"/>
                          </w:rPr>
                          <w:t>11.05</w:t>
                        </w:r>
                      </w:p>
                    </w:tc>
                  </w:tr>
                  <w:tr>
                    <w:trPr>
                      <w:trHeight w:val="300" w:hRule="exact"/>
                    </w:trPr>
                    <w:tc>
                      <w:tcPr>
                        <w:tcW w:w="5320" w:type="dxa"/>
                      </w:tcPr>
                      <w:p>
                        <w:pPr>
                          <w:pStyle w:val="TableParagraph"/>
                          <w:ind w:left="80"/>
                          <w:rPr>
                            <w:sz w:val="20"/>
                          </w:rPr>
                        </w:pPr>
                        <w:r>
                          <w:rPr>
                            <w:color w:val="231F20"/>
                            <w:sz w:val="20"/>
                          </w:rPr>
                          <w:t>Surrendered</w:t>
                        </w:r>
                      </w:p>
                    </w:tc>
                    <w:tc>
                      <w:tcPr>
                        <w:tcW w:w="2111" w:type="dxa"/>
                      </w:tcPr>
                      <w:p>
                        <w:pPr>
                          <w:pStyle w:val="TableParagraph"/>
                          <w:tabs>
                            <w:tab w:pos="1365" w:val="left" w:leader="none"/>
                          </w:tabs>
                          <w:rPr>
                            <w:sz w:val="20"/>
                          </w:rPr>
                        </w:pPr>
                        <w:r>
                          <w:rPr>
                            <w:color w:val="231F20"/>
                            <w:sz w:val="20"/>
                            <w:u w:val="single" w:color="231F20"/>
                          </w:rPr>
                          <w:t> </w:t>
                          <w:tab/>
                          <w:t>(102)</w:t>
                        </w:r>
                      </w:p>
                    </w:tc>
                    <w:tc>
                      <w:tcPr>
                        <w:tcW w:w="1689" w:type="dxa"/>
                      </w:tcPr>
                      <w:p>
                        <w:pPr>
                          <w:pStyle w:val="TableParagraph"/>
                          <w:ind w:right="64"/>
                          <w:jc w:val="right"/>
                          <w:rPr>
                            <w:sz w:val="20"/>
                          </w:rPr>
                        </w:pPr>
                        <w:r>
                          <w:rPr>
                            <w:color w:val="231F20"/>
                            <w:sz w:val="20"/>
                          </w:rPr>
                          <w:t>13.18</w:t>
                        </w:r>
                      </w:p>
                    </w:tc>
                  </w:tr>
                  <w:tr>
                    <w:trPr>
                      <w:trHeight w:val="335" w:hRule="exact"/>
                    </w:trPr>
                    <w:tc>
                      <w:tcPr>
                        <w:tcW w:w="5320" w:type="dxa"/>
                        <w:shd w:val="clear" w:color="auto" w:fill="CCECFC"/>
                      </w:tcPr>
                      <w:p>
                        <w:pPr>
                          <w:pStyle w:val="TableParagraph"/>
                          <w:ind w:left="80"/>
                          <w:rPr>
                            <w:sz w:val="20"/>
                          </w:rPr>
                        </w:pPr>
                        <w:r>
                          <w:rPr>
                            <w:color w:val="231F20"/>
                            <w:sz w:val="20"/>
                          </w:rPr>
                          <w:t>Outstanding December 31, 2014, Unvested</w:t>
                        </w:r>
                      </w:p>
                    </w:tc>
                    <w:tc>
                      <w:tcPr>
                        <w:tcW w:w="2111" w:type="dxa"/>
                        <w:tcBorders>
                          <w:bottom w:val="single" w:sz="4" w:space="0" w:color="231F20"/>
                        </w:tcBorders>
                        <w:shd w:val="clear" w:color="auto" w:fill="CCECFC"/>
                      </w:tcPr>
                      <w:p>
                        <w:pPr>
                          <w:pStyle w:val="TableParagraph"/>
                          <w:tabs>
                            <w:tab w:pos="1282" w:val="left" w:leader="none"/>
                          </w:tabs>
                          <w:rPr>
                            <w:sz w:val="20"/>
                          </w:rPr>
                        </w:pPr>
                        <w:r>
                          <w:rPr>
                            <w:color w:val="231F20"/>
                            <w:sz w:val="20"/>
                            <w:u w:val="single" w:color="231F20"/>
                          </w:rPr>
                          <w:t> </w:t>
                          <w:tab/>
                          <w:t>2,077</w:t>
                        </w:r>
                        <w:r>
                          <w:rPr>
                            <w:color w:val="231F20"/>
                            <w:spacing w:val="16"/>
                            <w:sz w:val="20"/>
                            <w:u w:val="single" w:color="231F20"/>
                          </w:rPr>
                          <w:t> </w:t>
                        </w:r>
                      </w:p>
                    </w:tc>
                    <w:tc>
                      <w:tcPr>
                        <w:tcW w:w="1689" w:type="dxa"/>
                        <w:shd w:val="clear" w:color="auto" w:fill="CCECFC"/>
                      </w:tcPr>
                      <w:p>
                        <w:pPr>
                          <w:pStyle w:val="TableParagraph"/>
                          <w:tabs>
                            <w:tab w:pos="1082" w:val="left" w:leader="none"/>
                          </w:tabs>
                          <w:ind w:right="64"/>
                          <w:jc w:val="right"/>
                          <w:rPr>
                            <w:sz w:val="20"/>
                          </w:rPr>
                        </w:pPr>
                        <w:r>
                          <w:rPr>
                            <w:color w:val="231F20"/>
                            <w:sz w:val="20"/>
                          </w:rPr>
                          <w:t>$</w:t>
                          <w:tab/>
                          <w:t>16.92</w:t>
                        </w:r>
                      </w:p>
                    </w:tc>
                  </w:tr>
                  <w:tr>
                    <w:trPr>
                      <w:trHeight w:val="289" w:hRule="exact"/>
                    </w:trPr>
                    <w:tc>
                      <w:tcPr>
                        <w:tcW w:w="5320" w:type="dxa"/>
                      </w:tcPr>
                      <w:p>
                        <w:pPr>
                          <w:pStyle w:val="TableParagraph"/>
                          <w:spacing w:before="93"/>
                          <w:rPr>
                            <w:sz w:val="20"/>
                          </w:rPr>
                        </w:pPr>
                        <w:r>
                          <w:rPr>
                            <w:color w:val="231F20"/>
                            <w:sz w:val="20"/>
                          </w:rPr>
                          <w:t>(a) Includes 198 thousand shares of PBRSUs</w:t>
                        </w:r>
                      </w:p>
                    </w:tc>
                    <w:tc>
                      <w:tcPr>
                        <w:tcW w:w="2111" w:type="dxa"/>
                        <w:tcBorders>
                          <w:top w:val="single" w:sz="4" w:space="0" w:color="231F20"/>
                        </w:tcBorders>
                      </w:tcPr>
                      <w:p>
                        <w:pPr/>
                      </w:p>
                    </w:tc>
                    <w:tc>
                      <w:tcPr>
                        <w:tcW w:w="1689" w:type="dxa"/>
                      </w:tcPr>
                      <w:p>
                        <w:pPr/>
                      </w:p>
                    </w:tc>
                  </w:tr>
                </w:tbl>
                <w:p>
                  <w:pPr>
                    <w:pStyle w:val="BodyText"/>
                  </w:pPr>
                </w:p>
              </w:txbxContent>
            </v:textbox>
            <w10:wrap type="none"/>
          </v:shape>
        </w:pict>
      </w:r>
      <w:r>
        <w:rPr>
          <w:b/>
          <w:color w:val="231F20"/>
          <w:sz w:val="20"/>
        </w:rPr>
        <w:t>Wtd. Average Fair Value</w:t>
      </w:r>
    </w:p>
    <w:p>
      <w:pPr>
        <w:spacing w:after="0" w:line="200" w:lineRule="exact"/>
        <w:jc w:val="left"/>
        <w:rPr>
          <w:sz w:val="20"/>
        </w:rPr>
        <w:sectPr>
          <w:pgSz w:w="11880" w:h="15480"/>
          <w:pgMar w:header="0" w:footer="1240" w:top="1240" w:bottom="1420" w:left="1280" w:right="1260"/>
        </w:sectPr>
      </w:pPr>
    </w:p>
    <w:p>
      <w:pPr>
        <w:pStyle w:val="Heading2"/>
        <w:spacing w:before="74"/>
        <w:ind w:left="320"/>
        <w:rPr>
          <w:i/>
        </w:rPr>
      </w:pPr>
      <w:r>
        <w:rPr>
          <w:i/>
          <w:color w:val="231F20"/>
        </w:rPr>
        <w:t>Stock options</w:t>
      </w:r>
    </w:p>
    <w:p>
      <w:pPr>
        <w:pStyle w:val="BodyText"/>
        <w:spacing w:before="4"/>
        <w:rPr>
          <w:b/>
          <w:i/>
          <w:sz w:val="21"/>
        </w:rPr>
      </w:pPr>
    </w:p>
    <w:p>
      <w:pPr>
        <w:pStyle w:val="BodyText"/>
        <w:spacing w:line="247" w:lineRule="auto" w:before="1"/>
        <w:ind w:left="100" w:right="117" w:firstLine="720"/>
        <w:jc w:val="both"/>
      </w:pPr>
      <w:r>
        <w:rPr>
          <w:color w:val="231F20"/>
        </w:rPr>
        <w:t>The Company has previously awarded stock options under plans covering Employees subject  to collective bargaining agreements (collective bargaining plans) and plans covering other Employees and members of the Board of Directors (other Employee plans). None of the collective bargaining  plans were required to be approved by Shareholders. Options granted to Employees under collective bargaining plans are non-qualified, granted at or above the fair value of the Company’s common stock on the date of grant, and generally have terms ranging from six to twelve years. There were no material grants of stock options to Employees covered by collective bargaining plans during 2012, 2013, or 2014, and no future option grants from these plans are possible. Neither Executive Officers nor members of the Company’s Board of Directors are eligible to participate in any of the collective bargaining plans. Options granted to Employees and members of the Board of Directors through other Employee plans are both qualified as incentive stock options under the Internal Revenue Code of 1986 and non-qualified stock options, granted at no less than the fair value of the Company’s common stock on the date of grant, and have 10-year terms. All of the options included in other Employee plans have been approved by Shareholders, except one plan covering non-management, non-contract Employees, which did not require Shareholder approval and had an insignificant number of options outstanding as of December 31, 2014. Although the Company does not have a formal policy, upon option exercise,  the Company will typically issue treasury stock, to the extent such shares are available.</w:t>
      </w:r>
    </w:p>
    <w:p>
      <w:pPr>
        <w:pStyle w:val="BodyText"/>
        <w:spacing w:before="9"/>
        <w:rPr>
          <w:sz w:val="20"/>
        </w:rPr>
      </w:pPr>
    </w:p>
    <w:p>
      <w:pPr>
        <w:pStyle w:val="BodyText"/>
        <w:spacing w:line="247" w:lineRule="auto"/>
        <w:ind w:left="100" w:right="117" w:firstLine="720"/>
        <w:jc w:val="both"/>
      </w:pPr>
      <w:r>
        <w:rPr>
          <w:color w:val="231F20"/>
        </w:rPr>
        <w:t>For other Employee plans, options vest and generally become fully exercisable over three, five, or ten years of continued employment, depending upon the grant type. For grants in any of the Company’s plans that are subject to graded vesting over a service period, the Company recognizes expense on a straight-line basis over the requisite service period for the entire award. None of the Company’s stock option grants include performance-based or market-based vesting conditions, as defined.</w:t>
      </w:r>
    </w:p>
    <w:p>
      <w:pPr>
        <w:pStyle w:val="BodyText"/>
        <w:spacing w:before="8"/>
        <w:rPr>
          <w:sz w:val="20"/>
        </w:rPr>
      </w:pPr>
    </w:p>
    <w:p>
      <w:pPr>
        <w:pStyle w:val="BodyText"/>
        <w:spacing w:line="247" w:lineRule="auto" w:before="1"/>
        <w:ind w:left="100" w:right="117" w:firstLine="720"/>
        <w:jc w:val="both"/>
      </w:pPr>
      <w:r>
        <w:rPr>
          <w:color w:val="231F20"/>
        </w:rPr>
        <w:t>The Black-Scholes option valuation model was developed for use in estimating the fair value of short-term traded options that have no vesting restrictions and are fully transferable. In addition, option valuation models require the input of subjective assumptions including expected stock price volatility. The Company estimates expected stock price volatility via observations of both historical volatility trends as well as implied future volatility observations as determined by independent third parties. Stock options issued by the Company during 2014, 2013, and 2012 were</w:t>
      </w:r>
      <w:r>
        <w:rPr>
          <w:color w:val="231F20"/>
          <w:spacing w:val="-1"/>
        </w:rPr>
        <w:t> </w:t>
      </w:r>
      <w:r>
        <w:rPr>
          <w:color w:val="231F20"/>
        </w:rPr>
        <w:t>immaterial.</w:t>
      </w:r>
    </w:p>
    <w:p>
      <w:pPr>
        <w:spacing w:after="0" w:line="247" w:lineRule="auto"/>
        <w:jc w:val="both"/>
        <w:sectPr>
          <w:pgSz w:w="11880" w:h="15480"/>
          <w:pgMar w:header="0" w:footer="1240" w:top="1240" w:bottom="1420" w:left="1280" w:right="1260"/>
        </w:sectPr>
      </w:pPr>
    </w:p>
    <w:p>
      <w:pPr>
        <w:pStyle w:val="BodyText"/>
        <w:spacing w:before="74"/>
        <w:ind w:left="820"/>
      </w:pPr>
      <w:r>
        <w:rPr>
          <w:color w:val="231F20"/>
        </w:rPr>
        <w:t>Aggregated information regarding Company issued stock options is summarized below:</w:t>
      </w:r>
    </w:p>
    <w:p>
      <w:pPr>
        <w:pStyle w:val="BodyText"/>
        <w:rPr>
          <w:sz w:val="20"/>
        </w:rPr>
      </w:pPr>
    </w:p>
    <w:p>
      <w:pPr>
        <w:pStyle w:val="BodyText"/>
        <w:spacing w:before="7"/>
        <w:rPr>
          <w:sz w:val="21"/>
        </w:rPr>
      </w:pPr>
    </w:p>
    <w:p>
      <w:pPr>
        <w:spacing w:before="0" w:after="16"/>
        <w:ind w:left="6017" w:right="0" w:firstLine="0"/>
        <w:jc w:val="left"/>
        <w:rPr>
          <w:b/>
          <w:sz w:val="20"/>
        </w:rPr>
      </w:pPr>
      <w:r>
        <w:rPr>
          <w:b/>
          <w:color w:val="231F20"/>
          <w:sz w:val="20"/>
        </w:rPr>
        <w:t>Stock Option Plans</w:t>
      </w:r>
    </w:p>
    <w:p>
      <w:pPr>
        <w:pStyle w:val="BodyText"/>
        <w:spacing w:line="20" w:lineRule="exact"/>
        <w:ind w:left="4450"/>
        <w:rPr>
          <w:sz w:val="2"/>
        </w:rPr>
      </w:pPr>
      <w:r>
        <w:rPr>
          <w:sz w:val="2"/>
        </w:rPr>
        <w:pict>
          <v:group style="width:239pt;height:1pt;mso-position-horizontal-relative:char;mso-position-vertical-relative:line" coordorigin="0,0" coordsize="4780,20">
            <v:line style="position:absolute" from="10,10" to="4770,10" stroked="true" strokeweight="1pt" strokecolor="#231f20">
              <v:stroke dashstyle="solid"/>
            </v:line>
          </v:group>
        </w:pict>
      </w:r>
      <w:r>
        <w:rPr>
          <w:sz w:val="2"/>
        </w:rPr>
      </w:r>
    </w:p>
    <w:p>
      <w:pPr>
        <w:spacing w:line="200" w:lineRule="exact" w:before="40"/>
        <w:ind w:left="7126" w:right="1527" w:firstLine="120"/>
        <w:jc w:val="left"/>
        <w:rPr>
          <w:b/>
          <w:sz w:val="20"/>
        </w:rPr>
      </w:pPr>
      <w:r>
        <w:rPr>
          <w:b/>
          <w:color w:val="231F20"/>
          <w:sz w:val="20"/>
        </w:rPr>
        <w:t>Wtd. average</w:t>
      </w:r>
    </w:p>
    <w:p>
      <w:pPr>
        <w:spacing w:after="0" w:line="200" w:lineRule="exact"/>
        <w:jc w:val="left"/>
        <w:rPr>
          <w:sz w:val="20"/>
        </w:rPr>
        <w:sectPr>
          <w:pgSz w:w="11880" w:h="15480"/>
          <w:pgMar w:header="0" w:footer="1240" w:top="1240" w:bottom="1420" w:left="1280" w:right="1260"/>
        </w:sectPr>
      </w:pPr>
    </w:p>
    <w:p>
      <w:pPr>
        <w:spacing w:line="200" w:lineRule="exact" w:before="0"/>
        <w:ind w:left="5886" w:right="-20" w:firstLine="120"/>
        <w:jc w:val="left"/>
        <w:rPr>
          <w:b/>
          <w:sz w:val="20"/>
        </w:rPr>
      </w:pPr>
      <w:r>
        <w:rPr/>
        <w:pict>
          <v:shape style="position:absolute;margin-left:69pt;margin-top:18.699987pt;width:456pt;height:232.3pt;mso-position-horizontal-relative:page;mso-position-vertical-relative:paragraph;z-index:46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60"/>
                    <w:gridCol w:w="2499"/>
                    <w:gridCol w:w="1068"/>
                    <w:gridCol w:w="1193"/>
                  </w:tblGrid>
                  <w:tr>
                    <w:trPr>
                      <w:trHeight w:val="456" w:hRule="exact"/>
                    </w:trPr>
                    <w:tc>
                      <w:tcPr>
                        <w:tcW w:w="4360" w:type="dxa"/>
                      </w:tcPr>
                      <w:p>
                        <w:pPr/>
                      </w:p>
                    </w:tc>
                    <w:tc>
                      <w:tcPr>
                        <w:tcW w:w="2499" w:type="dxa"/>
                        <w:tcBorders>
                          <w:bottom w:val="single" w:sz="8" w:space="0" w:color="231F20"/>
                        </w:tcBorders>
                      </w:tcPr>
                      <w:p>
                        <w:pPr>
                          <w:pStyle w:val="TableParagraph"/>
                          <w:tabs>
                            <w:tab w:pos="1419" w:val="left" w:leader="none"/>
                          </w:tabs>
                          <w:spacing w:line="214" w:lineRule="exact" w:before="0"/>
                          <w:ind w:left="200"/>
                          <w:rPr>
                            <w:b/>
                            <w:sz w:val="20"/>
                          </w:rPr>
                        </w:pPr>
                        <w:r>
                          <w:rPr>
                            <w:b/>
                            <w:color w:val="231F20"/>
                            <w:sz w:val="20"/>
                          </w:rPr>
                          <w:t>Options</w:t>
                          <w:tab/>
                          <w:t>exercise</w:t>
                        </w:r>
                      </w:p>
                      <w:p>
                        <w:pPr>
                          <w:pStyle w:val="TableParagraph"/>
                          <w:tabs>
                            <w:tab w:pos="1542" w:val="left" w:leader="none"/>
                          </w:tabs>
                          <w:spacing w:line="215" w:lineRule="exact" w:before="0"/>
                          <w:ind w:left="322"/>
                          <w:rPr>
                            <w:b/>
                            <w:sz w:val="20"/>
                          </w:rPr>
                        </w:pPr>
                        <w:r>
                          <w:rPr>
                            <w:b/>
                            <w:color w:val="231F20"/>
                            <w:sz w:val="20"/>
                          </w:rPr>
                          <w:t>(000)</w:t>
                          <w:tab/>
                          <w:t>price</w:t>
                        </w:r>
                      </w:p>
                    </w:tc>
                    <w:tc>
                      <w:tcPr>
                        <w:tcW w:w="1068" w:type="dxa"/>
                        <w:tcBorders>
                          <w:bottom w:val="single" w:sz="8" w:space="0" w:color="231F20"/>
                        </w:tcBorders>
                      </w:tcPr>
                      <w:p>
                        <w:pPr>
                          <w:pStyle w:val="TableParagraph"/>
                          <w:spacing w:line="200" w:lineRule="exact" w:before="26"/>
                          <w:ind w:left="205" w:right="253" w:firstLine="89"/>
                          <w:rPr>
                            <w:b/>
                            <w:sz w:val="20"/>
                          </w:rPr>
                        </w:pPr>
                        <w:r>
                          <w:rPr>
                            <w:b/>
                            <w:color w:val="231F20"/>
                            <w:sz w:val="20"/>
                          </w:rPr>
                          <w:t>term (years)</w:t>
                        </w:r>
                      </w:p>
                    </w:tc>
                    <w:tc>
                      <w:tcPr>
                        <w:tcW w:w="1193" w:type="dxa"/>
                        <w:tcBorders>
                          <w:bottom w:val="single" w:sz="8" w:space="0" w:color="231F20"/>
                        </w:tcBorders>
                      </w:tcPr>
                      <w:p>
                        <w:pPr>
                          <w:pStyle w:val="TableParagraph"/>
                          <w:spacing w:line="200" w:lineRule="exact" w:before="26"/>
                          <w:ind w:left="226" w:right="136" w:firstLine="179"/>
                          <w:rPr>
                            <w:b/>
                            <w:sz w:val="20"/>
                          </w:rPr>
                        </w:pPr>
                        <w:r>
                          <w:rPr>
                            <w:b/>
                            <w:color w:val="231F20"/>
                            <w:sz w:val="20"/>
                          </w:rPr>
                          <w:t>value (millions)</w:t>
                        </w:r>
                      </w:p>
                    </w:tc>
                  </w:tr>
                  <w:tr>
                    <w:trPr>
                      <w:trHeight w:val="286" w:hRule="exact"/>
                    </w:trPr>
                    <w:tc>
                      <w:tcPr>
                        <w:tcW w:w="4360" w:type="dxa"/>
                        <w:shd w:val="clear" w:color="auto" w:fill="CCECFC"/>
                      </w:tcPr>
                      <w:p>
                        <w:pPr>
                          <w:pStyle w:val="TableParagraph"/>
                          <w:spacing w:before="29"/>
                          <w:ind w:left="80"/>
                          <w:rPr>
                            <w:sz w:val="20"/>
                          </w:rPr>
                        </w:pPr>
                        <w:r>
                          <w:rPr>
                            <w:color w:val="231F20"/>
                            <w:sz w:val="20"/>
                          </w:rPr>
                          <w:t>Outstanding December 31, 2011</w:t>
                        </w:r>
                      </w:p>
                    </w:tc>
                    <w:tc>
                      <w:tcPr>
                        <w:tcW w:w="2499" w:type="dxa"/>
                        <w:tcBorders>
                          <w:top w:val="single" w:sz="8" w:space="0" w:color="231F20"/>
                        </w:tcBorders>
                        <w:shd w:val="clear" w:color="auto" w:fill="CCECFC"/>
                      </w:tcPr>
                      <w:p>
                        <w:pPr>
                          <w:pStyle w:val="TableParagraph"/>
                          <w:tabs>
                            <w:tab w:pos="1379" w:val="left" w:leader="none"/>
                          </w:tabs>
                          <w:spacing w:before="29"/>
                          <w:ind w:right="203"/>
                          <w:jc w:val="right"/>
                          <w:rPr>
                            <w:sz w:val="20"/>
                          </w:rPr>
                        </w:pPr>
                        <w:r>
                          <w:rPr>
                            <w:color w:val="231F20"/>
                            <w:sz w:val="20"/>
                          </w:rPr>
                          <w:t>47,324 </w:t>
                        </w:r>
                        <w:r>
                          <w:rPr>
                            <w:color w:val="231F20"/>
                            <w:spacing w:val="47"/>
                            <w:sz w:val="20"/>
                          </w:rPr>
                          <w:t> </w:t>
                        </w:r>
                        <w:r>
                          <w:rPr>
                            <w:color w:val="231F20"/>
                            <w:sz w:val="20"/>
                          </w:rPr>
                          <w:t>$</w:t>
                          <w:tab/>
                          <w:t>14.51</w:t>
                        </w:r>
                      </w:p>
                    </w:tc>
                    <w:tc>
                      <w:tcPr>
                        <w:tcW w:w="1068" w:type="dxa"/>
                        <w:tcBorders>
                          <w:top w:val="single" w:sz="8" w:space="0" w:color="231F20"/>
                        </w:tcBorders>
                        <w:shd w:val="clear" w:color="auto" w:fill="CCECFC"/>
                      </w:tcPr>
                      <w:p>
                        <w:pPr/>
                      </w:p>
                    </w:tc>
                    <w:tc>
                      <w:tcPr>
                        <w:tcW w:w="1193" w:type="dxa"/>
                        <w:tcBorders>
                          <w:top w:val="single" w:sz="8" w:space="0" w:color="231F20"/>
                        </w:tcBorders>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Granted</w:t>
                        </w:r>
                      </w:p>
                    </w:tc>
                    <w:tc>
                      <w:tcPr>
                        <w:tcW w:w="2499" w:type="dxa"/>
                      </w:tcPr>
                      <w:p>
                        <w:pPr>
                          <w:pStyle w:val="TableParagraph"/>
                          <w:tabs>
                            <w:tab w:pos="1029" w:val="left" w:leader="none"/>
                          </w:tabs>
                          <w:spacing w:before="29"/>
                          <w:ind w:right="204"/>
                          <w:jc w:val="right"/>
                          <w:rPr>
                            <w:sz w:val="20"/>
                          </w:rPr>
                        </w:pPr>
                        <w:r>
                          <w:rPr>
                            <w:color w:val="231F20"/>
                            <w:sz w:val="20"/>
                          </w:rPr>
                          <w:t>6</w:t>
                          <w:tab/>
                          <w:t>9.00</w:t>
                        </w:r>
                      </w:p>
                    </w:tc>
                    <w:tc>
                      <w:tcPr>
                        <w:tcW w:w="1068" w:type="dxa"/>
                      </w:tcPr>
                      <w:p>
                        <w:pPr/>
                      </w:p>
                    </w:tc>
                    <w:tc>
                      <w:tcPr>
                        <w:tcW w:w="1193" w:type="dxa"/>
                      </w:tcPr>
                      <w:p>
                        <w:pPr/>
                      </w:p>
                    </w:tc>
                  </w:tr>
                  <w:tr>
                    <w:trPr>
                      <w:trHeight w:val="276" w:hRule="exact"/>
                    </w:trPr>
                    <w:tc>
                      <w:tcPr>
                        <w:tcW w:w="4360" w:type="dxa"/>
                        <w:shd w:val="clear" w:color="auto" w:fill="CCECFC"/>
                      </w:tcPr>
                      <w:p>
                        <w:pPr>
                          <w:pStyle w:val="TableParagraph"/>
                          <w:spacing w:before="29"/>
                          <w:ind w:left="280"/>
                          <w:rPr>
                            <w:sz w:val="20"/>
                          </w:rPr>
                        </w:pPr>
                        <w:r>
                          <w:rPr>
                            <w:color w:val="231F20"/>
                            <w:sz w:val="20"/>
                          </w:rPr>
                          <w:t>Exercised</w:t>
                        </w:r>
                      </w:p>
                    </w:tc>
                    <w:tc>
                      <w:tcPr>
                        <w:tcW w:w="2499" w:type="dxa"/>
                        <w:shd w:val="clear" w:color="auto" w:fill="CCECFC"/>
                      </w:tcPr>
                      <w:p>
                        <w:pPr>
                          <w:pStyle w:val="TableParagraph"/>
                          <w:tabs>
                            <w:tab w:pos="1296" w:val="left" w:leader="none"/>
                          </w:tabs>
                          <w:spacing w:before="29"/>
                          <w:ind w:right="204"/>
                          <w:jc w:val="right"/>
                          <w:rPr>
                            <w:sz w:val="20"/>
                          </w:rPr>
                        </w:pPr>
                        <w:r>
                          <w:rPr>
                            <w:color w:val="231F20"/>
                            <w:sz w:val="20"/>
                          </w:rPr>
                          <w:t>(573)</w:t>
                          <w:tab/>
                          <w:t>8.00</w:t>
                        </w:r>
                      </w:p>
                    </w:tc>
                    <w:tc>
                      <w:tcPr>
                        <w:tcW w:w="1068" w:type="dxa"/>
                        <w:shd w:val="clear" w:color="auto" w:fill="CCECFC"/>
                      </w:tcPr>
                      <w:p>
                        <w:pPr/>
                      </w:p>
                    </w:tc>
                    <w:tc>
                      <w:tcPr>
                        <w:tcW w:w="1193" w:type="dxa"/>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Surrendered</w:t>
                        </w:r>
                      </w:p>
                    </w:tc>
                    <w:tc>
                      <w:tcPr>
                        <w:tcW w:w="2499" w:type="dxa"/>
                      </w:tcPr>
                      <w:p>
                        <w:pPr>
                          <w:pStyle w:val="TableParagraph"/>
                          <w:tabs>
                            <w:tab w:pos="395" w:val="left" w:leader="none"/>
                            <w:tab w:pos="1842" w:val="left" w:leader="none"/>
                          </w:tabs>
                          <w:spacing w:before="29"/>
                          <w:ind w:right="205"/>
                          <w:jc w:val="right"/>
                          <w:rPr>
                            <w:sz w:val="20"/>
                          </w:rPr>
                        </w:pPr>
                        <w:r>
                          <w:rPr>
                            <w:color w:val="231F20"/>
                            <w:sz w:val="20"/>
                            <w:u w:val="single" w:color="231F20"/>
                          </w:rPr>
                          <w:t> </w:t>
                          <w:tab/>
                          <w:t>(27,847)</w:t>
                        </w:r>
                        <w:r>
                          <w:rPr>
                            <w:color w:val="231F20"/>
                            <w:sz w:val="20"/>
                          </w:rPr>
                          <w:tab/>
                          <w:t>14.85</w:t>
                        </w:r>
                      </w:p>
                    </w:tc>
                    <w:tc>
                      <w:tcPr>
                        <w:tcW w:w="1068" w:type="dxa"/>
                      </w:tcPr>
                      <w:p>
                        <w:pPr/>
                      </w:p>
                    </w:tc>
                    <w:tc>
                      <w:tcPr>
                        <w:tcW w:w="1193" w:type="dxa"/>
                      </w:tcPr>
                      <w:p>
                        <w:pPr/>
                      </w:p>
                    </w:tc>
                  </w:tr>
                  <w:tr>
                    <w:trPr>
                      <w:trHeight w:val="276" w:hRule="exact"/>
                    </w:trPr>
                    <w:tc>
                      <w:tcPr>
                        <w:tcW w:w="4360" w:type="dxa"/>
                        <w:shd w:val="clear" w:color="auto" w:fill="CCECFC"/>
                      </w:tcPr>
                      <w:p>
                        <w:pPr>
                          <w:pStyle w:val="TableParagraph"/>
                          <w:spacing w:before="29"/>
                          <w:ind w:left="80"/>
                          <w:rPr>
                            <w:sz w:val="20"/>
                          </w:rPr>
                        </w:pPr>
                        <w:r>
                          <w:rPr>
                            <w:color w:val="231F20"/>
                            <w:sz w:val="20"/>
                          </w:rPr>
                          <w:t>Outstanding December 31, 2012</w:t>
                        </w:r>
                      </w:p>
                    </w:tc>
                    <w:tc>
                      <w:tcPr>
                        <w:tcW w:w="2499" w:type="dxa"/>
                        <w:shd w:val="clear" w:color="auto" w:fill="CCECFC"/>
                      </w:tcPr>
                      <w:p>
                        <w:pPr>
                          <w:pStyle w:val="TableParagraph"/>
                          <w:tabs>
                            <w:tab w:pos="1379" w:val="left" w:leader="none"/>
                          </w:tabs>
                          <w:spacing w:before="29"/>
                          <w:ind w:right="203"/>
                          <w:jc w:val="right"/>
                          <w:rPr>
                            <w:sz w:val="20"/>
                          </w:rPr>
                        </w:pPr>
                        <w:r>
                          <w:rPr>
                            <w:color w:val="231F20"/>
                            <w:sz w:val="20"/>
                          </w:rPr>
                          <w:t>18,910 </w:t>
                        </w:r>
                        <w:r>
                          <w:rPr>
                            <w:color w:val="231F20"/>
                            <w:spacing w:val="47"/>
                            <w:sz w:val="20"/>
                          </w:rPr>
                          <w:t> </w:t>
                        </w:r>
                        <w:r>
                          <w:rPr>
                            <w:color w:val="231F20"/>
                            <w:sz w:val="20"/>
                          </w:rPr>
                          <w:t>$</w:t>
                          <w:tab/>
                          <w:t>14.19</w:t>
                        </w:r>
                      </w:p>
                    </w:tc>
                    <w:tc>
                      <w:tcPr>
                        <w:tcW w:w="1068" w:type="dxa"/>
                        <w:shd w:val="clear" w:color="auto" w:fill="CCECFC"/>
                      </w:tcPr>
                      <w:p>
                        <w:pPr/>
                      </w:p>
                    </w:tc>
                    <w:tc>
                      <w:tcPr>
                        <w:tcW w:w="1193" w:type="dxa"/>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Granted</w:t>
                        </w:r>
                      </w:p>
                    </w:tc>
                    <w:tc>
                      <w:tcPr>
                        <w:tcW w:w="2499" w:type="dxa"/>
                      </w:tcPr>
                      <w:p>
                        <w:pPr>
                          <w:pStyle w:val="TableParagraph"/>
                          <w:tabs>
                            <w:tab w:pos="1279" w:val="left" w:leader="none"/>
                          </w:tabs>
                          <w:spacing w:before="29"/>
                          <w:ind w:right="204"/>
                          <w:jc w:val="right"/>
                          <w:rPr>
                            <w:sz w:val="20"/>
                          </w:rPr>
                        </w:pPr>
                        <w:r>
                          <w:rPr>
                            <w:color w:val="231F20"/>
                            <w:sz w:val="20"/>
                          </w:rPr>
                          <w:t>—</w:t>
                          <w:tab/>
                          <w:t>—</w:t>
                        </w:r>
                      </w:p>
                    </w:tc>
                    <w:tc>
                      <w:tcPr>
                        <w:tcW w:w="1068" w:type="dxa"/>
                      </w:tcPr>
                      <w:p>
                        <w:pPr/>
                      </w:p>
                    </w:tc>
                    <w:tc>
                      <w:tcPr>
                        <w:tcW w:w="1193" w:type="dxa"/>
                      </w:tcPr>
                      <w:p>
                        <w:pPr/>
                      </w:p>
                    </w:tc>
                  </w:tr>
                  <w:tr>
                    <w:trPr>
                      <w:trHeight w:val="276" w:hRule="exact"/>
                    </w:trPr>
                    <w:tc>
                      <w:tcPr>
                        <w:tcW w:w="4360" w:type="dxa"/>
                        <w:shd w:val="clear" w:color="auto" w:fill="CCECFC"/>
                      </w:tcPr>
                      <w:p>
                        <w:pPr>
                          <w:pStyle w:val="TableParagraph"/>
                          <w:spacing w:before="29"/>
                          <w:ind w:left="280"/>
                          <w:rPr>
                            <w:sz w:val="20"/>
                          </w:rPr>
                        </w:pPr>
                        <w:r>
                          <w:rPr>
                            <w:color w:val="231F20"/>
                            <w:sz w:val="20"/>
                          </w:rPr>
                          <w:t>Exercised</w:t>
                        </w:r>
                      </w:p>
                    </w:tc>
                    <w:tc>
                      <w:tcPr>
                        <w:tcW w:w="2499" w:type="dxa"/>
                        <w:shd w:val="clear" w:color="auto" w:fill="CCECFC"/>
                      </w:tcPr>
                      <w:p>
                        <w:pPr>
                          <w:pStyle w:val="TableParagraph"/>
                          <w:tabs>
                            <w:tab w:pos="1346" w:val="left" w:leader="none"/>
                          </w:tabs>
                          <w:spacing w:before="29"/>
                          <w:ind w:right="205"/>
                          <w:jc w:val="right"/>
                          <w:rPr>
                            <w:sz w:val="20"/>
                          </w:rPr>
                        </w:pPr>
                        <w:r>
                          <w:rPr>
                            <w:color w:val="231F20"/>
                            <w:sz w:val="20"/>
                          </w:rPr>
                          <w:t>(6,633)</w:t>
                          <w:tab/>
                        </w:r>
                        <w:r>
                          <w:rPr>
                            <w:color w:val="231F20"/>
                            <w:spacing w:val="-1"/>
                            <w:sz w:val="20"/>
                          </w:rPr>
                          <w:t>13.31</w:t>
                        </w:r>
                      </w:p>
                    </w:tc>
                    <w:tc>
                      <w:tcPr>
                        <w:tcW w:w="1068" w:type="dxa"/>
                        <w:shd w:val="clear" w:color="auto" w:fill="CCECFC"/>
                      </w:tcPr>
                      <w:p>
                        <w:pPr/>
                      </w:p>
                    </w:tc>
                    <w:tc>
                      <w:tcPr>
                        <w:tcW w:w="1193" w:type="dxa"/>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Surrendered</w:t>
                        </w:r>
                      </w:p>
                    </w:tc>
                    <w:tc>
                      <w:tcPr>
                        <w:tcW w:w="2499" w:type="dxa"/>
                      </w:tcPr>
                      <w:p>
                        <w:pPr>
                          <w:pStyle w:val="TableParagraph"/>
                          <w:tabs>
                            <w:tab w:pos="495" w:val="left" w:leader="none"/>
                            <w:tab w:pos="1842" w:val="left" w:leader="none"/>
                          </w:tabs>
                          <w:spacing w:before="29"/>
                          <w:ind w:right="205"/>
                          <w:jc w:val="right"/>
                          <w:rPr>
                            <w:sz w:val="20"/>
                          </w:rPr>
                        </w:pPr>
                        <w:r>
                          <w:rPr>
                            <w:color w:val="231F20"/>
                            <w:sz w:val="20"/>
                            <w:u w:val="single" w:color="231F20"/>
                          </w:rPr>
                          <w:t> </w:t>
                          <w:tab/>
                          <w:t>(3,116)</w:t>
                        </w:r>
                        <w:r>
                          <w:rPr>
                            <w:color w:val="231F20"/>
                            <w:sz w:val="20"/>
                          </w:rPr>
                          <w:tab/>
                          <w:t>14.94</w:t>
                        </w:r>
                      </w:p>
                    </w:tc>
                    <w:tc>
                      <w:tcPr>
                        <w:tcW w:w="1068" w:type="dxa"/>
                      </w:tcPr>
                      <w:p>
                        <w:pPr/>
                      </w:p>
                    </w:tc>
                    <w:tc>
                      <w:tcPr>
                        <w:tcW w:w="1193" w:type="dxa"/>
                      </w:tcPr>
                      <w:p>
                        <w:pPr/>
                      </w:p>
                    </w:tc>
                  </w:tr>
                  <w:tr>
                    <w:trPr>
                      <w:trHeight w:val="276" w:hRule="exact"/>
                    </w:trPr>
                    <w:tc>
                      <w:tcPr>
                        <w:tcW w:w="4360" w:type="dxa"/>
                        <w:shd w:val="clear" w:color="auto" w:fill="CCECFC"/>
                      </w:tcPr>
                      <w:p>
                        <w:pPr>
                          <w:pStyle w:val="TableParagraph"/>
                          <w:spacing w:before="29"/>
                          <w:ind w:left="80"/>
                          <w:rPr>
                            <w:sz w:val="20"/>
                          </w:rPr>
                        </w:pPr>
                        <w:r>
                          <w:rPr>
                            <w:color w:val="231F20"/>
                            <w:sz w:val="20"/>
                          </w:rPr>
                          <w:t>Outstanding December 31, 2013</w:t>
                        </w:r>
                      </w:p>
                    </w:tc>
                    <w:tc>
                      <w:tcPr>
                        <w:tcW w:w="2499" w:type="dxa"/>
                        <w:shd w:val="clear" w:color="auto" w:fill="CCECFC"/>
                      </w:tcPr>
                      <w:p>
                        <w:pPr>
                          <w:pStyle w:val="TableParagraph"/>
                          <w:tabs>
                            <w:tab w:pos="1279" w:val="left" w:leader="none"/>
                          </w:tabs>
                          <w:spacing w:before="29"/>
                          <w:ind w:right="203"/>
                          <w:jc w:val="right"/>
                          <w:rPr>
                            <w:sz w:val="20"/>
                          </w:rPr>
                        </w:pPr>
                        <w:r>
                          <w:rPr>
                            <w:color w:val="231F20"/>
                            <w:sz w:val="20"/>
                          </w:rPr>
                          <w:t>9,161 </w:t>
                        </w:r>
                        <w:r>
                          <w:rPr>
                            <w:color w:val="231F20"/>
                            <w:spacing w:val="47"/>
                            <w:sz w:val="20"/>
                          </w:rPr>
                          <w:t> </w:t>
                        </w:r>
                        <w:r>
                          <w:rPr>
                            <w:color w:val="231F20"/>
                            <w:sz w:val="20"/>
                          </w:rPr>
                          <w:t>$</w:t>
                          <w:tab/>
                          <w:t>14.58</w:t>
                        </w:r>
                      </w:p>
                    </w:tc>
                    <w:tc>
                      <w:tcPr>
                        <w:tcW w:w="1068" w:type="dxa"/>
                        <w:shd w:val="clear" w:color="auto" w:fill="CCECFC"/>
                      </w:tcPr>
                      <w:p>
                        <w:pPr/>
                      </w:p>
                    </w:tc>
                    <w:tc>
                      <w:tcPr>
                        <w:tcW w:w="1193" w:type="dxa"/>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Granted</w:t>
                        </w:r>
                      </w:p>
                    </w:tc>
                    <w:tc>
                      <w:tcPr>
                        <w:tcW w:w="2499" w:type="dxa"/>
                      </w:tcPr>
                      <w:p>
                        <w:pPr>
                          <w:pStyle w:val="TableParagraph"/>
                          <w:tabs>
                            <w:tab w:pos="1279" w:val="left" w:leader="none"/>
                          </w:tabs>
                          <w:spacing w:before="29"/>
                          <w:ind w:right="204"/>
                          <w:jc w:val="right"/>
                          <w:rPr>
                            <w:sz w:val="20"/>
                          </w:rPr>
                        </w:pPr>
                        <w:r>
                          <w:rPr>
                            <w:color w:val="231F20"/>
                            <w:sz w:val="20"/>
                          </w:rPr>
                          <w:t>—</w:t>
                          <w:tab/>
                          <w:t>—</w:t>
                        </w:r>
                      </w:p>
                    </w:tc>
                    <w:tc>
                      <w:tcPr>
                        <w:tcW w:w="1068" w:type="dxa"/>
                      </w:tcPr>
                      <w:p>
                        <w:pPr/>
                      </w:p>
                    </w:tc>
                    <w:tc>
                      <w:tcPr>
                        <w:tcW w:w="1193" w:type="dxa"/>
                      </w:tcPr>
                      <w:p>
                        <w:pPr/>
                      </w:p>
                    </w:tc>
                  </w:tr>
                  <w:tr>
                    <w:trPr>
                      <w:trHeight w:val="276" w:hRule="exact"/>
                    </w:trPr>
                    <w:tc>
                      <w:tcPr>
                        <w:tcW w:w="4360" w:type="dxa"/>
                        <w:shd w:val="clear" w:color="auto" w:fill="CCECFC"/>
                      </w:tcPr>
                      <w:p>
                        <w:pPr>
                          <w:pStyle w:val="TableParagraph"/>
                          <w:spacing w:before="29"/>
                          <w:ind w:left="280"/>
                          <w:rPr>
                            <w:sz w:val="20"/>
                          </w:rPr>
                        </w:pPr>
                        <w:r>
                          <w:rPr>
                            <w:color w:val="231F20"/>
                            <w:sz w:val="20"/>
                          </w:rPr>
                          <w:t>Exercised</w:t>
                        </w:r>
                      </w:p>
                    </w:tc>
                    <w:tc>
                      <w:tcPr>
                        <w:tcW w:w="2499" w:type="dxa"/>
                        <w:shd w:val="clear" w:color="auto" w:fill="CCECFC"/>
                      </w:tcPr>
                      <w:p>
                        <w:pPr>
                          <w:pStyle w:val="TableParagraph"/>
                          <w:tabs>
                            <w:tab w:pos="1346" w:val="left" w:leader="none"/>
                          </w:tabs>
                          <w:spacing w:before="29"/>
                          <w:ind w:right="205"/>
                          <w:jc w:val="right"/>
                          <w:rPr>
                            <w:sz w:val="20"/>
                          </w:rPr>
                        </w:pPr>
                        <w:r>
                          <w:rPr>
                            <w:color w:val="231F20"/>
                            <w:sz w:val="20"/>
                          </w:rPr>
                          <w:t>(6,636)</w:t>
                          <w:tab/>
                        </w:r>
                        <w:r>
                          <w:rPr>
                            <w:color w:val="231F20"/>
                            <w:spacing w:val="-1"/>
                            <w:sz w:val="20"/>
                          </w:rPr>
                          <w:t>14.36</w:t>
                        </w:r>
                      </w:p>
                    </w:tc>
                    <w:tc>
                      <w:tcPr>
                        <w:tcW w:w="1068" w:type="dxa"/>
                        <w:shd w:val="clear" w:color="auto" w:fill="CCECFC"/>
                      </w:tcPr>
                      <w:p>
                        <w:pPr/>
                      </w:p>
                    </w:tc>
                    <w:tc>
                      <w:tcPr>
                        <w:tcW w:w="1193" w:type="dxa"/>
                        <w:shd w:val="clear" w:color="auto" w:fill="CCECFC"/>
                      </w:tcPr>
                      <w:p>
                        <w:pPr/>
                      </w:p>
                    </w:tc>
                  </w:tr>
                  <w:tr>
                    <w:trPr>
                      <w:trHeight w:val="276" w:hRule="exact"/>
                    </w:trPr>
                    <w:tc>
                      <w:tcPr>
                        <w:tcW w:w="4360" w:type="dxa"/>
                      </w:tcPr>
                      <w:p>
                        <w:pPr>
                          <w:pStyle w:val="TableParagraph"/>
                          <w:spacing w:before="29"/>
                          <w:ind w:left="280"/>
                          <w:rPr>
                            <w:sz w:val="20"/>
                          </w:rPr>
                        </w:pPr>
                        <w:r>
                          <w:rPr>
                            <w:color w:val="231F20"/>
                            <w:sz w:val="20"/>
                          </w:rPr>
                          <w:t>Surrendered</w:t>
                        </w:r>
                      </w:p>
                    </w:tc>
                    <w:tc>
                      <w:tcPr>
                        <w:tcW w:w="2499" w:type="dxa"/>
                      </w:tcPr>
                      <w:p>
                        <w:pPr>
                          <w:pStyle w:val="TableParagraph"/>
                          <w:tabs>
                            <w:tab w:pos="745" w:val="left" w:leader="none"/>
                            <w:tab w:pos="1842" w:val="left" w:leader="none"/>
                          </w:tabs>
                          <w:spacing w:before="29"/>
                          <w:ind w:right="204"/>
                          <w:jc w:val="right"/>
                          <w:rPr>
                            <w:sz w:val="20"/>
                          </w:rPr>
                        </w:pPr>
                        <w:r>
                          <w:rPr>
                            <w:color w:val="231F20"/>
                            <w:sz w:val="20"/>
                            <w:u w:val="single" w:color="231F20"/>
                          </w:rPr>
                          <w:t> </w:t>
                          <w:tab/>
                          <w:t>(48)</w:t>
                        </w:r>
                        <w:r>
                          <w:rPr>
                            <w:color w:val="231F20"/>
                            <w:sz w:val="20"/>
                          </w:rPr>
                          <w:tab/>
                          <w:t>15.74</w:t>
                        </w:r>
                      </w:p>
                    </w:tc>
                    <w:tc>
                      <w:tcPr>
                        <w:tcW w:w="1068" w:type="dxa"/>
                      </w:tcPr>
                      <w:p>
                        <w:pPr/>
                      </w:p>
                    </w:tc>
                    <w:tc>
                      <w:tcPr>
                        <w:tcW w:w="1193" w:type="dxa"/>
                      </w:tcPr>
                      <w:p>
                        <w:pPr/>
                      </w:p>
                    </w:tc>
                  </w:tr>
                  <w:tr>
                    <w:trPr>
                      <w:trHeight w:val="311" w:hRule="exact"/>
                    </w:trPr>
                    <w:tc>
                      <w:tcPr>
                        <w:tcW w:w="4360" w:type="dxa"/>
                        <w:shd w:val="clear" w:color="auto" w:fill="CCECFC"/>
                      </w:tcPr>
                      <w:p>
                        <w:pPr>
                          <w:pStyle w:val="TableParagraph"/>
                          <w:spacing w:before="29"/>
                          <w:ind w:left="80"/>
                          <w:rPr>
                            <w:sz w:val="20"/>
                          </w:rPr>
                        </w:pPr>
                        <w:r>
                          <w:rPr>
                            <w:color w:val="231F20"/>
                            <w:sz w:val="20"/>
                          </w:rPr>
                          <w:t>Outstanding December 31, 2014</w:t>
                        </w:r>
                      </w:p>
                    </w:tc>
                    <w:tc>
                      <w:tcPr>
                        <w:tcW w:w="2499" w:type="dxa"/>
                        <w:tcBorders>
                          <w:bottom w:val="single" w:sz="4" w:space="0" w:color="231F20"/>
                        </w:tcBorders>
                        <w:shd w:val="clear" w:color="auto" w:fill="CCECFC"/>
                      </w:tcPr>
                      <w:p>
                        <w:pPr>
                          <w:pStyle w:val="TableParagraph"/>
                          <w:tabs>
                            <w:tab w:pos="562" w:val="left" w:leader="none"/>
                            <w:tab w:pos="1842" w:val="left" w:leader="none"/>
                          </w:tabs>
                          <w:spacing w:before="29"/>
                          <w:ind w:right="203"/>
                          <w:jc w:val="right"/>
                          <w:rPr>
                            <w:sz w:val="20"/>
                          </w:rPr>
                        </w:pPr>
                        <w:r>
                          <w:rPr>
                            <w:color w:val="231F20"/>
                            <w:sz w:val="20"/>
                            <w:u w:val="single" w:color="231F20"/>
                          </w:rPr>
                          <w:t> </w:t>
                          <w:tab/>
                          <w:t>2,477 </w:t>
                        </w:r>
                        <w:r>
                          <w:rPr>
                            <w:color w:val="231F20"/>
                            <w:spacing w:val="46"/>
                            <w:sz w:val="20"/>
                            <w:u w:val="single" w:color="231F20"/>
                          </w:rPr>
                          <w:t> </w:t>
                        </w:r>
                        <w:r>
                          <w:rPr>
                            <w:color w:val="231F20"/>
                            <w:sz w:val="20"/>
                          </w:rPr>
                          <w:t>$</w:t>
                          <w:tab/>
                          <w:t>15.17</w:t>
                        </w:r>
                      </w:p>
                    </w:tc>
                    <w:tc>
                      <w:tcPr>
                        <w:tcW w:w="1068" w:type="dxa"/>
                        <w:shd w:val="clear" w:color="auto" w:fill="CCECFC"/>
                      </w:tcPr>
                      <w:p>
                        <w:pPr>
                          <w:pStyle w:val="TableParagraph"/>
                          <w:spacing w:before="29"/>
                          <w:ind w:right="71"/>
                          <w:jc w:val="right"/>
                          <w:rPr>
                            <w:sz w:val="20"/>
                          </w:rPr>
                        </w:pPr>
                        <w:r>
                          <w:rPr>
                            <w:color w:val="231F20"/>
                            <w:sz w:val="20"/>
                          </w:rPr>
                          <w:t>1.62</w:t>
                        </w:r>
                      </w:p>
                    </w:tc>
                    <w:tc>
                      <w:tcPr>
                        <w:tcW w:w="1193" w:type="dxa"/>
                        <w:shd w:val="clear" w:color="auto" w:fill="CCECFC"/>
                      </w:tcPr>
                      <w:p>
                        <w:pPr>
                          <w:pStyle w:val="TableParagraph"/>
                          <w:tabs>
                            <w:tab w:pos="859" w:val="left" w:leader="none"/>
                          </w:tabs>
                          <w:spacing w:before="29"/>
                          <w:ind w:left="6"/>
                          <w:jc w:val="center"/>
                          <w:rPr>
                            <w:sz w:val="20"/>
                          </w:rPr>
                        </w:pPr>
                        <w:r>
                          <w:rPr>
                            <w:color w:val="231F20"/>
                            <w:sz w:val="20"/>
                          </w:rPr>
                          <w:t>$</w:t>
                          <w:tab/>
                          <w:t>67</w:t>
                        </w:r>
                      </w:p>
                    </w:tc>
                  </w:tr>
                  <w:tr>
                    <w:trPr>
                      <w:trHeight w:val="281" w:hRule="exact"/>
                    </w:trPr>
                    <w:tc>
                      <w:tcPr>
                        <w:tcW w:w="4360" w:type="dxa"/>
                      </w:tcPr>
                      <w:p>
                        <w:pPr>
                          <w:pStyle w:val="TableParagraph"/>
                          <w:spacing w:before="69"/>
                          <w:ind w:left="80"/>
                          <w:rPr>
                            <w:sz w:val="20"/>
                          </w:rPr>
                        </w:pPr>
                        <w:r>
                          <w:rPr>
                            <w:color w:val="231F20"/>
                            <w:sz w:val="20"/>
                          </w:rPr>
                          <w:t>Vested or expected to vest at December 31, 2014</w:t>
                        </w:r>
                      </w:p>
                    </w:tc>
                    <w:tc>
                      <w:tcPr>
                        <w:tcW w:w="2499" w:type="dxa"/>
                        <w:tcBorders>
                          <w:top w:val="single" w:sz="4" w:space="0" w:color="231F20"/>
                        </w:tcBorders>
                      </w:tcPr>
                      <w:p>
                        <w:pPr>
                          <w:pStyle w:val="TableParagraph"/>
                          <w:tabs>
                            <w:tab w:pos="1279" w:val="left" w:leader="none"/>
                          </w:tabs>
                          <w:spacing w:before="29"/>
                          <w:ind w:right="205"/>
                          <w:jc w:val="right"/>
                          <w:rPr>
                            <w:sz w:val="20"/>
                          </w:rPr>
                        </w:pPr>
                        <w:r>
                          <w:rPr>
                            <w:color w:val="231F20"/>
                            <w:sz w:val="20"/>
                          </w:rPr>
                          <w:t>2,473 </w:t>
                        </w:r>
                        <w:r>
                          <w:rPr>
                            <w:color w:val="231F20"/>
                            <w:spacing w:val="47"/>
                            <w:sz w:val="20"/>
                          </w:rPr>
                          <w:t> </w:t>
                        </w:r>
                        <w:r>
                          <w:rPr>
                            <w:color w:val="231F20"/>
                            <w:sz w:val="20"/>
                          </w:rPr>
                          <w:t>$</w:t>
                          <w:tab/>
                          <w:t>15.16</w:t>
                        </w:r>
                      </w:p>
                    </w:tc>
                    <w:tc>
                      <w:tcPr>
                        <w:tcW w:w="1068" w:type="dxa"/>
                      </w:tcPr>
                      <w:p>
                        <w:pPr>
                          <w:pStyle w:val="TableParagraph"/>
                          <w:spacing w:before="69"/>
                          <w:ind w:right="71"/>
                          <w:jc w:val="right"/>
                          <w:rPr>
                            <w:sz w:val="20"/>
                          </w:rPr>
                        </w:pPr>
                        <w:r>
                          <w:rPr>
                            <w:color w:val="231F20"/>
                            <w:sz w:val="20"/>
                          </w:rPr>
                          <w:t>1.63</w:t>
                        </w:r>
                      </w:p>
                    </w:tc>
                    <w:tc>
                      <w:tcPr>
                        <w:tcW w:w="1193" w:type="dxa"/>
                      </w:tcPr>
                      <w:p>
                        <w:pPr>
                          <w:pStyle w:val="TableParagraph"/>
                          <w:tabs>
                            <w:tab w:pos="859" w:val="left" w:leader="none"/>
                          </w:tabs>
                          <w:spacing w:before="69"/>
                          <w:ind w:left="6"/>
                          <w:jc w:val="center"/>
                          <w:rPr>
                            <w:sz w:val="20"/>
                          </w:rPr>
                        </w:pPr>
                        <w:r>
                          <w:rPr>
                            <w:color w:val="231F20"/>
                            <w:sz w:val="20"/>
                          </w:rPr>
                          <w:t>$</w:t>
                          <w:tab/>
                          <w:t>67</w:t>
                        </w:r>
                      </w:p>
                    </w:tc>
                  </w:tr>
                  <w:tr>
                    <w:trPr>
                      <w:trHeight w:val="276" w:hRule="exact"/>
                    </w:trPr>
                    <w:tc>
                      <w:tcPr>
                        <w:tcW w:w="4360" w:type="dxa"/>
                        <w:shd w:val="clear" w:color="auto" w:fill="CCECFC"/>
                      </w:tcPr>
                      <w:p>
                        <w:pPr>
                          <w:pStyle w:val="TableParagraph"/>
                          <w:spacing w:before="29"/>
                          <w:ind w:left="80"/>
                          <w:rPr>
                            <w:sz w:val="20"/>
                          </w:rPr>
                        </w:pPr>
                        <w:r>
                          <w:rPr>
                            <w:color w:val="231F20"/>
                            <w:sz w:val="20"/>
                          </w:rPr>
                          <w:t>Exercisable at December 31, 2014</w:t>
                        </w:r>
                      </w:p>
                    </w:tc>
                    <w:tc>
                      <w:tcPr>
                        <w:tcW w:w="2499" w:type="dxa"/>
                        <w:shd w:val="clear" w:color="auto" w:fill="CCECFC"/>
                      </w:tcPr>
                      <w:p>
                        <w:pPr>
                          <w:pStyle w:val="TableParagraph"/>
                          <w:tabs>
                            <w:tab w:pos="1279" w:val="left" w:leader="none"/>
                          </w:tabs>
                          <w:spacing w:before="29"/>
                          <w:ind w:right="203"/>
                          <w:jc w:val="right"/>
                          <w:rPr>
                            <w:sz w:val="20"/>
                          </w:rPr>
                        </w:pPr>
                        <w:r>
                          <w:rPr>
                            <w:color w:val="231F20"/>
                            <w:sz w:val="20"/>
                          </w:rPr>
                          <w:t>2,308 </w:t>
                        </w:r>
                        <w:r>
                          <w:rPr>
                            <w:color w:val="231F20"/>
                            <w:spacing w:val="47"/>
                            <w:sz w:val="20"/>
                          </w:rPr>
                          <w:t> </w:t>
                        </w:r>
                        <w:r>
                          <w:rPr>
                            <w:color w:val="231F20"/>
                            <w:sz w:val="20"/>
                          </w:rPr>
                          <w:t>$</w:t>
                          <w:tab/>
                          <w:t>15.05</w:t>
                        </w:r>
                      </w:p>
                    </w:tc>
                    <w:tc>
                      <w:tcPr>
                        <w:tcW w:w="1068" w:type="dxa"/>
                        <w:shd w:val="clear" w:color="auto" w:fill="CCECFC"/>
                      </w:tcPr>
                      <w:p>
                        <w:pPr>
                          <w:pStyle w:val="TableParagraph"/>
                          <w:spacing w:before="29"/>
                          <w:ind w:right="71"/>
                          <w:jc w:val="right"/>
                          <w:rPr>
                            <w:sz w:val="20"/>
                          </w:rPr>
                        </w:pPr>
                        <w:r>
                          <w:rPr>
                            <w:color w:val="231F20"/>
                            <w:sz w:val="20"/>
                          </w:rPr>
                          <w:t>1.67</w:t>
                        </w:r>
                      </w:p>
                    </w:tc>
                    <w:tc>
                      <w:tcPr>
                        <w:tcW w:w="1193" w:type="dxa"/>
                        <w:shd w:val="clear" w:color="auto" w:fill="CCECFC"/>
                      </w:tcPr>
                      <w:p>
                        <w:pPr>
                          <w:pStyle w:val="TableParagraph"/>
                          <w:tabs>
                            <w:tab w:pos="859" w:val="left" w:leader="none"/>
                          </w:tabs>
                          <w:spacing w:before="29"/>
                          <w:ind w:left="6"/>
                          <w:jc w:val="center"/>
                          <w:rPr>
                            <w:sz w:val="20"/>
                          </w:rPr>
                        </w:pPr>
                        <w:r>
                          <w:rPr>
                            <w:color w:val="231F20"/>
                            <w:sz w:val="20"/>
                          </w:rPr>
                          <w:t>$</w:t>
                          <w:tab/>
                          <w:t>63</w:t>
                        </w:r>
                      </w:p>
                    </w:tc>
                  </w:tr>
                </w:tbl>
                <w:p>
                  <w:pPr>
                    <w:pStyle w:val="BodyText"/>
                  </w:pPr>
                </w:p>
              </w:txbxContent>
            </v:textbox>
            <w10:wrap type="none"/>
          </v:shape>
        </w:pict>
      </w:r>
      <w:r>
        <w:rPr>
          <w:b/>
          <w:color w:val="231F20"/>
          <w:sz w:val="20"/>
        </w:rPr>
        <w:t>Wtd. average</w:t>
      </w:r>
    </w:p>
    <w:p>
      <w:pPr>
        <w:spacing w:line="200" w:lineRule="exact" w:before="0"/>
        <w:ind w:left="377" w:right="-19" w:firstLine="50"/>
        <w:jc w:val="left"/>
        <w:rPr>
          <w:b/>
          <w:sz w:val="20"/>
        </w:rPr>
      </w:pPr>
      <w:r>
        <w:rPr/>
        <w:br w:type="column"/>
      </w:r>
      <w:r>
        <w:rPr>
          <w:b/>
          <w:color w:val="231F20"/>
          <w:sz w:val="20"/>
        </w:rPr>
        <w:t>remaining contractual</w:t>
      </w:r>
    </w:p>
    <w:p>
      <w:pPr>
        <w:spacing w:line="200" w:lineRule="exact" w:before="0"/>
        <w:ind w:left="315" w:right="220" w:hanging="82"/>
        <w:jc w:val="left"/>
        <w:rPr>
          <w:b/>
          <w:sz w:val="20"/>
        </w:rPr>
      </w:pPr>
      <w:r>
        <w:rPr/>
        <w:br w:type="column"/>
      </w:r>
      <w:r>
        <w:rPr>
          <w:b/>
          <w:color w:val="231F20"/>
          <w:sz w:val="20"/>
        </w:rPr>
        <w:t>Aggregate</w:t>
      </w:r>
      <w:r>
        <w:rPr>
          <w:b/>
          <w:color w:val="231F20"/>
          <w:w w:val="100"/>
          <w:sz w:val="20"/>
        </w:rPr>
        <w:t> </w:t>
      </w:r>
      <w:r>
        <w:rPr>
          <w:b/>
          <w:color w:val="231F20"/>
          <w:sz w:val="20"/>
        </w:rPr>
        <w:t>intrinsic</w:t>
      </w:r>
    </w:p>
    <w:p>
      <w:pPr>
        <w:spacing w:after="0" w:line="200" w:lineRule="exact"/>
        <w:jc w:val="left"/>
        <w:rPr>
          <w:sz w:val="20"/>
        </w:rPr>
        <w:sectPr>
          <w:type w:val="continuous"/>
          <w:pgSz w:w="11880" w:h="15480"/>
          <w:pgMar w:top="1260" w:bottom="280" w:left="1280" w:right="1260"/>
          <w:cols w:num="3" w:equalWidth="0">
            <w:col w:w="6553" w:space="40"/>
            <w:col w:w="1356" w:space="40"/>
            <w:col w:w="1351"/>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0"/>
        </w:rPr>
      </w:pPr>
    </w:p>
    <w:p>
      <w:pPr>
        <w:pStyle w:val="BodyText"/>
        <w:spacing w:line="247" w:lineRule="auto" w:before="93"/>
        <w:ind w:left="100" w:right="117" w:firstLine="720"/>
        <w:jc w:val="both"/>
      </w:pPr>
      <w:r>
        <w:rPr>
          <w:color w:val="231F20"/>
        </w:rPr>
        <w:t>The total aggregate intrinsic value of options exercised for all plans during the years ended December 31, 2014, 2013, and 2012, was $75 million, $22 million, and $1 million, respectively. The total grant date fair value of shares vesting during the years ended December 31, 2014, 2013, and 2012, was $15 million, $16 million, and $13 million, respectively.</w:t>
      </w:r>
    </w:p>
    <w:p>
      <w:pPr>
        <w:pStyle w:val="BodyText"/>
        <w:spacing w:before="3"/>
      </w:pPr>
    </w:p>
    <w:p>
      <w:pPr>
        <w:pStyle w:val="Heading2"/>
        <w:ind w:left="320"/>
        <w:rPr>
          <w:i/>
        </w:rPr>
      </w:pPr>
      <w:r>
        <w:rPr>
          <w:i/>
          <w:color w:val="231F20"/>
        </w:rPr>
        <w:t>Employee Stock Purchase Plan</w:t>
      </w:r>
    </w:p>
    <w:p>
      <w:pPr>
        <w:pStyle w:val="BodyText"/>
        <w:spacing w:before="10"/>
        <w:rPr>
          <w:b/>
          <w:i/>
        </w:rPr>
      </w:pPr>
    </w:p>
    <w:p>
      <w:pPr>
        <w:pStyle w:val="BodyText"/>
        <w:spacing w:line="247" w:lineRule="auto"/>
        <w:ind w:left="100" w:right="119" w:firstLine="720"/>
        <w:jc w:val="both"/>
      </w:pPr>
      <w:r>
        <w:rPr>
          <w:color w:val="231F20"/>
        </w:rPr>
        <w:t>Under the amended 1991 Employee Stock Purchase Plan (ESPP), which has been approved by Shareholders, the Company is authorized to issue up to a remaining balance of 11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2014, 2013, and 2012, participants under the plan purchased 792 thousand shares, 1.5 million shares, and</w:t>
      </w:r>
    </w:p>
    <w:p>
      <w:pPr>
        <w:pStyle w:val="BodyText"/>
        <w:spacing w:line="247" w:lineRule="auto"/>
        <w:ind w:left="100" w:right="118"/>
        <w:jc w:val="both"/>
      </w:pPr>
      <w:r>
        <w:rPr>
          <w:color w:val="231F20"/>
        </w:rPr>
        <w:t>2.2 million shares at average prices of $23.17, $12.03, and $8.01, respectively. The weighted-average fair value of each purchase right under the ESPP granted for the years ended December 31, 2014, 2013, and 2012, which is equal to the ten percent discount from the market value of the Common Stock at the end of each monthly purchase period, was $2.68, $1.34, and $0.89, respectively.</w:t>
      </w:r>
    </w:p>
    <w:p>
      <w:pPr>
        <w:pStyle w:val="BodyText"/>
        <w:spacing w:before="4"/>
      </w:pPr>
    </w:p>
    <w:p>
      <w:pPr>
        <w:pStyle w:val="Heading2"/>
        <w:ind w:left="320"/>
        <w:rPr>
          <w:i/>
        </w:rPr>
      </w:pPr>
      <w:r>
        <w:rPr>
          <w:i/>
          <w:color w:val="231F20"/>
        </w:rPr>
        <w:t>Taxes</w:t>
      </w:r>
    </w:p>
    <w:p>
      <w:pPr>
        <w:pStyle w:val="BodyText"/>
        <w:spacing w:before="10"/>
        <w:rPr>
          <w:b/>
          <w:i/>
        </w:rPr>
      </w:pPr>
    </w:p>
    <w:p>
      <w:pPr>
        <w:pStyle w:val="BodyText"/>
        <w:spacing w:line="247" w:lineRule="auto"/>
        <w:ind w:left="100" w:right="118" w:firstLine="720"/>
        <w:jc w:val="both"/>
      </w:pPr>
      <w:r>
        <w:rPr>
          <w:color w:val="231F20"/>
        </w:rPr>
        <w:t>A portion of the Company’s granted options qualify as incentive stock options for income tax purposes. As such, a tax benefit is not recorded at the time the compensation cost related to the  options</w:t>
      </w:r>
    </w:p>
    <w:p>
      <w:pPr>
        <w:spacing w:after="0" w:line="247" w:lineRule="auto"/>
        <w:jc w:val="both"/>
        <w:sectPr>
          <w:type w:val="continuous"/>
          <w:pgSz w:w="11880" w:h="15480"/>
          <w:pgMar w:top="1260" w:bottom="280" w:left="1280" w:right="1260"/>
        </w:sectPr>
      </w:pPr>
    </w:p>
    <w:p>
      <w:pPr>
        <w:pStyle w:val="BodyText"/>
        <w:spacing w:line="247" w:lineRule="auto" w:before="74"/>
        <w:ind w:left="100" w:right="117"/>
        <w:jc w:val="both"/>
      </w:pPr>
      <w:r>
        <w:rPr>
          <w:color w:val="231F20"/>
        </w:rPr>
        <w:t>is recorded for book purposes due to the fact that an incentive stock option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w:t>
      </w:r>
      <w:r>
        <w:rPr>
          <w:color w:val="231F20"/>
          <w:spacing w:val="-3"/>
        </w:rPr>
        <w:t> </w:t>
      </w:r>
      <w:r>
        <w:rPr>
          <w:color w:val="231F20"/>
        </w:rPr>
        <w:t>variability.</w:t>
      </w:r>
    </w:p>
    <w:p>
      <w:pPr>
        <w:pStyle w:val="Heading1"/>
        <w:numPr>
          <w:ilvl w:val="0"/>
          <w:numId w:val="15"/>
        </w:numPr>
        <w:tabs>
          <w:tab w:pos="430" w:val="left" w:leader="none"/>
        </w:tabs>
        <w:spacing w:line="451" w:lineRule="auto" w:before="215" w:after="0"/>
        <w:ind w:left="100" w:right="4528" w:firstLine="0"/>
        <w:jc w:val="left"/>
      </w:pPr>
      <w:r>
        <w:rPr>
          <w:color w:val="231F20"/>
        </w:rPr>
        <w:t>FINANCIAL DERIVATIVE INSTRUMENTS Fuel</w:t>
      </w:r>
      <w:r>
        <w:rPr>
          <w:color w:val="231F20"/>
          <w:spacing w:val="-1"/>
        </w:rPr>
        <w:t> </w:t>
      </w:r>
      <w:r>
        <w:rPr>
          <w:color w:val="231F20"/>
        </w:rPr>
        <w:t>contracts</w:t>
      </w:r>
    </w:p>
    <w:p>
      <w:pPr>
        <w:pStyle w:val="BodyText"/>
        <w:spacing w:line="247" w:lineRule="auto" w:before="8"/>
        <w:ind w:left="100" w:right="117" w:firstLine="720"/>
        <w:jc w:val="both"/>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Although the  Company may periodically enter into jet fuel derivatives for short-term timeframes, because jet fuel is not widely traded on an organized futures exchange, there are limited opportunities to hedge directly in jet fuel for time horizons longer than approximately 24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or speculative</w:t>
      </w:r>
      <w:r>
        <w:rPr>
          <w:color w:val="231F20"/>
          <w:spacing w:val="-2"/>
        </w:rPr>
        <w:t> </w:t>
      </w:r>
      <w:r>
        <w:rPr>
          <w:color w:val="231F20"/>
        </w:rPr>
        <w:t>purposes.</w:t>
      </w:r>
    </w:p>
    <w:p>
      <w:pPr>
        <w:pStyle w:val="BodyText"/>
        <w:spacing w:line="247" w:lineRule="auto" w:before="215"/>
        <w:ind w:left="100" w:right="117" w:firstLine="720"/>
        <w:jc w:val="both"/>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put spreads (which include a purchased put option and a sold put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may be exposed to price changes beyond a certain market price or below.</w:t>
      </w:r>
    </w:p>
    <w:p>
      <w:pPr>
        <w:pStyle w:val="BodyText"/>
        <w:spacing w:line="247" w:lineRule="auto" w:before="215"/>
        <w:ind w:left="100" w:right="117" w:firstLine="720"/>
        <w:jc w:val="both"/>
      </w:pPr>
      <w:r>
        <w:rPr>
          <w:color w:val="231F20"/>
        </w:rPr>
        <w:t>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hedged for a particular period is also dependent on current market prices for that period as well as the types of derivative instruments held and the strike prices of those instruments. For example, the Company may enter into “out-of-the-money”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and may even produce hedging losses depending on market prices, the types of instruments held, and the strike prices of those instruments.</w:t>
      </w:r>
    </w:p>
    <w:p>
      <w:pPr>
        <w:pStyle w:val="BodyText"/>
        <w:spacing w:line="247" w:lineRule="auto" w:before="215"/>
        <w:ind w:left="100" w:right="117" w:firstLine="720"/>
        <w:jc w:val="both"/>
      </w:pPr>
      <w:r>
        <w:rPr>
          <w:color w:val="231F20"/>
        </w:rPr>
        <w:t>For 2014, the Company had fuel derivative instruments in place for up to 34 percent of its fuel consumption, and, as a result, recognized $56 million in cash gains in Fuel expense from the settlement of those positions. As of December 31, 2014, the Company has reduced its hedge position related to future years, and thus has no “economic” hedge in place for its 2015 estimated fuel consumption. </w:t>
      </w:r>
      <w:r>
        <w:rPr>
          <w:color w:val="231F20"/>
          <w:spacing w:val="51"/>
        </w:rPr>
        <w:t> </w:t>
      </w:r>
      <w:r>
        <w:rPr>
          <w:color w:val="231F20"/>
        </w:rPr>
        <w:t>This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reduction in the Company’s hedge primarily was accomplished through entering into offsetting derivatives that will also settle in the same periods as the economic hedge derivative. Although a portion of the offsetting derivatives were sold swap positions and thus required no cash payment, the Company did pay $217 million to counterparties during fourth quarter 2014 to purchase offsetting derivatives that will settle in 2015 and 2018. These payments effectively serve to reduce the payments to counterparties that would have been required when the original economic derivatives settle in those future periods. However, to the extent the Company utilized hedge accounting for these original derivatives, any losses that had been recorded in AOCI will remain there and be reclassified to  earnings in the periods in which the derivatives settle. Also see Note 12 for further information on AOCI. The following table provides information about the Company’s volume of fuel hedging for the years 2015 through 2018 on an “economic” basis considering current market prices:</w:t>
      </w:r>
    </w:p>
    <w:p>
      <w:pPr>
        <w:pStyle w:val="BodyText"/>
        <w:spacing w:before="2"/>
        <w:rPr>
          <w:sz w:val="13"/>
        </w:rPr>
      </w:pPr>
    </w:p>
    <w:p>
      <w:pPr>
        <w:spacing w:after="0"/>
        <w:rPr>
          <w:sz w:val="13"/>
        </w:rPr>
        <w:sectPr>
          <w:pgSz w:w="11880" w:h="15480"/>
          <w:pgMar w:header="0" w:footer="1240" w:top="1240" w:bottom="1420" w:left="1260" w:right="1260"/>
        </w:sectPr>
      </w:pPr>
    </w:p>
    <w:p>
      <w:pPr>
        <w:pStyle w:val="BodyText"/>
      </w:pPr>
    </w:p>
    <w:p>
      <w:pPr>
        <w:pStyle w:val="BodyText"/>
        <w:spacing w:before="4"/>
        <w:rPr>
          <w:sz w:val="28"/>
        </w:rPr>
      </w:pPr>
    </w:p>
    <w:p>
      <w:pPr>
        <w:spacing w:before="0"/>
        <w:ind w:left="220" w:right="0" w:firstLine="0"/>
        <w:jc w:val="left"/>
        <w:rPr>
          <w:b/>
          <w:sz w:val="20"/>
        </w:rPr>
      </w:pPr>
      <w:r>
        <w:rPr>
          <w:b/>
          <w:color w:val="231F20"/>
          <w:sz w:val="20"/>
        </w:rPr>
        <w:t>Period (by year)</w:t>
      </w:r>
    </w:p>
    <w:p>
      <w:pPr>
        <w:spacing w:line="249" w:lineRule="auto" w:before="99"/>
        <w:ind w:left="220" w:right="-1" w:firstLine="67"/>
        <w:jc w:val="left"/>
        <w:rPr>
          <w:b/>
          <w:sz w:val="20"/>
        </w:rPr>
      </w:pPr>
      <w:r>
        <w:rPr/>
        <w:br w:type="column"/>
      </w:r>
      <w:r>
        <w:rPr>
          <w:b/>
          <w:color w:val="231F20"/>
          <w:sz w:val="20"/>
        </w:rPr>
        <w:t>Fuel hedged as of December 31, 2014 (gallons in millions)</w:t>
      </w:r>
    </w:p>
    <w:p>
      <w:pPr>
        <w:pStyle w:val="BodyText"/>
        <w:spacing w:before="5"/>
        <w:rPr>
          <w:b/>
          <w:sz w:val="29"/>
        </w:rPr>
      </w:pPr>
      <w:r>
        <w:rPr/>
        <w:br w:type="column"/>
      </w:r>
      <w:r>
        <w:rPr>
          <w:b/>
          <w:sz w:val="29"/>
        </w:rPr>
      </w:r>
    </w:p>
    <w:p>
      <w:pPr>
        <w:spacing w:line="249" w:lineRule="auto" w:before="1"/>
        <w:ind w:left="1282" w:right="340" w:hanging="1063"/>
        <w:jc w:val="left"/>
        <w:rPr>
          <w:b/>
          <w:sz w:val="20"/>
        </w:rPr>
      </w:pPr>
      <w:r>
        <w:rPr>
          <w:b/>
          <w:color w:val="231F20"/>
          <w:sz w:val="20"/>
        </w:rPr>
        <w:t>Derivative underlying commodity type as of December 31, 2014</w:t>
      </w:r>
    </w:p>
    <w:p>
      <w:pPr>
        <w:spacing w:after="0" w:line="249" w:lineRule="auto"/>
        <w:jc w:val="left"/>
        <w:rPr>
          <w:sz w:val="20"/>
        </w:rPr>
        <w:sectPr>
          <w:type w:val="continuous"/>
          <w:pgSz w:w="11880" w:h="15480"/>
          <w:pgMar w:top="1260" w:bottom="280" w:left="1260" w:right="1260"/>
          <w:cols w:num="3" w:equalWidth="0">
            <w:col w:w="1610" w:space="871"/>
            <w:col w:w="1918" w:space="643"/>
            <w:col w:w="4318"/>
          </w:cols>
        </w:sectPr>
      </w:pPr>
    </w:p>
    <w:p>
      <w:pPr>
        <w:tabs>
          <w:tab w:pos="2410" w:val="left" w:leader="none"/>
          <w:tab w:pos="5044" w:val="left" w:leader="none"/>
        </w:tabs>
        <w:spacing w:line="20" w:lineRule="exact"/>
        <w:ind w:left="110" w:right="0" w:firstLine="0"/>
        <w:rPr>
          <w:sz w:val="2"/>
        </w:rPr>
      </w:pPr>
      <w:r>
        <w:rPr>
          <w:sz w:val="2"/>
        </w:rPr>
        <w:pict>
          <v:group style="width:75.5pt;height:1pt;mso-position-horizontal-relative:char;mso-position-vertical-relative:line" coordorigin="0,0" coordsize="1510,20">
            <v:line style="position:absolute" from="10,10" to="1500,10" stroked="true" strokeweight="1pt" strokecolor="#231f20">
              <v:stroke dashstyle="solid"/>
            </v:line>
          </v:group>
        </w:pict>
      </w:r>
      <w:r>
        <w:rPr>
          <w:sz w:val="2"/>
        </w:rPr>
      </w:r>
      <w:r>
        <w:rPr>
          <w:sz w:val="2"/>
        </w:rPr>
        <w:tab/>
      </w:r>
      <w:r>
        <w:rPr>
          <w:sz w:val="2"/>
        </w:rPr>
        <w:pict>
          <v:group style="width:110pt;height:1pt;mso-position-horizontal-relative:char;mso-position-vertical-relative:line" coordorigin="0,0" coordsize="2200,20">
            <v:line style="position:absolute" from="10,10" to="2190,10" stroked="true" strokeweight="1pt" strokecolor="#231f20">
              <v:stroke dashstyle="solid"/>
            </v:line>
          </v:group>
        </w:pict>
      </w:r>
      <w:r>
        <w:rPr>
          <w:sz w:val="2"/>
        </w:rPr>
      </w:r>
      <w:r>
        <w:rPr>
          <w:sz w:val="2"/>
        </w:rPr>
        <w:tab/>
      </w:r>
      <w:r>
        <w:rPr>
          <w:sz w:val="2"/>
        </w:rPr>
        <w:pict>
          <v:group style="width:209pt;height:1pt;mso-position-horizontal-relative:char;mso-position-vertical-relative:line" coordorigin="0,0" coordsize="4180,20">
            <v:line style="position:absolute" from="10,10" to="4170,10" stroked="true" strokeweight="1pt" strokecolor="#231f20">
              <v:stroke dashstyle="solid"/>
            </v:line>
          </v:group>
        </w:pict>
      </w:r>
      <w:r>
        <w:rPr>
          <w:sz w:val="2"/>
        </w:rPr>
      </w:r>
    </w:p>
    <w:p>
      <w:pPr>
        <w:tabs>
          <w:tab w:pos="4399" w:val="left" w:leader="none"/>
        </w:tabs>
        <w:spacing w:before="61"/>
        <w:ind w:left="220" w:right="0" w:firstLine="0"/>
        <w:jc w:val="left"/>
        <w:rPr>
          <w:sz w:val="20"/>
        </w:rPr>
      </w:pPr>
      <w:r>
        <w:rPr/>
        <w:pict>
          <v:rect style="position:absolute;margin-left:69pt;margin-top:15.385943pt;width:454.7pt;height:15pt;mso-position-horizontal-relative:page;mso-position-vertical-relative:paragraph;z-index:-405136" filled="true" fillcolor="#ccecfc" stroked="false">
            <v:fill type="solid"/>
            <w10:wrap type="none"/>
          </v:rect>
        </w:pict>
      </w:r>
      <w:r>
        <w:rPr>
          <w:color w:val="231F20"/>
          <w:sz w:val="20"/>
        </w:rPr>
        <w:t>2015</w:t>
        <w:tab/>
        <w:t>—  (b)</w:t>
      </w:r>
    </w:p>
    <w:p>
      <w:pPr>
        <w:tabs>
          <w:tab w:pos="4299" w:val="left" w:leader="none"/>
        </w:tabs>
        <w:spacing w:before="70"/>
        <w:ind w:left="220" w:right="0" w:firstLine="0"/>
        <w:jc w:val="left"/>
        <w:rPr>
          <w:sz w:val="20"/>
        </w:rPr>
      </w:pPr>
      <w:r>
        <w:rPr>
          <w:color w:val="231F20"/>
          <w:sz w:val="20"/>
        </w:rPr>
        <w:t>2016</w:t>
        <w:tab/>
        <w:t>885  (a)   Brent crude oil, Heating oil, and Gulf Coast jet</w:t>
      </w:r>
      <w:r>
        <w:rPr>
          <w:color w:val="231F20"/>
          <w:spacing w:val="1"/>
          <w:sz w:val="20"/>
        </w:rPr>
        <w:t> </w:t>
      </w:r>
      <w:r>
        <w:rPr>
          <w:color w:val="231F20"/>
          <w:sz w:val="20"/>
        </w:rPr>
        <w:t>fuel</w:t>
      </w:r>
    </w:p>
    <w:p>
      <w:pPr>
        <w:pStyle w:val="BodyText"/>
        <w:spacing w:before="7"/>
        <w:rPr>
          <w:sz w:val="6"/>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40"/>
        <w:gridCol w:w="2958"/>
        <w:gridCol w:w="3796"/>
      </w:tblGrid>
      <w:tr>
        <w:trPr>
          <w:trHeight w:val="240" w:hRule="exact"/>
        </w:trPr>
        <w:tc>
          <w:tcPr>
            <w:tcW w:w="2340" w:type="dxa"/>
          </w:tcPr>
          <w:p>
            <w:pPr>
              <w:pStyle w:val="TableParagraph"/>
              <w:spacing w:line="223" w:lineRule="exact" w:before="0"/>
              <w:ind w:left="99"/>
              <w:rPr>
                <w:sz w:val="20"/>
              </w:rPr>
            </w:pPr>
            <w:r>
              <w:rPr>
                <w:color w:val="231F20"/>
                <w:sz w:val="20"/>
              </w:rPr>
              <w:t>2017</w:t>
            </w:r>
          </w:p>
        </w:tc>
        <w:tc>
          <w:tcPr>
            <w:tcW w:w="2958" w:type="dxa"/>
          </w:tcPr>
          <w:p>
            <w:pPr>
              <w:pStyle w:val="TableParagraph"/>
              <w:spacing w:line="223" w:lineRule="exact" w:before="0"/>
              <w:ind w:right="488"/>
              <w:jc w:val="right"/>
              <w:rPr>
                <w:sz w:val="20"/>
              </w:rPr>
            </w:pPr>
            <w:r>
              <w:rPr>
                <w:color w:val="231F20"/>
                <w:sz w:val="20"/>
              </w:rPr>
              <w:t>757  (a)</w:t>
            </w:r>
          </w:p>
        </w:tc>
        <w:tc>
          <w:tcPr>
            <w:tcW w:w="3796" w:type="dxa"/>
          </w:tcPr>
          <w:p>
            <w:pPr>
              <w:pStyle w:val="TableParagraph"/>
              <w:spacing w:line="223" w:lineRule="exact" w:before="0"/>
              <w:ind w:left="484"/>
              <w:rPr>
                <w:sz w:val="20"/>
              </w:rPr>
            </w:pPr>
            <w:r>
              <w:rPr>
                <w:color w:val="231F20"/>
                <w:sz w:val="20"/>
              </w:rPr>
              <w:t>WTI crude and Brent crude oil</w:t>
            </w:r>
          </w:p>
        </w:tc>
      </w:tr>
      <w:tr>
        <w:trPr>
          <w:trHeight w:val="300" w:hRule="exact"/>
        </w:trPr>
        <w:tc>
          <w:tcPr>
            <w:tcW w:w="2340" w:type="dxa"/>
            <w:shd w:val="clear" w:color="auto" w:fill="CCECFC"/>
          </w:tcPr>
          <w:p>
            <w:pPr>
              <w:pStyle w:val="TableParagraph"/>
              <w:ind w:left="99"/>
              <w:rPr>
                <w:sz w:val="20"/>
              </w:rPr>
            </w:pPr>
            <w:r>
              <w:rPr>
                <w:color w:val="231F20"/>
                <w:sz w:val="20"/>
              </w:rPr>
              <w:t>2018</w:t>
            </w:r>
          </w:p>
        </w:tc>
        <w:tc>
          <w:tcPr>
            <w:tcW w:w="2958" w:type="dxa"/>
            <w:shd w:val="clear" w:color="auto" w:fill="CCECFC"/>
          </w:tcPr>
          <w:p>
            <w:pPr>
              <w:pStyle w:val="TableParagraph"/>
              <w:ind w:right="482"/>
              <w:jc w:val="right"/>
              <w:rPr>
                <w:sz w:val="20"/>
              </w:rPr>
            </w:pPr>
            <w:r>
              <w:rPr>
                <w:color w:val="231F20"/>
                <w:sz w:val="20"/>
              </w:rPr>
              <w:t>—  (b)</w:t>
            </w:r>
          </w:p>
        </w:tc>
        <w:tc>
          <w:tcPr>
            <w:tcW w:w="3796" w:type="dxa"/>
            <w:shd w:val="clear" w:color="auto" w:fill="CCECFC"/>
          </w:tcPr>
          <w:p>
            <w:pPr/>
          </w:p>
        </w:tc>
      </w:tr>
    </w:tbl>
    <w:p>
      <w:pPr>
        <w:pStyle w:val="BodyText"/>
        <w:spacing w:before="8"/>
        <w:rPr>
          <w:sz w:val="26"/>
        </w:rPr>
      </w:pPr>
    </w:p>
    <w:p>
      <w:pPr>
        <w:pStyle w:val="ListParagraph"/>
        <w:numPr>
          <w:ilvl w:val="0"/>
          <w:numId w:val="16"/>
        </w:numPr>
        <w:tabs>
          <w:tab w:pos="393" w:val="left" w:leader="none"/>
        </w:tabs>
        <w:spacing w:line="249" w:lineRule="auto" w:before="0" w:after="0"/>
        <w:ind w:left="120" w:right="234" w:firstLine="0"/>
        <w:jc w:val="left"/>
        <w:rPr>
          <w:sz w:val="20"/>
        </w:rPr>
      </w:pPr>
      <w:r>
        <w:rPr>
          <w:color w:val="231F20"/>
          <w:sz w:val="20"/>
        </w:rPr>
        <w:t>Due to the types of derivatives utilized by the Company and different price levels of those contracts, these volumes represent the maximum economic hedge in place and may vary significantly as market prices</w:t>
      </w:r>
      <w:r>
        <w:rPr>
          <w:color w:val="231F20"/>
          <w:spacing w:val="12"/>
          <w:sz w:val="20"/>
        </w:rPr>
        <w:t> </w:t>
      </w:r>
      <w:r>
        <w:rPr>
          <w:color w:val="231F20"/>
          <w:sz w:val="20"/>
        </w:rPr>
        <w:t>fluctuate.</w:t>
      </w:r>
    </w:p>
    <w:p>
      <w:pPr>
        <w:pStyle w:val="ListParagraph"/>
        <w:numPr>
          <w:ilvl w:val="0"/>
          <w:numId w:val="16"/>
        </w:numPr>
        <w:tabs>
          <w:tab w:pos="396" w:val="left" w:leader="none"/>
        </w:tabs>
        <w:spacing w:line="249" w:lineRule="auto" w:before="1" w:after="0"/>
        <w:ind w:left="120" w:right="150" w:firstLine="0"/>
        <w:jc w:val="left"/>
        <w:rPr>
          <w:sz w:val="20"/>
        </w:rPr>
      </w:pPr>
      <w:r>
        <w:rPr>
          <w:color w:val="231F20"/>
          <w:sz w:val="20"/>
        </w:rPr>
        <w:t>In</w:t>
      </w:r>
      <w:r>
        <w:rPr>
          <w:color w:val="231F20"/>
          <w:spacing w:val="-12"/>
          <w:sz w:val="20"/>
        </w:rPr>
        <w:t> </w:t>
      </w:r>
      <w:r>
        <w:rPr>
          <w:color w:val="231F20"/>
          <w:sz w:val="20"/>
        </w:rPr>
        <w:t>response</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precipitous</w:t>
      </w:r>
      <w:r>
        <w:rPr>
          <w:color w:val="231F20"/>
          <w:spacing w:val="-12"/>
          <w:sz w:val="20"/>
        </w:rPr>
        <w:t> </w:t>
      </w:r>
      <w:r>
        <w:rPr>
          <w:color w:val="231F20"/>
          <w:sz w:val="20"/>
        </w:rPr>
        <w:t>decline</w:t>
      </w:r>
      <w:r>
        <w:rPr>
          <w:color w:val="231F20"/>
          <w:spacing w:val="-12"/>
          <w:sz w:val="20"/>
        </w:rPr>
        <w:t> </w:t>
      </w:r>
      <w:r>
        <w:rPr>
          <w:color w:val="231F20"/>
          <w:sz w:val="20"/>
        </w:rPr>
        <w:t>in</w:t>
      </w:r>
      <w:r>
        <w:rPr>
          <w:color w:val="231F20"/>
          <w:spacing w:val="-12"/>
          <w:sz w:val="20"/>
        </w:rPr>
        <w:t> </w:t>
      </w:r>
      <w:r>
        <w:rPr>
          <w:color w:val="231F20"/>
          <w:sz w:val="20"/>
        </w:rPr>
        <w:t>oil</w:t>
      </w:r>
      <w:r>
        <w:rPr>
          <w:color w:val="231F20"/>
          <w:spacing w:val="-12"/>
          <w:sz w:val="20"/>
        </w:rPr>
        <w:t> </w:t>
      </w:r>
      <w:r>
        <w:rPr>
          <w:color w:val="231F20"/>
          <w:sz w:val="20"/>
        </w:rPr>
        <w:t>and</w:t>
      </w:r>
      <w:r>
        <w:rPr>
          <w:color w:val="231F20"/>
          <w:spacing w:val="-12"/>
          <w:sz w:val="20"/>
        </w:rPr>
        <w:t> </w:t>
      </w:r>
      <w:r>
        <w:rPr>
          <w:color w:val="231F20"/>
          <w:sz w:val="20"/>
        </w:rPr>
        <w:t>jet</w:t>
      </w:r>
      <w:r>
        <w:rPr>
          <w:color w:val="231F20"/>
          <w:spacing w:val="-12"/>
          <w:sz w:val="20"/>
        </w:rPr>
        <w:t> </w:t>
      </w:r>
      <w:r>
        <w:rPr>
          <w:color w:val="231F20"/>
          <w:sz w:val="20"/>
        </w:rPr>
        <w:t>fuel</w:t>
      </w:r>
      <w:r>
        <w:rPr>
          <w:color w:val="231F20"/>
          <w:spacing w:val="-12"/>
          <w:sz w:val="20"/>
        </w:rPr>
        <w:t> </w:t>
      </w:r>
      <w:r>
        <w:rPr>
          <w:color w:val="231F20"/>
          <w:sz w:val="20"/>
        </w:rPr>
        <w:t>prices</w:t>
      </w:r>
      <w:r>
        <w:rPr>
          <w:color w:val="231F20"/>
          <w:spacing w:val="-12"/>
          <w:sz w:val="20"/>
        </w:rPr>
        <w:t> </w:t>
      </w:r>
      <w:r>
        <w:rPr>
          <w:color w:val="231F20"/>
          <w:sz w:val="20"/>
        </w:rPr>
        <w:t>during</w:t>
      </w:r>
      <w:r>
        <w:rPr>
          <w:color w:val="231F20"/>
          <w:spacing w:val="-12"/>
          <w:sz w:val="20"/>
        </w:rPr>
        <w:t> </w:t>
      </w:r>
      <w:r>
        <w:rPr>
          <w:color w:val="231F20"/>
          <w:sz w:val="20"/>
        </w:rPr>
        <w:t>the</w:t>
      </w:r>
      <w:r>
        <w:rPr>
          <w:color w:val="231F20"/>
          <w:spacing w:val="-12"/>
          <w:sz w:val="20"/>
        </w:rPr>
        <w:t> </w:t>
      </w:r>
      <w:r>
        <w:rPr>
          <w:color w:val="231F20"/>
          <w:sz w:val="20"/>
        </w:rPr>
        <w:t>second</w:t>
      </w:r>
      <w:r>
        <w:rPr>
          <w:color w:val="231F20"/>
          <w:spacing w:val="-12"/>
          <w:sz w:val="20"/>
        </w:rPr>
        <w:t> </w:t>
      </w:r>
      <w:r>
        <w:rPr>
          <w:color w:val="231F20"/>
          <w:sz w:val="20"/>
        </w:rPr>
        <w:t>half</w:t>
      </w:r>
      <w:r>
        <w:rPr>
          <w:color w:val="231F20"/>
          <w:spacing w:val="-12"/>
          <w:sz w:val="20"/>
        </w:rPr>
        <w:t> </w:t>
      </w:r>
      <w:r>
        <w:rPr>
          <w:color w:val="231F20"/>
          <w:sz w:val="20"/>
        </w:rPr>
        <w:t>of</w:t>
      </w:r>
      <w:r>
        <w:rPr>
          <w:color w:val="231F20"/>
          <w:spacing w:val="-12"/>
          <w:sz w:val="20"/>
        </w:rPr>
        <w:t> </w:t>
      </w:r>
      <w:r>
        <w:rPr>
          <w:color w:val="231F20"/>
          <w:sz w:val="20"/>
        </w:rPr>
        <w:t>2014,</w:t>
      </w:r>
      <w:r>
        <w:rPr>
          <w:color w:val="231F20"/>
          <w:spacing w:val="-12"/>
          <w:sz w:val="20"/>
        </w:rPr>
        <w:t> </w:t>
      </w:r>
      <w:r>
        <w:rPr>
          <w:color w:val="231F20"/>
          <w:sz w:val="20"/>
        </w:rPr>
        <w:t>the</w:t>
      </w:r>
      <w:r>
        <w:rPr>
          <w:color w:val="231F20"/>
          <w:spacing w:val="-12"/>
          <w:sz w:val="20"/>
        </w:rPr>
        <w:t> </w:t>
      </w:r>
      <w:r>
        <w:rPr>
          <w:color w:val="231F20"/>
          <w:sz w:val="20"/>
        </w:rPr>
        <w:t>Company</w:t>
      </w:r>
      <w:r>
        <w:rPr>
          <w:color w:val="231F20"/>
          <w:spacing w:val="-12"/>
          <w:sz w:val="20"/>
        </w:rPr>
        <w:t> </w:t>
      </w:r>
      <w:r>
        <w:rPr>
          <w:color w:val="231F20"/>
          <w:sz w:val="20"/>
        </w:rPr>
        <w:t>took action</w:t>
      </w:r>
      <w:r>
        <w:rPr>
          <w:color w:val="231F20"/>
          <w:spacing w:val="-12"/>
          <w:sz w:val="20"/>
        </w:rPr>
        <w:t> </w:t>
      </w:r>
      <w:r>
        <w:rPr>
          <w:color w:val="231F20"/>
          <w:sz w:val="20"/>
        </w:rPr>
        <w:t>to</w:t>
      </w:r>
      <w:r>
        <w:rPr>
          <w:color w:val="231F20"/>
          <w:spacing w:val="-12"/>
          <w:sz w:val="20"/>
        </w:rPr>
        <w:t> </w:t>
      </w:r>
      <w:r>
        <w:rPr>
          <w:color w:val="231F20"/>
          <w:sz w:val="20"/>
        </w:rPr>
        <w:t>offset</w:t>
      </w:r>
      <w:r>
        <w:rPr>
          <w:color w:val="231F20"/>
          <w:spacing w:val="-12"/>
          <w:sz w:val="20"/>
        </w:rPr>
        <w:t> </w:t>
      </w:r>
      <w:r>
        <w:rPr>
          <w:color w:val="231F20"/>
          <w:sz w:val="20"/>
        </w:rPr>
        <w:t>its</w:t>
      </w:r>
      <w:r>
        <w:rPr>
          <w:color w:val="231F20"/>
          <w:spacing w:val="-12"/>
          <w:sz w:val="20"/>
        </w:rPr>
        <w:t> </w:t>
      </w:r>
      <w:r>
        <w:rPr>
          <w:color w:val="231F20"/>
          <w:sz w:val="20"/>
        </w:rPr>
        <w:t>2015</w:t>
      </w:r>
      <w:r>
        <w:rPr>
          <w:color w:val="231F20"/>
          <w:spacing w:val="-12"/>
          <w:sz w:val="20"/>
        </w:rPr>
        <w:t> </w:t>
      </w:r>
      <w:r>
        <w:rPr>
          <w:color w:val="231F20"/>
          <w:sz w:val="20"/>
        </w:rPr>
        <w:t>and</w:t>
      </w:r>
      <w:r>
        <w:rPr>
          <w:color w:val="231F20"/>
          <w:spacing w:val="-12"/>
          <w:sz w:val="20"/>
        </w:rPr>
        <w:t> </w:t>
      </w:r>
      <w:r>
        <w:rPr>
          <w:color w:val="231F20"/>
          <w:sz w:val="20"/>
        </w:rPr>
        <w:t>2018</w:t>
      </w:r>
      <w:r>
        <w:rPr>
          <w:color w:val="231F20"/>
          <w:spacing w:val="-12"/>
          <w:sz w:val="20"/>
        </w:rPr>
        <w:t> </w:t>
      </w:r>
      <w:r>
        <w:rPr>
          <w:color w:val="231F20"/>
          <w:sz w:val="20"/>
        </w:rPr>
        <w:t>fuel</w:t>
      </w:r>
      <w:r>
        <w:rPr>
          <w:color w:val="231F20"/>
          <w:spacing w:val="-12"/>
          <w:sz w:val="20"/>
        </w:rPr>
        <w:t> </w:t>
      </w:r>
      <w:r>
        <w:rPr>
          <w:color w:val="231F20"/>
          <w:sz w:val="20"/>
        </w:rPr>
        <w:t>derivative</w:t>
      </w:r>
      <w:r>
        <w:rPr>
          <w:color w:val="231F20"/>
          <w:spacing w:val="-12"/>
          <w:sz w:val="20"/>
        </w:rPr>
        <w:t> </w:t>
      </w:r>
      <w:r>
        <w:rPr>
          <w:color w:val="231F20"/>
          <w:sz w:val="20"/>
        </w:rPr>
        <w:t>portfolios</w:t>
      </w:r>
      <w:r>
        <w:rPr>
          <w:color w:val="231F20"/>
          <w:spacing w:val="-12"/>
          <w:sz w:val="20"/>
        </w:rPr>
        <w:t> </w:t>
      </w:r>
      <w:r>
        <w:rPr>
          <w:color w:val="231F20"/>
          <w:sz w:val="20"/>
        </w:rPr>
        <w:t>and</w:t>
      </w:r>
      <w:r>
        <w:rPr>
          <w:color w:val="231F20"/>
          <w:spacing w:val="-12"/>
          <w:sz w:val="20"/>
        </w:rPr>
        <w:t> </w:t>
      </w:r>
      <w:r>
        <w:rPr>
          <w:color w:val="231F20"/>
          <w:sz w:val="20"/>
        </w:rPr>
        <w:t>is</w:t>
      </w:r>
      <w:r>
        <w:rPr>
          <w:color w:val="231F20"/>
          <w:spacing w:val="-12"/>
          <w:sz w:val="20"/>
        </w:rPr>
        <w:t> </w:t>
      </w:r>
      <w:r>
        <w:rPr>
          <w:color w:val="231F20"/>
          <w:sz w:val="20"/>
        </w:rPr>
        <w:t>now</w:t>
      </w:r>
      <w:r>
        <w:rPr>
          <w:color w:val="231F20"/>
          <w:spacing w:val="-13"/>
          <w:sz w:val="20"/>
        </w:rPr>
        <w:t> </w:t>
      </w:r>
      <w:r>
        <w:rPr>
          <w:color w:val="231F20"/>
          <w:sz w:val="20"/>
        </w:rPr>
        <w:t>effectively</w:t>
      </w:r>
      <w:r>
        <w:rPr>
          <w:color w:val="231F20"/>
          <w:spacing w:val="-12"/>
          <w:sz w:val="20"/>
        </w:rPr>
        <w:t> </w:t>
      </w:r>
      <w:r>
        <w:rPr>
          <w:color w:val="231F20"/>
          <w:sz w:val="20"/>
        </w:rPr>
        <w:t>unhedged</w:t>
      </w:r>
      <w:r>
        <w:rPr>
          <w:color w:val="231F20"/>
          <w:spacing w:val="-12"/>
          <w:sz w:val="20"/>
        </w:rPr>
        <w:t> </w:t>
      </w:r>
      <w:r>
        <w:rPr>
          <w:color w:val="231F20"/>
          <w:sz w:val="20"/>
        </w:rPr>
        <w:t>at</w:t>
      </w:r>
      <w:r>
        <w:rPr>
          <w:color w:val="231F20"/>
          <w:spacing w:val="-12"/>
          <w:sz w:val="20"/>
        </w:rPr>
        <w:t> </w:t>
      </w:r>
      <w:r>
        <w:rPr>
          <w:color w:val="231F20"/>
          <w:sz w:val="20"/>
        </w:rPr>
        <w:t>current</w:t>
      </w:r>
      <w:r>
        <w:rPr>
          <w:color w:val="231F20"/>
          <w:spacing w:val="-12"/>
          <w:sz w:val="20"/>
        </w:rPr>
        <w:t> </w:t>
      </w:r>
      <w:r>
        <w:rPr>
          <w:color w:val="231F20"/>
          <w:sz w:val="20"/>
        </w:rPr>
        <w:t>price</w:t>
      </w:r>
      <w:r>
        <w:rPr>
          <w:color w:val="231F20"/>
          <w:spacing w:val="-12"/>
          <w:sz w:val="20"/>
        </w:rPr>
        <w:t> </w:t>
      </w:r>
      <w:r>
        <w:rPr>
          <w:color w:val="231F20"/>
          <w:sz w:val="20"/>
        </w:rPr>
        <w:t>levels. While</w:t>
      </w:r>
      <w:r>
        <w:rPr>
          <w:color w:val="231F20"/>
          <w:spacing w:val="-12"/>
          <w:sz w:val="20"/>
        </w:rPr>
        <w:t> </w:t>
      </w:r>
      <w:r>
        <w:rPr>
          <w:color w:val="231F20"/>
          <w:sz w:val="20"/>
        </w:rPr>
        <w:t>the</w:t>
      </w:r>
      <w:r>
        <w:rPr>
          <w:color w:val="231F20"/>
          <w:spacing w:val="-12"/>
          <w:sz w:val="20"/>
        </w:rPr>
        <w:t> </w:t>
      </w:r>
      <w:r>
        <w:rPr>
          <w:color w:val="231F20"/>
          <w:sz w:val="20"/>
        </w:rPr>
        <w:t>Company</w:t>
      </w:r>
      <w:r>
        <w:rPr>
          <w:color w:val="231F20"/>
          <w:spacing w:val="-12"/>
          <w:sz w:val="20"/>
        </w:rPr>
        <w:t> </w:t>
      </w:r>
      <w:r>
        <w:rPr>
          <w:color w:val="231F20"/>
          <w:sz w:val="20"/>
        </w:rPr>
        <w:t>still</w:t>
      </w:r>
      <w:r>
        <w:rPr>
          <w:color w:val="231F20"/>
          <w:spacing w:val="-12"/>
          <w:sz w:val="20"/>
        </w:rPr>
        <w:t> </w:t>
      </w:r>
      <w:r>
        <w:rPr>
          <w:color w:val="231F20"/>
          <w:sz w:val="20"/>
        </w:rPr>
        <w:t>holds</w:t>
      </w:r>
      <w:r>
        <w:rPr>
          <w:color w:val="231F20"/>
          <w:spacing w:val="-12"/>
          <w:sz w:val="20"/>
        </w:rPr>
        <w:t> </w:t>
      </w:r>
      <w:r>
        <w:rPr>
          <w:color w:val="231F20"/>
          <w:sz w:val="20"/>
        </w:rPr>
        <w:t>derivative</w:t>
      </w:r>
      <w:r>
        <w:rPr>
          <w:color w:val="231F20"/>
          <w:spacing w:val="-12"/>
          <w:sz w:val="20"/>
        </w:rPr>
        <w:t> </w:t>
      </w:r>
      <w:r>
        <w:rPr>
          <w:color w:val="231F20"/>
          <w:sz w:val="20"/>
        </w:rPr>
        <w:t>contracts</w:t>
      </w:r>
      <w:r>
        <w:rPr>
          <w:color w:val="231F20"/>
          <w:spacing w:val="-12"/>
          <w:sz w:val="20"/>
        </w:rPr>
        <w:t> </w:t>
      </w:r>
      <w:r>
        <w:rPr>
          <w:color w:val="231F20"/>
          <w:sz w:val="20"/>
        </w:rPr>
        <w:t>as</w:t>
      </w:r>
      <w:r>
        <w:rPr>
          <w:color w:val="231F20"/>
          <w:spacing w:val="-12"/>
          <w:sz w:val="20"/>
        </w:rPr>
        <w:t> </w:t>
      </w:r>
      <w:r>
        <w:rPr>
          <w:color w:val="231F20"/>
          <w:sz w:val="20"/>
        </w:rPr>
        <w:t>of</w:t>
      </w:r>
      <w:r>
        <w:rPr>
          <w:color w:val="231F20"/>
          <w:spacing w:val="-12"/>
          <w:sz w:val="20"/>
        </w:rPr>
        <w:t> </w:t>
      </w:r>
      <w:r>
        <w:rPr>
          <w:color w:val="231F20"/>
          <w:sz w:val="20"/>
        </w:rPr>
        <w:t>December</w:t>
      </w:r>
      <w:r>
        <w:rPr>
          <w:color w:val="231F20"/>
          <w:spacing w:val="-12"/>
          <w:sz w:val="20"/>
        </w:rPr>
        <w:t> </w:t>
      </w:r>
      <w:r>
        <w:rPr>
          <w:color w:val="231F20"/>
          <w:sz w:val="20"/>
        </w:rPr>
        <w:t>31,</w:t>
      </w:r>
      <w:r>
        <w:rPr>
          <w:color w:val="231F20"/>
          <w:spacing w:val="-12"/>
          <w:sz w:val="20"/>
        </w:rPr>
        <w:t> </w:t>
      </w:r>
      <w:r>
        <w:rPr>
          <w:color w:val="231F20"/>
          <w:sz w:val="20"/>
        </w:rPr>
        <w:t>2014,</w:t>
      </w:r>
      <w:r>
        <w:rPr>
          <w:color w:val="231F20"/>
          <w:spacing w:val="-12"/>
          <w:sz w:val="20"/>
        </w:rPr>
        <w:t> </w:t>
      </w:r>
      <w:r>
        <w:rPr>
          <w:color w:val="231F20"/>
          <w:sz w:val="20"/>
        </w:rPr>
        <w:t>that</w:t>
      </w:r>
      <w:r>
        <w:rPr>
          <w:color w:val="231F20"/>
          <w:spacing w:val="-12"/>
          <w:sz w:val="20"/>
        </w:rPr>
        <w:t> </w:t>
      </w:r>
      <w:r>
        <w:rPr>
          <w:color w:val="231F20"/>
          <w:sz w:val="20"/>
        </w:rPr>
        <w:t>will</w:t>
      </w:r>
      <w:r>
        <w:rPr>
          <w:color w:val="231F20"/>
          <w:spacing w:val="-12"/>
          <w:sz w:val="20"/>
        </w:rPr>
        <w:t> </w:t>
      </w:r>
      <w:r>
        <w:rPr>
          <w:color w:val="231F20"/>
          <w:sz w:val="20"/>
        </w:rPr>
        <w:t>settle</w:t>
      </w:r>
      <w:r>
        <w:rPr>
          <w:color w:val="231F20"/>
          <w:spacing w:val="-12"/>
          <w:sz w:val="20"/>
        </w:rPr>
        <w:t> </w:t>
      </w:r>
      <w:r>
        <w:rPr>
          <w:color w:val="231F20"/>
          <w:sz w:val="20"/>
        </w:rPr>
        <w:t>during</w:t>
      </w:r>
      <w:r>
        <w:rPr>
          <w:color w:val="231F20"/>
          <w:spacing w:val="-12"/>
          <w:sz w:val="20"/>
        </w:rPr>
        <w:t> </w:t>
      </w:r>
      <w:r>
        <w:rPr>
          <w:color w:val="231F20"/>
          <w:sz w:val="20"/>
        </w:rPr>
        <w:t>2015</w:t>
      </w:r>
      <w:r>
        <w:rPr>
          <w:color w:val="231F20"/>
          <w:spacing w:val="-12"/>
          <w:sz w:val="20"/>
        </w:rPr>
        <w:t> </w:t>
      </w:r>
      <w:r>
        <w:rPr>
          <w:color w:val="231F20"/>
          <w:sz w:val="20"/>
        </w:rPr>
        <w:t>and</w:t>
      </w:r>
      <w:r>
        <w:rPr>
          <w:color w:val="231F20"/>
          <w:spacing w:val="-12"/>
          <w:sz w:val="20"/>
        </w:rPr>
        <w:t> </w:t>
      </w:r>
      <w:r>
        <w:rPr>
          <w:color w:val="231F20"/>
          <w:sz w:val="20"/>
        </w:rPr>
        <w:t>2018, the</w:t>
      </w:r>
      <w:r>
        <w:rPr>
          <w:color w:val="231F20"/>
          <w:spacing w:val="-14"/>
          <w:sz w:val="20"/>
        </w:rPr>
        <w:t> </w:t>
      </w:r>
      <w:r>
        <w:rPr>
          <w:color w:val="231F20"/>
          <w:sz w:val="20"/>
        </w:rPr>
        <w:t>majority</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losses</w:t>
      </w:r>
      <w:r>
        <w:rPr>
          <w:color w:val="231F20"/>
          <w:spacing w:val="-14"/>
          <w:sz w:val="20"/>
        </w:rPr>
        <w:t> </w:t>
      </w:r>
      <w:r>
        <w:rPr>
          <w:color w:val="231F20"/>
          <w:sz w:val="20"/>
        </w:rPr>
        <w:t>associated</w:t>
      </w:r>
      <w:r>
        <w:rPr>
          <w:color w:val="231F20"/>
          <w:spacing w:val="-14"/>
          <w:sz w:val="20"/>
        </w:rPr>
        <w:t> </w:t>
      </w:r>
      <w:r>
        <w:rPr>
          <w:color w:val="231F20"/>
          <w:sz w:val="20"/>
        </w:rPr>
        <w:t>with</w:t>
      </w:r>
      <w:r>
        <w:rPr>
          <w:color w:val="231F20"/>
          <w:spacing w:val="-14"/>
          <w:sz w:val="20"/>
        </w:rPr>
        <w:t> </w:t>
      </w:r>
      <w:r>
        <w:rPr>
          <w:color w:val="231F20"/>
          <w:sz w:val="20"/>
        </w:rPr>
        <w:t>those</w:t>
      </w:r>
      <w:r>
        <w:rPr>
          <w:color w:val="231F20"/>
          <w:spacing w:val="-14"/>
          <w:sz w:val="20"/>
        </w:rPr>
        <w:t> </w:t>
      </w:r>
      <w:r>
        <w:rPr>
          <w:color w:val="231F20"/>
          <w:sz w:val="20"/>
        </w:rPr>
        <w:t>contracts</w:t>
      </w:r>
      <w:r>
        <w:rPr>
          <w:color w:val="231F20"/>
          <w:spacing w:val="-14"/>
          <w:sz w:val="20"/>
        </w:rPr>
        <w:t> </w:t>
      </w:r>
      <w:r>
        <w:rPr>
          <w:color w:val="231F20"/>
          <w:sz w:val="20"/>
        </w:rPr>
        <w:t>are</w:t>
      </w:r>
      <w:r>
        <w:rPr>
          <w:color w:val="231F20"/>
          <w:spacing w:val="-14"/>
          <w:sz w:val="20"/>
        </w:rPr>
        <w:t> </w:t>
      </w:r>
      <w:r>
        <w:rPr>
          <w:color w:val="231F20"/>
          <w:sz w:val="20"/>
        </w:rPr>
        <w:t>substantially</w:t>
      </w:r>
      <w:r>
        <w:rPr>
          <w:color w:val="231F20"/>
          <w:spacing w:val="-14"/>
          <w:sz w:val="20"/>
        </w:rPr>
        <w:t> </w:t>
      </w:r>
      <w:r>
        <w:rPr>
          <w:color w:val="231F20"/>
          <w:sz w:val="20"/>
        </w:rPr>
        <w:t>locked</w:t>
      </w:r>
      <w:r>
        <w:rPr>
          <w:color w:val="231F20"/>
          <w:spacing w:val="-14"/>
          <w:sz w:val="20"/>
        </w:rPr>
        <w:t> </w:t>
      </w:r>
      <w:r>
        <w:rPr>
          <w:color w:val="231F20"/>
          <w:sz w:val="20"/>
        </w:rPr>
        <w:t>in.</w:t>
      </w:r>
      <w:r>
        <w:rPr>
          <w:color w:val="231F20"/>
          <w:spacing w:val="-14"/>
          <w:sz w:val="20"/>
        </w:rPr>
        <w:t> </w:t>
      </w:r>
      <w:r>
        <w:rPr>
          <w:color w:val="231F20"/>
          <w:sz w:val="20"/>
        </w:rPr>
        <w:t>However,</w:t>
      </w:r>
      <w:r>
        <w:rPr>
          <w:color w:val="231F20"/>
          <w:spacing w:val="-14"/>
          <w:sz w:val="20"/>
        </w:rPr>
        <w:t> </w:t>
      </w:r>
      <w:r>
        <w:rPr>
          <w:color w:val="231F20"/>
          <w:sz w:val="20"/>
        </w:rPr>
        <w:t>if</w:t>
      </w:r>
      <w:r>
        <w:rPr>
          <w:color w:val="231F20"/>
          <w:spacing w:val="-14"/>
          <w:sz w:val="20"/>
        </w:rPr>
        <w:t> </w:t>
      </w:r>
      <w:r>
        <w:rPr>
          <w:color w:val="231F20"/>
          <w:sz w:val="20"/>
        </w:rPr>
        <w:t>market</w:t>
      </w:r>
      <w:r>
        <w:rPr>
          <w:color w:val="231F20"/>
          <w:spacing w:val="-14"/>
          <w:sz w:val="20"/>
        </w:rPr>
        <w:t> </w:t>
      </w:r>
      <w:r>
        <w:rPr>
          <w:color w:val="231F20"/>
          <w:sz w:val="20"/>
        </w:rPr>
        <w:t>prices</w:t>
      </w:r>
      <w:r>
        <w:rPr>
          <w:color w:val="231F20"/>
          <w:spacing w:val="-14"/>
          <w:sz w:val="20"/>
        </w:rPr>
        <w:t> </w:t>
      </w:r>
      <w:r>
        <w:rPr>
          <w:color w:val="231F20"/>
          <w:sz w:val="20"/>
        </w:rPr>
        <w:t>were to</w:t>
      </w:r>
      <w:r>
        <w:rPr>
          <w:color w:val="231F20"/>
          <w:spacing w:val="-14"/>
          <w:sz w:val="20"/>
        </w:rPr>
        <w:t> </w:t>
      </w:r>
      <w:r>
        <w:rPr>
          <w:color w:val="231F20"/>
          <w:sz w:val="20"/>
        </w:rPr>
        <w:t>increase</w:t>
      </w:r>
      <w:r>
        <w:rPr>
          <w:color w:val="231F20"/>
          <w:spacing w:val="-14"/>
          <w:sz w:val="20"/>
        </w:rPr>
        <w:t> </w:t>
      </w:r>
      <w:r>
        <w:rPr>
          <w:color w:val="231F20"/>
          <w:sz w:val="20"/>
        </w:rPr>
        <w:t>or</w:t>
      </w:r>
      <w:r>
        <w:rPr>
          <w:color w:val="231F20"/>
          <w:spacing w:val="-14"/>
          <w:sz w:val="20"/>
        </w:rPr>
        <w:t> </w:t>
      </w:r>
      <w:r>
        <w:rPr>
          <w:color w:val="231F20"/>
          <w:sz w:val="20"/>
        </w:rPr>
        <w:t>decrease</w:t>
      </w:r>
      <w:r>
        <w:rPr>
          <w:color w:val="231F20"/>
          <w:spacing w:val="-14"/>
          <w:sz w:val="20"/>
        </w:rPr>
        <w:t> </w:t>
      </w:r>
      <w:r>
        <w:rPr>
          <w:color w:val="231F20"/>
          <w:sz w:val="20"/>
        </w:rPr>
        <w:t>significantly</w:t>
      </w:r>
      <w:r>
        <w:rPr>
          <w:color w:val="231F20"/>
          <w:spacing w:val="-14"/>
          <w:sz w:val="20"/>
        </w:rPr>
        <w:t> </w:t>
      </w:r>
      <w:r>
        <w:rPr>
          <w:color w:val="231F20"/>
          <w:sz w:val="20"/>
        </w:rPr>
        <w:t>related</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2015</w:t>
      </w:r>
      <w:r>
        <w:rPr>
          <w:color w:val="231F20"/>
          <w:spacing w:val="-14"/>
          <w:sz w:val="20"/>
        </w:rPr>
        <w:t> </w:t>
      </w:r>
      <w:r>
        <w:rPr>
          <w:color w:val="231F20"/>
          <w:sz w:val="20"/>
        </w:rPr>
        <w:t>positions</w:t>
      </w:r>
      <w:r>
        <w:rPr>
          <w:color w:val="231F20"/>
          <w:spacing w:val="-14"/>
          <w:sz w:val="20"/>
        </w:rPr>
        <w:t> </w:t>
      </w:r>
      <w:r>
        <w:rPr>
          <w:color w:val="231F20"/>
          <w:sz w:val="20"/>
        </w:rPr>
        <w:t>prior</w:t>
      </w:r>
      <w:r>
        <w:rPr>
          <w:color w:val="231F20"/>
          <w:spacing w:val="-14"/>
          <w:sz w:val="20"/>
        </w:rPr>
        <w:t> </w:t>
      </w:r>
      <w:r>
        <w:rPr>
          <w:color w:val="231F20"/>
          <w:sz w:val="20"/>
        </w:rPr>
        <w:t>to</w:t>
      </w:r>
      <w:r>
        <w:rPr>
          <w:color w:val="231F20"/>
          <w:spacing w:val="-14"/>
          <w:sz w:val="20"/>
        </w:rPr>
        <w:t> </w:t>
      </w:r>
      <w:r>
        <w:rPr>
          <w:color w:val="231F20"/>
          <w:sz w:val="20"/>
        </w:rPr>
        <w:t>these</w:t>
      </w:r>
      <w:r>
        <w:rPr>
          <w:color w:val="231F20"/>
          <w:spacing w:val="-14"/>
          <w:sz w:val="20"/>
        </w:rPr>
        <w:t> </w:t>
      </w:r>
      <w:r>
        <w:rPr>
          <w:color w:val="231F20"/>
          <w:sz w:val="20"/>
        </w:rPr>
        <w:t>contracts</w:t>
      </w:r>
      <w:r>
        <w:rPr>
          <w:color w:val="231F20"/>
          <w:spacing w:val="-14"/>
          <w:sz w:val="20"/>
        </w:rPr>
        <w:t> </w:t>
      </w:r>
      <w:r>
        <w:rPr>
          <w:color w:val="231F20"/>
          <w:sz w:val="20"/>
        </w:rPr>
        <w:t>settling,</w:t>
      </w:r>
      <w:r>
        <w:rPr>
          <w:color w:val="231F20"/>
          <w:spacing w:val="-14"/>
          <w:sz w:val="20"/>
        </w:rPr>
        <w:t> </w:t>
      </w:r>
      <w:r>
        <w:rPr>
          <w:color w:val="231F20"/>
          <w:sz w:val="20"/>
        </w:rPr>
        <w:t>the</w:t>
      </w:r>
      <w:r>
        <w:rPr>
          <w:color w:val="231F20"/>
          <w:spacing w:val="-14"/>
          <w:sz w:val="20"/>
        </w:rPr>
        <w:t> </w:t>
      </w:r>
      <w:r>
        <w:rPr>
          <w:color w:val="231F20"/>
          <w:sz w:val="20"/>
        </w:rPr>
        <w:t>losses</w:t>
      </w:r>
      <w:r>
        <w:rPr>
          <w:color w:val="231F20"/>
          <w:spacing w:val="-14"/>
          <w:sz w:val="20"/>
        </w:rPr>
        <w:t> </w:t>
      </w:r>
      <w:r>
        <w:rPr>
          <w:color w:val="231F20"/>
          <w:sz w:val="20"/>
        </w:rPr>
        <w:t>incurred at</w:t>
      </w:r>
      <w:r>
        <w:rPr>
          <w:color w:val="231F20"/>
          <w:spacing w:val="-14"/>
          <w:sz w:val="20"/>
        </w:rPr>
        <w:t> </w:t>
      </w:r>
      <w:r>
        <w:rPr>
          <w:color w:val="231F20"/>
          <w:sz w:val="20"/>
        </w:rPr>
        <w:t>settlement</w:t>
      </w:r>
      <w:r>
        <w:rPr>
          <w:color w:val="231F20"/>
          <w:spacing w:val="-14"/>
          <w:sz w:val="20"/>
        </w:rPr>
        <w:t> </w:t>
      </w:r>
      <w:r>
        <w:rPr>
          <w:color w:val="231F20"/>
          <w:sz w:val="20"/>
        </w:rPr>
        <w:t>could</w:t>
      </w:r>
      <w:r>
        <w:rPr>
          <w:color w:val="231F20"/>
          <w:spacing w:val="-14"/>
          <w:sz w:val="20"/>
        </w:rPr>
        <w:t> </w:t>
      </w:r>
      <w:r>
        <w:rPr>
          <w:color w:val="231F20"/>
          <w:sz w:val="20"/>
        </w:rPr>
        <w:t>be</w:t>
      </w:r>
      <w:r>
        <w:rPr>
          <w:color w:val="231F20"/>
          <w:spacing w:val="-14"/>
          <w:sz w:val="20"/>
        </w:rPr>
        <w:t> </w:t>
      </w:r>
      <w:r>
        <w:rPr>
          <w:color w:val="231F20"/>
          <w:sz w:val="20"/>
        </w:rPr>
        <w:t>slightly</w:t>
      </w:r>
      <w:r>
        <w:rPr>
          <w:color w:val="231F20"/>
          <w:spacing w:val="-14"/>
          <w:sz w:val="20"/>
        </w:rPr>
        <w:t> </w:t>
      </w:r>
      <w:r>
        <w:rPr>
          <w:color w:val="231F20"/>
          <w:sz w:val="20"/>
        </w:rPr>
        <w:t>lower</w:t>
      </w:r>
      <w:r>
        <w:rPr>
          <w:color w:val="231F20"/>
          <w:spacing w:val="-14"/>
          <w:sz w:val="20"/>
        </w:rPr>
        <w:t> </w:t>
      </w:r>
      <w:r>
        <w:rPr>
          <w:color w:val="231F20"/>
          <w:sz w:val="20"/>
        </w:rPr>
        <w:t>or</w:t>
      </w:r>
      <w:r>
        <w:rPr>
          <w:color w:val="231F20"/>
          <w:spacing w:val="-14"/>
          <w:sz w:val="20"/>
        </w:rPr>
        <w:t> </w:t>
      </w:r>
      <w:r>
        <w:rPr>
          <w:color w:val="231F20"/>
          <w:sz w:val="20"/>
        </w:rPr>
        <w:t>higher</w:t>
      </w:r>
      <w:r>
        <w:rPr>
          <w:color w:val="231F20"/>
          <w:spacing w:val="-14"/>
          <w:sz w:val="20"/>
        </w:rPr>
        <w:t> </w:t>
      </w:r>
      <w:r>
        <w:rPr>
          <w:color w:val="231F20"/>
          <w:sz w:val="20"/>
        </w:rPr>
        <w:t>than</w:t>
      </w:r>
      <w:r>
        <w:rPr>
          <w:color w:val="231F20"/>
          <w:spacing w:val="-14"/>
          <w:sz w:val="20"/>
        </w:rPr>
        <w:t> </w:t>
      </w:r>
      <w:r>
        <w:rPr>
          <w:color w:val="231F20"/>
          <w:sz w:val="20"/>
        </w:rPr>
        <w:t>currently</w:t>
      </w:r>
      <w:r>
        <w:rPr>
          <w:color w:val="231F20"/>
          <w:spacing w:val="-14"/>
          <w:sz w:val="20"/>
        </w:rPr>
        <w:t> </w:t>
      </w:r>
      <w:r>
        <w:rPr>
          <w:color w:val="231F20"/>
          <w:sz w:val="20"/>
        </w:rPr>
        <w:t>expected</w:t>
      </w:r>
      <w:r>
        <w:rPr>
          <w:color w:val="231F20"/>
          <w:spacing w:val="-14"/>
          <w:sz w:val="20"/>
        </w:rPr>
        <w:t> </w:t>
      </w:r>
      <w:r>
        <w:rPr>
          <w:color w:val="231F20"/>
          <w:sz w:val="20"/>
        </w:rPr>
        <w:t>amounts</w:t>
      </w:r>
      <w:r>
        <w:rPr>
          <w:color w:val="231F20"/>
          <w:spacing w:val="-14"/>
          <w:sz w:val="20"/>
        </w:rPr>
        <w:t> </w:t>
      </w:r>
      <w:r>
        <w:rPr>
          <w:color w:val="231F20"/>
          <w:sz w:val="20"/>
        </w:rPr>
        <w:t>during</w:t>
      </w:r>
      <w:r>
        <w:rPr>
          <w:color w:val="231F20"/>
          <w:spacing w:val="-14"/>
          <w:sz w:val="20"/>
        </w:rPr>
        <w:t> </w:t>
      </w:r>
      <w:r>
        <w:rPr>
          <w:color w:val="231F20"/>
          <w:sz w:val="20"/>
        </w:rPr>
        <w:t>that</w:t>
      </w:r>
      <w:r>
        <w:rPr>
          <w:color w:val="231F20"/>
          <w:spacing w:val="-14"/>
          <w:sz w:val="20"/>
        </w:rPr>
        <w:t> </w:t>
      </w:r>
      <w:r>
        <w:rPr>
          <w:color w:val="231F20"/>
          <w:sz w:val="20"/>
        </w:rPr>
        <w:t>period.</w:t>
      </w:r>
    </w:p>
    <w:p>
      <w:pPr>
        <w:pStyle w:val="BodyText"/>
        <w:spacing w:before="2"/>
      </w:pPr>
    </w:p>
    <w:p>
      <w:pPr>
        <w:pStyle w:val="BodyText"/>
        <w:spacing w:line="247" w:lineRule="auto"/>
        <w:ind w:left="120" w:right="117" w:firstLine="720"/>
        <w:jc w:val="both"/>
      </w:pPr>
      <w:r>
        <w:rPr>
          <w:color w:val="231F20"/>
        </w:rPr>
        <w:t>Upon proper qualification, the Company accounts for its fuel derivative instruments as cash flow hedges. Generally, utilizing hedge accounting, all periodic changes in fair value of the derivatives designated as hedges that are considered to be effective are recorded in Accumulated Other Comprehensive Income (Loss) (“AOCI”) until the underlying jet fuel is consumed. See Note 12.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 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and were de-designated as hedges, are concurrently marked to market through earnings. However, any changes in value related to  </w:t>
      </w:r>
      <w:r>
        <w:rPr>
          <w:color w:val="231F20"/>
          <w:spacing w:val="9"/>
        </w:rPr>
        <w:t> </w:t>
      </w:r>
      <w:r>
        <w:rPr>
          <w:color w:val="231F20"/>
        </w:rPr>
        <w:t>hedges</w:t>
      </w:r>
    </w:p>
    <w:p>
      <w:pPr>
        <w:spacing w:after="0" w:line="247" w:lineRule="auto"/>
        <w:jc w:val="both"/>
        <w:sectPr>
          <w:type w:val="continuous"/>
          <w:pgSz w:w="11880" w:h="15480"/>
          <w:pgMar w:top="1260" w:bottom="280" w:left="1260" w:right="1260"/>
        </w:sectPr>
      </w:pPr>
    </w:p>
    <w:p>
      <w:pPr>
        <w:pStyle w:val="BodyText"/>
        <w:spacing w:line="247" w:lineRule="auto" w:before="74"/>
        <w:ind w:left="100" w:right="117"/>
        <w:jc w:val="both"/>
      </w:pPr>
      <w:r>
        <w:rPr>
          <w:color w:val="231F20"/>
        </w:rPr>
        <w:t>that were deferred as part of AOCI while designated as a hedge would remain until the originally forecasted transaction occurs. In a situation where it becomes probable that a fuel hedged forecasted transaction will not occur, any gains and/or losses that have been recorded to AOCI would be required to be immediately reclassified into earnings. The Company did not have any such situations occur during 2012, 2013, or 2014.</w:t>
      </w:r>
    </w:p>
    <w:p>
      <w:pPr>
        <w:pStyle w:val="BodyText"/>
        <w:spacing w:before="9"/>
        <w:rPr>
          <w:sz w:val="20"/>
        </w:rPr>
      </w:pPr>
    </w:p>
    <w:p>
      <w:pPr>
        <w:pStyle w:val="BodyText"/>
        <w:spacing w:line="247" w:lineRule="auto"/>
        <w:ind w:left="100" w:right="117" w:firstLine="720"/>
        <w:jc w:val="both"/>
      </w:pPr>
      <w:r>
        <w:rPr>
          <w:color w:val="231F20"/>
        </w:rPr>
        <w:t>In some situations, an entire commodity type used in hedging may cease to qualify for special hedge accounting treatment. As an example, during 2013, the Company’s routine statistical analysis performed to determine which commodities qualify for special hedge accounting treatment on a prospective basis dictated that WTI crude oil based derivatives no longer qualify for hedge accounting. This is primarily due to the fact that the correlation between WTI crude oil prices and jet fuel prices during recent periods has not been as strong as in the past, and therefore the Company can no longer demonstrate that derivatives based on WTI crude oil prices will result in effective hedges on a prospective basis. As such, the change in fair value of all of the Company’s derivatives based in WTI have been recorded to Other (gains) losses subsequent to July 1, 2013, and all future changes in the fair value of such instruments will continue to be recorded directly to earnings in future periods. The change  in  fair  value  of  the  Company’s  WTI  derivative  contracts  during  2014  was  a  decrease</w:t>
      </w:r>
      <w:r>
        <w:rPr>
          <w:color w:val="231F20"/>
          <w:spacing w:val="-9"/>
        </w:rPr>
        <w:t> </w:t>
      </w:r>
      <w:r>
        <w:rPr>
          <w:color w:val="231F20"/>
        </w:rPr>
        <w:t>of</w:t>
      </w:r>
    </w:p>
    <w:p>
      <w:pPr>
        <w:pStyle w:val="BodyText"/>
        <w:spacing w:line="247" w:lineRule="auto"/>
        <w:ind w:left="100" w:right="117"/>
        <w:jc w:val="both"/>
      </w:pPr>
      <w:r>
        <w:rPr>
          <w:color w:val="231F20"/>
        </w:rPr>
        <w:t>$45 million, which resulted in a loss in the Consolidated Statement of Income. The change in fair value of  the  Company’s  WTI  derivative  contracts  during  the  second  half  of  2013  was  an  increase  of</w:t>
      </w:r>
    </w:p>
    <w:p>
      <w:pPr>
        <w:pStyle w:val="BodyText"/>
        <w:spacing w:line="247" w:lineRule="auto"/>
        <w:ind w:left="100" w:right="118"/>
        <w:jc w:val="both"/>
      </w:pPr>
      <w:r>
        <w:rPr>
          <w:color w:val="231F20"/>
        </w:rPr>
        <w:t>$15 million, which resulted in a gain in the Consolidated Statement of Income. Any amounts  previously recorded to AOCI will remain there until such time as the original forecasted transaction occurs in accordance with hedge accounting requirements. The Company will continue to evaluate whether it can qualify for hedge accounting for WTI derivative contracts in future</w:t>
      </w:r>
      <w:r>
        <w:rPr>
          <w:color w:val="231F20"/>
          <w:spacing w:val="-6"/>
        </w:rPr>
        <w:t> </w:t>
      </w:r>
      <w:r>
        <w:rPr>
          <w:color w:val="231F20"/>
        </w:rPr>
        <w:t>periods.</w:t>
      </w:r>
    </w:p>
    <w:p>
      <w:pPr>
        <w:pStyle w:val="BodyText"/>
        <w:spacing w:before="9"/>
        <w:rPr>
          <w:sz w:val="20"/>
        </w:rPr>
      </w:pPr>
    </w:p>
    <w:p>
      <w:pPr>
        <w:pStyle w:val="BodyText"/>
        <w:spacing w:line="247" w:lineRule="auto"/>
        <w:ind w:left="100" w:right="117" w:firstLine="720"/>
        <w:jc w:val="both"/>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3"/>
        </w:rPr>
        <w:t> </w:t>
      </w:r>
      <w:r>
        <w:rPr>
          <w:color w:val="231F20"/>
        </w:rPr>
        <w:t>costs.</w:t>
      </w:r>
    </w:p>
    <w:p>
      <w:pPr>
        <w:pStyle w:val="BodyText"/>
        <w:spacing w:before="9"/>
        <w:rPr>
          <w:sz w:val="20"/>
        </w:rPr>
      </w:pPr>
    </w:p>
    <w:p>
      <w:pPr>
        <w:pStyle w:val="BodyText"/>
        <w:spacing w:line="247" w:lineRule="auto"/>
        <w:ind w:left="100" w:right="117" w:firstLine="720"/>
        <w:jc w:val="both"/>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w:t>
      </w:r>
      <w:r>
        <w:rPr>
          <w:color w:val="231F20"/>
          <w:spacing w:val="-2"/>
        </w:rPr>
        <w:t> </w:t>
      </w:r>
      <w:r>
        <w:rPr>
          <w:color w:val="231F20"/>
        </w:rPr>
        <w:t>purposes.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firstLine="720"/>
        <w:jc w:val="both"/>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BodyText"/>
        <w:rPr>
          <w:sz w:val="12"/>
        </w:rPr>
      </w:pPr>
    </w:p>
    <w:p>
      <w:pPr>
        <w:tabs>
          <w:tab w:pos="7219" w:val="left" w:leader="none"/>
        </w:tabs>
        <w:spacing w:before="99" w:after="26"/>
        <w:ind w:left="4959" w:right="0" w:firstLine="0"/>
        <w:jc w:val="left"/>
        <w:rPr>
          <w:b/>
          <w:sz w:val="20"/>
        </w:rPr>
      </w:pPr>
      <w:r>
        <w:rPr>
          <w:b/>
          <w:color w:val="231F20"/>
          <w:sz w:val="20"/>
        </w:rPr>
        <w:t>Asset derivatives</w:t>
        <w:tab/>
        <w:t>Liability</w:t>
      </w:r>
      <w:r>
        <w:rPr>
          <w:b/>
          <w:color w:val="231F20"/>
          <w:spacing w:val="1"/>
          <w:sz w:val="20"/>
        </w:rPr>
        <w:t> </w:t>
      </w:r>
      <w:r>
        <w:rPr>
          <w:b/>
          <w:color w:val="231F20"/>
          <w:sz w:val="20"/>
        </w:rPr>
        <w:t>derivatives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96"/>
        <w:gridCol w:w="1784"/>
        <w:gridCol w:w="1140"/>
        <w:gridCol w:w="120"/>
        <w:gridCol w:w="1080"/>
        <w:gridCol w:w="120"/>
        <w:gridCol w:w="1080"/>
        <w:gridCol w:w="120"/>
        <w:gridCol w:w="1080"/>
      </w:tblGrid>
      <w:tr>
        <w:trPr>
          <w:trHeight w:val="539" w:hRule="exact"/>
        </w:trPr>
        <w:tc>
          <w:tcPr>
            <w:tcW w:w="2596" w:type="dxa"/>
          </w:tcPr>
          <w:p>
            <w:pPr/>
          </w:p>
        </w:tc>
        <w:tc>
          <w:tcPr>
            <w:tcW w:w="1784" w:type="dxa"/>
          </w:tcPr>
          <w:p>
            <w:pPr>
              <w:pStyle w:val="TableParagraph"/>
              <w:spacing w:before="4"/>
              <w:rPr>
                <w:b/>
                <w:sz w:val="26"/>
              </w:rPr>
            </w:pPr>
          </w:p>
          <w:p>
            <w:pPr>
              <w:pStyle w:val="TableParagraph"/>
              <w:spacing w:before="0"/>
              <w:ind w:left="263"/>
              <w:rPr>
                <w:b/>
                <w:sz w:val="20"/>
              </w:rPr>
            </w:pPr>
            <w:r>
              <w:rPr>
                <w:b/>
                <w:color w:val="231F20"/>
                <w:sz w:val="20"/>
              </w:rPr>
              <w:t>Balance Sheet</w:t>
            </w:r>
          </w:p>
        </w:tc>
        <w:tc>
          <w:tcPr>
            <w:tcW w:w="1140" w:type="dxa"/>
            <w:tcBorders>
              <w:top w:val="single" w:sz="8" w:space="0" w:color="231F20"/>
            </w:tcBorders>
          </w:tcPr>
          <w:p>
            <w:pPr>
              <w:pStyle w:val="TableParagraph"/>
              <w:spacing w:line="249" w:lineRule="auto"/>
              <w:ind w:left="516" w:right="85" w:hanging="353"/>
              <w:rPr>
                <w:b/>
                <w:sz w:val="20"/>
              </w:rPr>
            </w:pPr>
            <w:r>
              <w:rPr>
                <w:b/>
                <w:color w:val="231F20"/>
                <w:sz w:val="20"/>
              </w:rPr>
              <w:t>Fair value at</w:t>
            </w:r>
          </w:p>
        </w:tc>
        <w:tc>
          <w:tcPr>
            <w:tcW w:w="120" w:type="dxa"/>
            <w:tcBorders>
              <w:top w:val="single" w:sz="8" w:space="0" w:color="231F20"/>
            </w:tcBorders>
          </w:tcPr>
          <w:p>
            <w:pPr/>
          </w:p>
        </w:tc>
        <w:tc>
          <w:tcPr>
            <w:tcW w:w="1080" w:type="dxa"/>
            <w:tcBorders>
              <w:top w:val="single" w:sz="8" w:space="0" w:color="231F20"/>
            </w:tcBorders>
          </w:tcPr>
          <w:p>
            <w:pPr>
              <w:pStyle w:val="TableParagraph"/>
              <w:spacing w:line="249" w:lineRule="auto"/>
              <w:ind w:left="455" w:right="85" w:hanging="353"/>
              <w:rPr>
                <w:b/>
                <w:sz w:val="20"/>
              </w:rPr>
            </w:pPr>
            <w:r>
              <w:rPr>
                <w:b/>
                <w:color w:val="231F20"/>
                <w:sz w:val="20"/>
              </w:rPr>
              <w:t>Fair value at</w:t>
            </w:r>
          </w:p>
        </w:tc>
        <w:tc>
          <w:tcPr>
            <w:tcW w:w="120" w:type="dxa"/>
          </w:tcPr>
          <w:p>
            <w:pPr/>
          </w:p>
        </w:tc>
        <w:tc>
          <w:tcPr>
            <w:tcW w:w="1080" w:type="dxa"/>
            <w:tcBorders>
              <w:top w:val="single" w:sz="8" w:space="0" w:color="231F20"/>
            </w:tcBorders>
          </w:tcPr>
          <w:p>
            <w:pPr>
              <w:pStyle w:val="TableParagraph"/>
              <w:spacing w:line="249" w:lineRule="auto"/>
              <w:ind w:left="455" w:right="85" w:hanging="353"/>
              <w:rPr>
                <w:b/>
                <w:sz w:val="20"/>
              </w:rPr>
            </w:pPr>
            <w:r>
              <w:rPr>
                <w:b/>
                <w:color w:val="231F20"/>
                <w:sz w:val="20"/>
              </w:rPr>
              <w:t>Fair value at</w:t>
            </w:r>
          </w:p>
        </w:tc>
        <w:tc>
          <w:tcPr>
            <w:tcW w:w="120" w:type="dxa"/>
            <w:tcBorders>
              <w:top w:val="single" w:sz="8" w:space="0" w:color="231F20"/>
            </w:tcBorders>
          </w:tcPr>
          <w:p>
            <w:pPr/>
          </w:p>
        </w:tc>
        <w:tc>
          <w:tcPr>
            <w:tcW w:w="1080" w:type="dxa"/>
            <w:tcBorders>
              <w:top w:val="single" w:sz="8" w:space="0" w:color="231F20"/>
            </w:tcBorders>
          </w:tcPr>
          <w:p>
            <w:pPr>
              <w:pStyle w:val="TableParagraph"/>
              <w:spacing w:line="249" w:lineRule="auto"/>
              <w:ind w:left="455" w:right="85" w:hanging="353"/>
              <w:rPr>
                <w:b/>
                <w:sz w:val="20"/>
              </w:rPr>
            </w:pPr>
            <w:r>
              <w:rPr>
                <w:b/>
                <w:color w:val="231F20"/>
                <w:sz w:val="20"/>
              </w:rPr>
              <w:t>Fair value at</w:t>
            </w:r>
          </w:p>
        </w:tc>
      </w:tr>
      <w:tr>
        <w:trPr>
          <w:trHeight w:val="261" w:hRule="exact"/>
        </w:trPr>
        <w:tc>
          <w:tcPr>
            <w:tcW w:w="2596" w:type="dxa"/>
            <w:tcBorders>
              <w:bottom w:val="single" w:sz="8" w:space="0" w:color="231F20"/>
            </w:tcBorders>
          </w:tcPr>
          <w:p>
            <w:pPr>
              <w:pStyle w:val="TableParagraph"/>
              <w:spacing w:before="4"/>
              <w:ind w:left="80"/>
              <w:rPr>
                <w:b/>
                <w:sz w:val="20"/>
              </w:rPr>
            </w:pPr>
            <w:r>
              <w:rPr>
                <w:b/>
                <w:color w:val="231F20"/>
                <w:sz w:val="20"/>
              </w:rPr>
              <w:t>(in millions)</w:t>
            </w:r>
          </w:p>
        </w:tc>
        <w:tc>
          <w:tcPr>
            <w:tcW w:w="1784" w:type="dxa"/>
            <w:tcBorders>
              <w:bottom w:val="single" w:sz="8" w:space="0" w:color="231F20"/>
            </w:tcBorders>
          </w:tcPr>
          <w:p>
            <w:pPr>
              <w:pStyle w:val="TableParagraph"/>
              <w:spacing w:before="4"/>
              <w:ind w:left="521"/>
              <w:rPr>
                <w:b/>
                <w:sz w:val="20"/>
              </w:rPr>
            </w:pPr>
            <w:r>
              <w:rPr>
                <w:b/>
                <w:color w:val="231F20"/>
                <w:sz w:val="20"/>
              </w:rPr>
              <w:t>location</w:t>
            </w:r>
          </w:p>
        </w:tc>
        <w:tc>
          <w:tcPr>
            <w:tcW w:w="1140" w:type="dxa"/>
            <w:tcBorders>
              <w:bottom w:val="single" w:sz="8" w:space="0" w:color="231F20"/>
            </w:tcBorders>
          </w:tcPr>
          <w:p>
            <w:pPr>
              <w:pStyle w:val="TableParagraph"/>
              <w:spacing w:before="4"/>
              <w:ind w:left="63" w:right="4"/>
              <w:jc w:val="center"/>
              <w:rPr>
                <w:b/>
                <w:sz w:val="20"/>
              </w:rPr>
            </w:pPr>
            <w:r>
              <w:rPr>
                <w:b/>
                <w:color w:val="231F20"/>
                <w:sz w:val="20"/>
              </w:rPr>
              <w:t>12/31/2014</w:t>
            </w:r>
          </w:p>
        </w:tc>
        <w:tc>
          <w:tcPr>
            <w:tcW w:w="120" w:type="dxa"/>
          </w:tcPr>
          <w:p>
            <w:pPr/>
          </w:p>
        </w:tc>
        <w:tc>
          <w:tcPr>
            <w:tcW w:w="1080" w:type="dxa"/>
            <w:tcBorders>
              <w:bottom w:val="single" w:sz="8" w:space="0" w:color="231F20"/>
            </w:tcBorders>
          </w:tcPr>
          <w:p>
            <w:pPr>
              <w:pStyle w:val="TableParagraph"/>
              <w:spacing w:before="4"/>
              <w:ind w:right="82"/>
              <w:jc w:val="right"/>
              <w:rPr>
                <w:b/>
                <w:sz w:val="20"/>
              </w:rPr>
            </w:pPr>
            <w:r>
              <w:rPr>
                <w:b/>
                <w:color w:val="231F20"/>
                <w:sz w:val="20"/>
              </w:rPr>
              <w:t>12/31/2013</w:t>
            </w:r>
          </w:p>
        </w:tc>
        <w:tc>
          <w:tcPr>
            <w:tcW w:w="120" w:type="dxa"/>
          </w:tcPr>
          <w:p>
            <w:pPr/>
          </w:p>
        </w:tc>
        <w:tc>
          <w:tcPr>
            <w:tcW w:w="1080" w:type="dxa"/>
            <w:tcBorders>
              <w:bottom w:val="single" w:sz="8" w:space="0" w:color="231F20"/>
            </w:tcBorders>
          </w:tcPr>
          <w:p>
            <w:pPr>
              <w:pStyle w:val="TableParagraph"/>
              <w:spacing w:before="4"/>
              <w:ind w:right="82"/>
              <w:jc w:val="right"/>
              <w:rPr>
                <w:b/>
                <w:sz w:val="20"/>
              </w:rPr>
            </w:pPr>
            <w:r>
              <w:rPr>
                <w:b/>
                <w:color w:val="231F20"/>
                <w:sz w:val="20"/>
              </w:rPr>
              <w:t>12/31/2014</w:t>
            </w:r>
          </w:p>
        </w:tc>
        <w:tc>
          <w:tcPr>
            <w:tcW w:w="120" w:type="dxa"/>
          </w:tcPr>
          <w:p>
            <w:pPr/>
          </w:p>
        </w:tc>
        <w:tc>
          <w:tcPr>
            <w:tcW w:w="1080" w:type="dxa"/>
            <w:tcBorders>
              <w:bottom w:val="single" w:sz="8" w:space="0" w:color="231F20"/>
            </w:tcBorders>
          </w:tcPr>
          <w:p>
            <w:pPr>
              <w:pStyle w:val="TableParagraph"/>
              <w:spacing w:before="4"/>
              <w:ind w:right="82"/>
              <w:jc w:val="right"/>
              <w:rPr>
                <w:b/>
                <w:sz w:val="20"/>
              </w:rPr>
            </w:pPr>
            <w:r>
              <w:rPr>
                <w:b/>
                <w:color w:val="231F20"/>
                <w:sz w:val="20"/>
              </w:rPr>
              <w:t>12/31/2013</w:t>
            </w:r>
          </w:p>
        </w:tc>
      </w:tr>
      <w:tr>
        <w:trPr>
          <w:trHeight w:val="550" w:hRule="exact"/>
        </w:trPr>
        <w:tc>
          <w:tcPr>
            <w:tcW w:w="2596" w:type="dxa"/>
            <w:tcBorders>
              <w:top w:val="single" w:sz="8" w:space="0" w:color="231F20"/>
            </w:tcBorders>
          </w:tcPr>
          <w:p>
            <w:pPr>
              <w:pStyle w:val="TableParagraph"/>
              <w:spacing w:line="249" w:lineRule="auto"/>
              <w:ind w:left="80" w:right="340"/>
              <w:rPr>
                <w:b/>
                <w:sz w:val="20"/>
              </w:rPr>
            </w:pPr>
            <w:r>
              <w:rPr>
                <w:b/>
                <w:color w:val="231F20"/>
                <w:sz w:val="20"/>
              </w:rPr>
              <w:t>Derivatives designated as hedges*</w:t>
            </w:r>
          </w:p>
        </w:tc>
        <w:tc>
          <w:tcPr>
            <w:tcW w:w="1784" w:type="dxa"/>
            <w:tcBorders>
              <w:top w:val="single" w:sz="8" w:space="0" w:color="231F20"/>
            </w:tcBorders>
          </w:tcPr>
          <w:p>
            <w:pPr/>
          </w:p>
        </w:tc>
        <w:tc>
          <w:tcPr>
            <w:tcW w:w="1140" w:type="dxa"/>
            <w:tcBorders>
              <w:top w:val="single" w:sz="8" w:space="0" w:color="231F20"/>
            </w:tcBorders>
          </w:tcPr>
          <w:p>
            <w:pPr/>
          </w:p>
        </w:tc>
        <w:tc>
          <w:tcPr>
            <w:tcW w:w="120" w:type="dxa"/>
          </w:tcPr>
          <w:p>
            <w:pPr/>
          </w:p>
        </w:tc>
        <w:tc>
          <w:tcPr>
            <w:tcW w:w="1080" w:type="dxa"/>
            <w:tcBorders>
              <w:top w:val="single" w:sz="8" w:space="0" w:color="231F20"/>
            </w:tcBorders>
          </w:tcPr>
          <w:p>
            <w:pPr/>
          </w:p>
        </w:tc>
        <w:tc>
          <w:tcPr>
            <w:tcW w:w="120" w:type="dxa"/>
          </w:tcPr>
          <w:p>
            <w:pPr/>
          </w:p>
        </w:tc>
        <w:tc>
          <w:tcPr>
            <w:tcW w:w="1080" w:type="dxa"/>
            <w:tcBorders>
              <w:top w:val="single" w:sz="8" w:space="0" w:color="231F20"/>
            </w:tcBorders>
          </w:tcPr>
          <w:p>
            <w:pPr/>
          </w:p>
        </w:tc>
        <w:tc>
          <w:tcPr>
            <w:tcW w:w="120" w:type="dxa"/>
          </w:tcPr>
          <w:p>
            <w:pPr/>
          </w:p>
        </w:tc>
        <w:tc>
          <w:tcPr>
            <w:tcW w:w="1080" w:type="dxa"/>
            <w:tcBorders>
              <w:top w:val="single" w:sz="8" w:space="0" w:color="231F20"/>
            </w:tcBorders>
          </w:tcPr>
          <w:p>
            <w:pPr/>
          </w:p>
        </w:tc>
      </w:tr>
      <w:tr>
        <w:trPr>
          <w:trHeight w:val="292" w:hRule="exact"/>
        </w:trPr>
        <w:tc>
          <w:tcPr>
            <w:tcW w:w="2596" w:type="dxa"/>
            <w:shd w:val="clear" w:color="auto" w:fill="CCECFC"/>
          </w:tcPr>
          <w:p>
            <w:pPr>
              <w:pStyle w:val="TableParagraph"/>
              <w:ind w:left="80"/>
              <w:rPr>
                <w:sz w:val="20"/>
              </w:rPr>
            </w:pPr>
            <w:r>
              <w:rPr>
                <w:color w:val="231F20"/>
                <w:sz w:val="20"/>
              </w:rPr>
              <w:t>Fuel derivative contracts</w:t>
            </w:r>
          </w:p>
        </w:tc>
        <w:tc>
          <w:tcPr>
            <w:tcW w:w="1784" w:type="dxa"/>
            <w:shd w:val="clear" w:color="auto" w:fill="CCECFC"/>
          </w:tcPr>
          <w:p>
            <w:pPr>
              <w:pStyle w:val="TableParagraph"/>
              <w:rPr>
                <w:sz w:val="20"/>
              </w:rPr>
            </w:pPr>
            <w:r>
              <w:rPr>
                <w:color w:val="231F20"/>
                <w:sz w:val="20"/>
              </w:rPr>
              <w:t>Prepaid expenses and</w:t>
            </w:r>
          </w:p>
        </w:tc>
        <w:tc>
          <w:tcPr>
            <w:tcW w:w="1140" w:type="dxa"/>
            <w:shd w:val="clear" w:color="auto" w:fill="CCECFC"/>
          </w:tcPr>
          <w:p>
            <w:pPr/>
          </w:p>
        </w:tc>
        <w:tc>
          <w:tcPr>
            <w:tcW w:w="120" w:type="dxa"/>
            <w:shd w:val="clear" w:color="auto" w:fill="CCECFC"/>
          </w:tcPr>
          <w:p>
            <w:pPr/>
          </w:p>
        </w:tc>
        <w:tc>
          <w:tcPr>
            <w:tcW w:w="1080" w:type="dxa"/>
            <w:shd w:val="clear" w:color="auto" w:fill="CCECFC"/>
          </w:tcPr>
          <w:p>
            <w:pPr/>
          </w:p>
        </w:tc>
        <w:tc>
          <w:tcPr>
            <w:tcW w:w="120" w:type="dxa"/>
            <w:shd w:val="clear" w:color="auto" w:fill="CCECFC"/>
          </w:tcPr>
          <w:p>
            <w:pPr/>
          </w:p>
        </w:tc>
        <w:tc>
          <w:tcPr>
            <w:tcW w:w="1080" w:type="dxa"/>
            <w:shd w:val="clear" w:color="auto" w:fill="CCECFC"/>
          </w:tcPr>
          <w:p>
            <w:pPr/>
          </w:p>
        </w:tc>
        <w:tc>
          <w:tcPr>
            <w:tcW w:w="120" w:type="dxa"/>
            <w:shd w:val="clear" w:color="auto" w:fill="CCECFC"/>
          </w:tcPr>
          <w:p>
            <w:pPr/>
          </w:p>
        </w:tc>
        <w:tc>
          <w:tcPr>
            <w:tcW w:w="1080" w:type="dxa"/>
            <w:shd w:val="clear" w:color="auto" w:fill="CCECFC"/>
          </w:tcPr>
          <w:p>
            <w:pPr/>
          </w:p>
        </w:tc>
      </w:tr>
      <w:tr>
        <w:trPr>
          <w:trHeight w:val="248" w:hRule="exact"/>
        </w:trPr>
        <w:tc>
          <w:tcPr>
            <w:tcW w:w="2596" w:type="dxa"/>
            <w:shd w:val="clear" w:color="auto" w:fill="CCECFC"/>
          </w:tcPr>
          <w:p>
            <w:pPr>
              <w:pStyle w:val="TableParagraph"/>
              <w:spacing w:before="1"/>
              <w:ind w:left="280"/>
              <w:rPr>
                <w:sz w:val="20"/>
              </w:rPr>
            </w:pPr>
            <w:r>
              <w:rPr>
                <w:color w:val="231F20"/>
                <w:sz w:val="20"/>
              </w:rPr>
              <w:t>(gross)</w:t>
            </w:r>
          </w:p>
        </w:tc>
        <w:tc>
          <w:tcPr>
            <w:tcW w:w="1784" w:type="dxa"/>
            <w:shd w:val="clear" w:color="auto" w:fill="CCECFC"/>
          </w:tcPr>
          <w:p>
            <w:pPr>
              <w:pStyle w:val="TableParagraph"/>
              <w:spacing w:before="1"/>
              <w:rPr>
                <w:sz w:val="20"/>
              </w:rPr>
            </w:pPr>
            <w:r>
              <w:rPr>
                <w:color w:val="231F20"/>
                <w:sz w:val="20"/>
              </w:rPr>
              <w:t>other current assets</w:t>
            </w:r>
          </w:p>
        </w:tc>
        <w:tc>
          <w:tcPr>
            <w:tcW w:w="1140" w:type="dxa"/>
            <w:shd w:val="clear" w:color="auto" w:fill="CCECFC"/>
          </w:tcPr>
          <w:p>
            <w:pPr>
              <w:pStyle w:val="TableParagraph"/>
              <w:tabs>
                <w:tab w:pos="812" w:val="left" w:leader="none"/>
              </w:tabs>
              <w:spacing w:before="1"/>
              <w:ind w:right="4"/>
              <w:jc w:val="center"/>
              <w:rPr>
                <w:sz w:val="20"/>
              </w:rPr>
            </w:pPr>
            <w:r>
              <w:rPr>
                <w:color w:val="231F20"/>
                <w:sz w:val="20"/>
              </w:rPr>
              <w:t>$</w:t>
              <w:tab/>
              <w:t>—</w:t>
            </w:r>
          </w:p>
        </w:tc>
        <w:tc>
          <w:tcPr>
            <w:tcW w:w="120" w:type="dxa"/>
            <w:shd w:val="clear" w:color="auto" w:fill="CCECFC"/>
          </w:tcPr>
          <w:p>
            <w:pPr/>
          </w:p>
        </w:tc>
        <w:tc>
          <w:tcPr>
            <w:tcW w:w="1080" w:type="dxa"/>
            <w:shd w:val="clear" w:color="auto" w:fill="CCECFC"/>
          </w:tcPr>
          <w:p>
            <w:pPr>
              <w:pStyle w:val="TableParagraph"/>
              <w:tabs>
                <w:tab w:pos="812" w:val="left" w:leader="none"/>
              </w:tabs>
              <w:spacing w:before="1"/>
              <w:ind w:right="66"/>
              <w:jc w:val="right"/>
              <w:rPr>
                <w:sz w:val="20"/>
              </w:rPr>
            </w:pPr>
            <w:r>
              <w:rPr>
                <w:color w:val="231F20"/>
                <w:sz w:val="20"/>
              </w:rPr>
              <w:t>$</w:t>
              <w:tab/>
              <w:t>74</w:t>
            </w:r>
          </w:p>
        </w:tc>
        <w:tc>
          <w:tcPr>
            <w:tcW w:w="120" w:type="dxa"/>
            <w:shd w:val="clear" w:color="auto" w:fill="CCECFC"/>
          </w:tcPr>
          <w:p>
            <w:pPr/>
          </w:p>
        </w:tc>
        <w:tc>
          <w:tcPr>
            <w:tcW w:w="1080" w:type="dxa"/>
            <w:shd w:val="clear" w:color="auto" w:fill="CCECFC"/>
          </w:tcPr>
          <w:p>
            <w:pPr>
              <w:pStyle w:val="TableParagraph"/>
              <w:tabs>
                <w:tab w:pos="812" w:val="left" w:leader="none"/>
              </w:tabs>
              <w:spacing w:before="1"/>
              <w:ind w:right="66"/>
              <w:jc w:val="right"/>
              <w:rPr>
                <w:sz w:val="20"/>
              </w:rPr>
            </w:pPr>
            <w:r>
              <w:rPr>
                <w:color w:val="231F20"/>
                <w:sz w:val="20"/>
              </w:rPr>
              <w:t>$</w:t>
              <w:tab/>
              <w:t>—</w:t>
            </w:r>
          </w:p>
        </w:tc>
        <w:tc>
          <w:tcPr>
            <w:tcW w:w="120" w:type="dxa"/>
            <w:shd w:val="clear" w:color="auto" w:fill="CCECFC"/>
          </w:tcPr>
          <w:p>
            <w:pPr/>
          </w:p>
        </w:tc>
        <w:tc>
          <w:tcPr>
            <w:tcW w:w="1080" w:type="dxa"/>
            <w:shd w:val="clear" w:color="auto" w:fill="CCECFC"/>
          </w:tcPr>
          <w:p>
            <w:pPr>
              <w:pStyle w:val="TableParagraph"/>
              <w:tabs>
                <w:tab w:pos="812" w:val="left" w:leader="none"/>
              </w:tabs>
              <w:spacing w:before="1"/>
              <w:ind w:right="66"/>
              <w:jc w:val="right"/>
              <w:rPr>
                <w:sz w:val="20"/>
              </w:rPr>
            </w:pPr>
            <w:r>
              <w:rPr>
                <w:color w:val="231F20"/>
                <w:sz w:val="20"/>
              </w:rPr>
              <w:t>$</w:t>
              <w:tab/>
              <w:t>—</w:t>
            </w:r>
          </w:p>
        </w:tc>
      </w:tr>
    </w:tbl>
    <w:p>
      <w:pPr>
        <w:spacing w:before="53"/>
        <w:ind w:left="180" w:right="0" w:firstLine="0"/>
        <w:jc w:val="left"/>
        <w:rPr>
          <w:sz w:val="20"/>
        </w:rPr>
      </w:pPr>
      <w:r>
        <w:rPr>
          <w:color w:val="231F20"/>
          <w:sz w:val="20"/>
        </w:rPr>
        <w:t>Fuel derivative contracts</w:t>
      </w:r>
    </w:p>
    <w:p>
      <w:pPr>
        <w:tabs>
          <w:tab w:pos="2695" w:val="left" w:leader="none"/>
          <w:tab w:pos="5352" w:val="left" w:leader="none"/>
          <w:tab w:pos="6452" w:val="left" w:leader="none"/>
          <w:tab w:pos="7752" w:val="left" w:leader="none"/>
          <w:tab w:pos="9152" w:val="right" w:leader="none"/>
        </w:tabs>
        <w:spacing w:before="9"/>
        <w:ind w:left="380" w:right="0" w:firstLine="0"/>
        <w:jc w:val="left"/>
        <w:rPr>
          <w:sz w:val="20"/>
        </w:rPr>
      </w:pPr>
      <w:r>
        <w:rPr>
          <w:color w:val="231F20"/>
          <w:sz w:val="20"/>
        </w:rPr>
        <w:t>(gross)</w:t>
        <w:tab/>
        <w:t>Other assets</w:t>
        <w:tab/>
        <w:t>—</w:t>
        <w:tab/>
        <w:t>209</w:t>
        <w:tab/>
        <w:t>—</w:t>
        <w:tab/>
        <w:t>1</w:t>
      </w:r>
    </w:p>
    <w:p>
      <w:pPr>
        <w:spacing w:after="0"/>
        <w:jc w:val="left"/>
        <w:rPr>
          <w:sz w:val="20"/>
        </w:rPr>
        <w:sectPr>
          <w:pgSz w:w="11880" w:h="15480"/>
          <w:pgMar w:header="0" w:footer="1240" w:top="1240" w:bottom="1420" w:left="1280" w:right="1260"/>
        </w:sectPr>
      </w:pPr>
    </w:p>
    <w:p>
      <w:pPr>
        <w:spacing w:line="249" w:lineRule="auto" w:before="69"/>
        <w:ind w:left="380" w:right="-17" w:hanging="200"/>
        <w:jc w:val="left"/>
        <w:rPr>
          <w:sz w:val="20"/>
        </w:rPr>
      </w:pPr>
      <w:r>
        <w:rPr/>
        <w:pict>
          <v:rect style="position:absolute;margin-left:69pt;margin-top:.785937pt;width:456pt;height:27pt;mso-position-horizontal-relative:page;mso-position-vertical-relative:paragraph;z-index:-405112" filled="true" fillcolor="#ccecfc" stroked="false">
            <v:fill type="solid"/>
            <w10:wrap type="none"/>
          </v:rect>
        </w:pict>
      </w:r>
      <w:r>
        <w:rPr>
          <w:color w:val="231F20"/>
          <w:sz w:val="20"/>
        </w:rPr>
        <w:t>Fuel derivative contracts</w:t>
      </w:r>
      <w:r>
        <w:rPr>
          <w:color w:val="231F20"/>
          <w:w w:val="100"/>
          <w:sz w:val="20"/>
        </w:rPr>
        <w:t> </w:t>
      </w:r>
      <w:r>
        <w:rPr>
          <w:color w:val="231F20"/>
          <w:sz w:val="20"/>
        </w:rPr>
        <w:t>(gross)</w:t>
      </w:r>
    </w:p>
    <w:p>
      <w:pPr>
        <w:spacing w:before="61"/>
        <w:ind w:left="180" w:right="0" w:firstLine="0"/>
        <w:jc w:val="left"/>
        <w:rPr>
          <w:sz w:val="20"/>
        </w:rPr>
      </w:pPr>
      <w:r>
        <w:rPr>
          <w:color w:val="231F20"/>
          <w:sz w:val="20"/>
        </w:rPr>
        <w:t>Interest rate derivative</w:t>
      </w:r>
    </w:p>
    <w:p>
      <w:pPr>
        <w:spacing w:before="69"/>
        <w:ind w:left="180" w:right="0" w:firstLine="0"/>
        <w:jc w:val="left"/>
        <w:rPr>
          <w:sz w:val="20"/>
        </w:rPr>
      </w:pPr>
      <w:r>
        <w:rPr/>
        <w:br w:type="column"/>
      </w:r>
      <w:r>
        <w:rPr>
          <w:color w:val="231F20"/>
          <w:sz w:val="20"/>
        </w:rPr>
        <w:t>Other noncurrent</w:t>
      </w:r>
    </w:p>
    <w:p>
      <w:pPr>
        <w:tabs>
          <w:tab w:pos="2836" w:val="left" w:leader="none"/>
          <w:tab w:pos="4036" w:val="left" w:leader="none"/>
          <w:tab w:pos="5136" w:val="left" w:leader="none"/>
          <w:tab w:pos="6436" w:val="left" w:leader="none"/>
        </w:tabs>
        <w:spacing w:before="9"/>
        <w:ind w:left="180" w:right="0" w:firstLine="0"/>
        <w:jc w:val="left"/>
        <w:rPr>
          <w:sz w:val="20"/>
        </w:rPr>
      </w:pPr>
      <w:r>
        <w:rPr>
          <w:color w:val="231F20"/>
          <w:sz w:val="20"/>
        </w:rPr>
        <w:t>liabilities</w:t>
        <w:tab/>
        <w:t>—</w:t>
        <w:tab/>
        <w:t>—</w:t>
        <w:tab/>
        <w:t>643</w:t>
        <w:tab/>
        <w:t>—</w:t>
      </w:r>
    </w:p>
    <w:p>
      <w:pPr>
        <w:spacing w:after="0"/>
        <w:jc w:val="left"/>
        <w:rPr>
          <w:sz w:val="20"/>
        </w:rPr>
        <w:sectPr>
          <w:type w:val="continuous"/>
          <w:pgSz w:w="11880" w:h="15480"/>
          <w:pgMar w:top="1260" w:bottom="280" w:left="1280" w:right="1260"/>
          <w:cols w:num="2" w:equalWidth="0">
            <w:col w:w="2161" w:space="355"/>
            <w:col w:w="6824"/>
          </w:cols>
        </w:sectPr>
      </w:pPr>
    </w:p>
    <w:p>
      <w:pPr>
        <w:tabs>
          <w:tab w:pos="2695" w:val="left" w:leader="none"/>
          <w:tab w:pos="5352" w:val="left" w:leader="none"/>
          <w:tab w:pos="6552" w:val="left" w:leader="none"/>
          <w:tab w:pos="7752" w:val="left" w:leader="none"/>
          <w:tab w:pos="8952" w:val="left" w:leader="none"/>
        </w:tabs>
        <w:spacing w:before="10"/>
        <w:ind w:left="380" w:right="0" w:firstLine="0"/>
        <w:jc w:val="left"/>
        <w:rPr>
          <w:sz w:val="20"/>
        </w:rPr>
      </w:pPr>
      <w:r>
        <w:rPr>
          <w:color w:val="231F20"/>
          <w:sz w:val="20"/>
        </w:rPr>
        <w:t>contracts</w:t>
        <w:tab/>
        <w:t>Other assets</w:t>
        <w:tab/>
        <w:t>13</w:t>
        <w:tab/>
        <w:t>20</w:t>
        <w:tab/>
        <w:t>—</w:t>
        <w:tab/>
        <w:t>—</w:t>
      </w:r>
    </w:p>
    <w:p>
      <w:pPr>
        <w:spacing w:after="0"/>
        <w:jc w:val="left"/>
        <w:rPr>
          <w:sz w:val="20"/>
        </w:rPr>
        <w:sectPr>
          <w:type w:val="continuous"/>
          <w:pgSz w:w="11880" w:h="15480"/>
          <w:pgMar w:top="1260" w:bottom="280" w:left="1280" w:right="1260"/>
        </w:sectPr>
      </w:pPr>
    </w:p>
    <w:p>
      <w:pPr>
        <w:spacing w:line="249" w:lineRule="auto" w:before="70"/>
        <w:ind w:left="380" w:right="583" w:hanging="200"/>
        <w:jc w:val="left"/>
        <w:rPr>
          <w:sz w:val="20"/>
        </w:rPr>
      </w:pPr>
      <w:r>
        <w:rPr/>
        <w:pict>
          <v:group style="position:absolute;margin-left:69pt;margin-top:.835938pt;width:456.25pt;height:28pt;mso-position-horizontal-relative:page;mso-position-vertical-relative:paragraph;z-index:-405088" coordorigin="1380,17" coordsize="9125,560">
            <v:rect style="position:absolute;left:1380;top:17;width:9120;height:540" filled="true" fillcolor="#ccecfc" stroked="false">
              <v:fill type="solid"/>
            </v:rect>
            <v:line style="position:absolute" from="5820,572" to="6900,572" stroked="true" strokeweight=".5pt" strokecolor="#231f20">
              <v:stroke dashstyle="solid"/>
            </v:line>
            <v:line style="position:absolute" from="7020,572" to="8100,572" stroked="true" strokeweight=".5pt" strokecolor="#231f20">
              <v:stroke dashstyle="solid"/>
            </v:line>
            <v:line style="position:absolute" from="8220,572" to="9300,572" stroked="true" strokeweight=".5pt" strokecolor="#231f20">
              <v:stroke dashstyle="solid"/>
            </v:line>
            <v:line style="position:absolute" from="9420,572" to="10500,572" stroked="true" strokeweight=".5pt" strokecolor="#231f20">
              <v:stroke dashstyle="solid"/>
            </v:line>
            <w10:wrap type="none"/>
          </v:group>
        </w:pict>
      </w:r>
      <w:r>
        <w:rPr>
          <w:color w:val="231F20"/>
          <w:sz w:val="20"/>
        </w:rPr>
        <w:t>Interest rate derivative contracts</w:t>
      </w:r>
    </w:p>
    <w:p>
      <w:pPr>
        <w:spacing w:before="81"/>
        <w:ind w:left="180" w:right="0" w:firstLine="0"/>
        <w:jc w:val="left"/>
        <w:rPr>
          <w:b/>
          <w:sz w:val="20"/>
        </w:rPr>
      </w:pPr>
      <w:r>
        <w:rPr>
          <w:b/>
          <w:color w:val="231F20"/>
          <w:sz w:val="20"/>
        </w:rPr>
        <w:t>Total derivatives designated</w:t>
      </w:r>
    </w:p>
    <w:p>
      <w:pPr>
        <w:spacing w:before="70"/>
        <w:ind w:left="73" w:right="0" w:firstLine="0"/>
        <w:jc w:val="left"/>
        <w:rPr>
          <w:sz w:val="20"/>
        </w:rPr>
      </w:pPr>
      <w:r>
        <w:rPr/>
        <w:br w:type="column"/>
      </w:r>
      <w:r>
        <w:rPr>
          <w:color w:val="231F20"/>
          <w:sz w:val="20"/>
        </w:rPr>
        <w:t>Other noncurrent</w:t>
      </w:r>
    </w:p>
    <w:p>
      <w:pPr>
        <w:tabs>
          <w:tab w:pos="2730" w:val="left" w:leader="none"/>
          <w:tab w:pos="3930" w:val="left" w:leader="none"/>
          <w:tab w:pos="5130" w:val="left" w:leader="none"/>
          <w:tab w:pos="6330" w:val="left" w:leader="none"/>
        </w:tabs>
        <w:spacing w:before="10"/>
        <w:ind w:left="73" w:right="0" w:firstLine="0"/>
        <w:jc w:val="left"/>
        <w:rPr>
          <w:sz w:val="20"/>
        </w:rPr>
      </w:pPr>
      <w:r>
        <w:rPr>
          <w:color w:val="231F20"/>
          <w:sz w:val="20"/>
        </w:rPr>
        <w:t>liabilities</w:t>
        <w:tab/>
        <w:t>—</w:t>
        <w:tab/>
        <w:t>—</w:t>
        <w:tab/>
        <w:t>61</w:t>
        <w:tab/>
        <w:t>77</w:t>
      </w:r>
    </w:p>
    <w:p>
      <w:pPr>
        <w:spacing w:after="0"/>
        <w:jc w:val="left"/>
        <w:rPr>
          <w:sz w:val="20"/>
        </w:rPr>
        <w:sectPr>
          <w:type w:val="continuous"/>
          <w:pgSz w:w="11880" w:h="15480"/>
          <w:pgMar w:top="1260" w:bottom="280" w:left="1280" w:right="1260"/>
          <w:cols w:num="2" w:equalWidth="0">
            <w:col w:w="2583" w:space="40"/>
            <w:col w:w="6717"/>
          </w:cols>
        </w:sectPr>
      </w:pPr>
    </w:p>
    <w:p>
      <w:pPr>
        <w:tabs>
          <w:tab w:pos="4539" w:val="left" w:leader="none"/>
          <w:tab w:pos="5352" w:val="left" w:leader="none"/>
          <w:tab w:pos="6452" w:val="left" w:leader="none"/>
          <w:tab w:pos="7652" w:val="left" w:leader="none"/>
          <w:tab w:pos="9152" w:val="right" w:leader="none"/>
        </w:tabs>
        <w:spacing w:before="9"/>
        <w:ind w:left="180" w:right="0" w:firstLine="0"/>
        <w:jc w:val="left"/>
        <w:rPr>
          <w:sz w:val="20"/>
        </w:rPr>
      </w:pPr>
      <w:r>
        <w:rPr/>
        <w:pict>
          <v:line style="position:absolute;mso-position-horizontal-relative:page;mso-position-vertical-relative:paragraph;z-index:4840" from="291pt,13.535937pt" to="345pt,13.535937pt" stroked="true" strokeweight=".5pt" strokecolor="#231f20">
            <v:stroke dashstyle="solid"/>
            <w10:wrap type="none"/>
          </v:line>
        </w:pict>
      </w:r>
      <w:r>
        <w:rPr/>
        <w:pict>
          <v:line style="position:absolute;mso-position-horizontal-relative:page;mso-position-vertical-relative:paragraph;z-index:4864" from="351pt,13.535937pt" to="405pt,13.535937pt" stroked="true" strokeweight=".5pt" strokecolor="#231f20">
            <v:stroke dashstyle="solid"/>
            <w10:wrap type="none"/>
          </v:line>
        </w:pict>
      </w:r>
      <w:r>
        <w:rPr/>
        <w:pict>
          <v:line style="position:absolute;mso-position-horizontal-relative:page;mso-position-vertical-relative:paragraph;z-index:4888" from="411pt,13.535937pt" to="465pt,13.535937pt" stroked="true" strokeweight=".5pt" strokecolor="#231f20">
            <v:stroke dashstyle="solid"/>
            <w10:wrap type="none"/>
          </v:line>
        </w:pict>
      </w:r>
      <w:r>
        <w:rPr/>
        <w:pict>
          <v:line style="position:absolute;mso-position-horizontal-relative:page;mso-position-vertical-relative:paragraph;z-index:4912" from="471pt,13.535937pt" to="525pt,13.535937pt" stroked="true" strokeweight=".5pt" strokecolor="#231f20">
            <v:stroke dashstyle="solid"/>
            <w10:wrap type="none"/>
          </v:line>
        </w:pict>
      </w:r>
      <w:r>
        <w:rPr/>
        <w:pict>
          <v:shape style="position:absolute;margin-left:69pt;margin-top:13.785937pt;width:456pt;height:27pt;mso-position-horizontal-relative:page;mso-position-vertical-relative:paragraph;z-index:4936" type="#_x0000_t202" filled="true" fillcolor="#ccecfc" stroked="false">
            <v:textbox inset="0,0,0,0">
              <w:txbxContent>
                <w:p>
                  <w:pPr>
                    <w:spacing w:line="249" w:lineRule="auto" w:before="53"/>
                    <w:ind w:left="80" w:right="6764" w:firstLine="0"/>
                    <w:jc w:val="left"/>
                    <w:rPr>
                      <w:b/>
                      <w:sz w:val="20"/>
                    </w:rPr>
                  </w:pPr>
                  <w:r>
                    <w:rPr>
                      <w:b/>
                      <w:color w:val="231F20"/>
                      <w:sz w:val="20"/>
                    </w:rPr>
                    <w:t>Derivatives not designated as hedges*</w:t>
                  </w:r>
                </w:p>
              </w:txbxContent>
            </v:textbox>
            <v:fill type="solid"/>
            <w10:wrap type="none"/>
          </v:shape>
        </w:pict>
      </w:r>
      <w:r>
        <w:rPr>
          <w:b/>
          <w:color w:val="231F20"/>
          <w:sz w:val="20"/>
        </w:rPr>
        <w:t>as hedges</w:t>
        <w:tab/>
      </w:r>
      <w:r>
        <w:rPr>
          <w:color w:val="231F20"/>
          <w:sz w:val="20"/>
        </w:rPr>
        <w:t>$</w:t>
        <w:tab/>
        <w:t>13  </w:t>
      </w:r>
      <w:r>
        <w:rPr>
          <w:color w:val="231F20"/>
          <w:spacing w:val="37"/>
          <w:sz w:val="20"/>
        </w:rPr>
        <w:t> </w:t>
      </w:r>
      <w:r>
        <w:rPr>
          <w:color w:val="231F20"/>
          <w:sz w:val="20"/>
        </w:rPr>
        <w:t>$</w:t>
        <w:tab/>
        <w:t>303  </w:t>
      </w:r>
      <w:r>
        <w:rPr>
          <w:color w:val="231F20"/>
          <w:spacing w:val="37"/>
          <w:sz w:val="20"/>
        </w:rPr>
        <w:t> </w:t>
      </w:r>
      <w:r>
        <w:rPr>
          <w:color w:val="231F20"/>
          <w:sz w:val="20"/>
        </w:rPr>
        <w:t>$</w:t>
        <w:tab/>
        <w:t>704  </w:t>
      </w:r>
      <w:r>
        <w:rPr>
          <w:color w:val="231F20"/>
          <w:spacing w:val="37"/>
          <w:sz w:val="20"/>
        </w:rPr>
        <w:t> </w:t>
      </w:r>
      <w:r>
        <w:rPr>
          <w:color w:val="231F20"/>
          <w:sz w:val="20"/>
        </w:rPr>
        <w:t>$</w:t>
        <w:tab/>
        <w:t>78</w:t>
      </w:r>
    </w:p>
    <w:p>
      <w:pPr>
        <w:spacing w:after="0"/>
        <w:jc w:val="left"/>
        <w:rPr>
          <w:sz w:val="20"/>
        </w:rPr>
        <w:sectPr>
          <w:type w:val="continuous"/>
          <w:pgSz w:w="11880" w:h="15480"/>
          <w:pgMar w:top="1260" w:bottom="280" w:left="1280" w:right="1260"/>
        </w:sectPr>
      </w:pPr>
    </w:p>
    <w:p>
      <w:pPr>
        <w:spacing w:line="249" w:lineRule="auto" w:before="629"/>
        <w:ind w:left="380" w:right="-17" w:hanging="200"/>
        <w:jc w:val="left"/>
        <w:rPr>
          <w:sz w:val="20"/>
        </w:rPr>
      </w:pPr>
      <w:r>
        <w:rPr/>
        <w:pict>
          <v:rect style="position:absolute;margin-left:69pt;margin-top:55.785938pt;width:456pt;height:27pt;mso-position-horizontal-relative:page;mso-position-vertical-relative:paragraph;z-index:-405064" filled="true" fillcolor="#ccecfc" stroked="false">
            <v:fill type="solid"/>
            <w10:wrap type="none"/>
          </v:rect>
        </w:pict>
      </w:r>
      <w:r>
        <w:rPr>
          <w:color w:val="231F20"/>
          <w:sz w:val="20"/>
        </w:rPr>
        <w:t>Fuel derivative contracts</w:t>
      </w:r>
      <w:r>
        <w:rPr>
          <w:color w:val="231F20"/>
          <w:w w:val="100"/>
          <w:sz w:val="20"/>
        </w:rPr>
        <w:t> </w:t>
      </w:r>
      <w:r>
        <w:rPr>
          <w:color w:val="231F20"/>
          <w:sz w:val="20"/>
        </w:rPr>
        <w:t>(gross)</w:t>
      </w:r>
    </w:p>
    <w:p>
      <w:pPr>
        <w:spacing w:before="61"/>
        <w:ind w:left="180" w:right="0" w:firstLine="0"/>
        <w:jc w:val="left"/>
        <w:rPr>
          <w:sz w:val="20"/>
        </w:rPr>
      </w:pPr>
      <w:r>
        <w:rPr>
          <w:color w:val="231F20"/>
          <w:sz w:val="20"/>
        </w:rPr>
        <w:t>Fuel derivative contracts</w:t>
      </w:r>
    </w:p>
    <w:p>
      <w:pPr>
        <w:spacing w:before="629"/>
        <w:ind w:left="180" w:right="0" w:firstLine="0"/>
        <w:jc w:val="left"/>
        <w:rPr>
          <w:sz w:val="20"/>
        </w:rPr>
      </w:pPr>
      <w:r>
        <w:rPr/>
        <w:br w:type="column"/>
      </w:r>
      <w:r>
        <w:rPr>
          <w:color w:val="231F20"/>
          <w:sz w:val="20"/>
        </w:rPr>
        <w:t>Prepaid expenses and</w:t>
      </w:r>
    </w:p>
    <w:p>
      <w:pPr>
        <w:tabs>
          <w:tab w:pos="2023" w:val="left" w:leader="none"/>
          <w:tab w:pos="2836" w:val="left" w:leader="none"/>
          <w:tab w:pos="3936" w:val="left" w:leader="none"/>
          <w:tab w:pos="5236" w:val="left" w:leader="none"/>
          <w:tab w:pos="6336" w:val="left" w:leader="none"/>
        </w:tabs>
        <w:spacing w:before="9"/>
        <w:ind w:left="180" w:right="0" w:firstLine="0"/>
        <w:jc w:val="left"/>
        <w:rPr>
          <w:sz w:val="20"/>
        </w:rPr>
      </w:pPr>
      <w:r>
        <w:rPr>
          <w:color w:val="231F20"/>
          <w:sz w:val="20"/>
        </w:rPr>
        <w:t>other</w:t>
      </w:r>
      <w:r>
        <w:rPr>
          <w:color w:val="231F20"/>
          <w:spacing w:val="1"/>
          <w:sz w:val="20"/>
        </w:rPr>
        <w:t> </w:t>
      </w:r>
      <w:r>
        <w:rPr>
          <w:color w:val="231F20"/>
          <w:sz w:val="20"/>
        </w:rPr>
        <w:t>current</w:t>
      </w:r>
      <w:r>
        <w:rPr>
          <w:color w:val="231F20"/>
          <w:spacing w:val="1"/>
          <w:sz w:val="20"/>
        </w:rPr>
        <w:t> </w:t>
      </w:r>
      <w:r>
        <w:rPr>
          <w:color w:val="231F20"/>
          <w:sz w:val="20"/>
        </w:rPr>
        <w:t>assets</w:t>
        <w:tab/>
        <w:t>$</w:t>
        <w:tab/>
        <w:t>—  </w:t>
      </w:r>
      <w:r>
        <w:rPr>
          <w:color w:val="231F20"/>
          <w:spacing w:val="37"/>
          <w:sz w:val="20"/>
        </w:rPr>
        <w:t> </w:t>
      </w:r>
      <w:r>
        <w:rPr>
          <w:color w:val="231F20"/>
          <w:sz w:val="20"/>
        </w:rPr>
        <w:t>$</w:t>
        <w:tab/>
        <w:t>175  </w:t>
      </w:r>
      <w:r>
        <w:rPr>
          <w:color w:val="231F20"/>
          <w:spacing w:val="37"/>
          <w:sz w:val="20"/>
        </w:rPr>
        <w:t> </w:t>
      </w:r>
      <w:r>
        <w:rPr>
          <w:color w:val="231F20"/>
          <w:sz w:val="20"/>
        </w:rPr>
        <w:t>$</w:t>
        <w:tab/>
        <w:t>—  </w:t>
      </w:r>
      <w:r>
        <w:rPr>
          <w:color w:val="231F20"/>
          <w:spacing w:val="37"/>
          <w:sz w:val="20"/>
        </w:rPr>
        <w:t> </w:t>
      </w:r>
      <w:r>
        <w:rPr>
          <w:color w:val="231F20"/>
          <w:sz w:val="20"/>
        </w:rPr>
        <w:t>$</w:t>
        <w:tab/>
        <w:t>182</w:t>
      </w:r>
    </w:p>
    <w:p>
      <w:pPr>
        <w:spacing w:after="0"/>
        <w:jc w:val="left"/>
        <w:rPr>
          <w:sz w:val="20"/>
        </w:rPr>
        <w:sectPr>
          <w:type w:val="continuous"/>
          <w:pgSz w:w="11880" w:h="15480"/>
          <w:pgMar w:top="1260" w:bottom="280" w:left="1280" w:right="1260"/>
          <w:cols w:num="2" w:equalWidth="0">
            <w:col w:w="2161" w:space="355"/>
            <w:col w:w="6824"/>
          </w:cols>
        </w:sectPr>
      </w:pPr>
    </w:p>
    <w:p>
      <w:pPr>
        <w:tabs>
          <w:tab w:pos="2695" w:val="left" w:leader="none"/>
          <w:tab w:pos="5352" w:val="left" w:leader="none"/>
          <w:tab w:pos="6552" w:val="left" w:leader="none"/>
          <w:tab w:pos="7752" w:val="left" w:leader="none"/>
          <w:tab w:pos="8952" w:val="left" w:leader="none"/>
        </w:tabs>
        <w:spacing w:before="10"/>
        <w:ind w:left="380" w:right="0" w:firstLine="0"/>
        <w:jc w:val="left"/>
        <w:rPr>
          <w:sz w:val="20"/>
        </w:rPr>
      </w:pPr>
      <w:r>
        <w:rPr>
          <w:color w:val="231F20"/>
          <w:sz w:val="20"/>
        </w:rPr>
        <w:t>(gross)</w:t>
        <w:tab/>
        <w:t>Other assets</w:t>
        <w:tab/>
        <w:t>—</w:t>
        <w:tab/>
        <w:t>16</w:t>
        <w:tab/>
        <w:t>—</w:t>
        <w:tab/>
        <w:t>99</w:t>
      </w:r>
    </w:p>
    <w:p>
      <w:pPr>
        <w:spacing w:before="70" w:after="17"/>
        <w:ind w:left="180" w:right="0" w:firstLine="0"/>
        <w:jc w:val="left"/>
        <w:rPr>
          <w:sz w:val="20"/>
        </w:rPr>
      </w:pPr>
      <w:r>
        <w:rPr>
          <w:color w:val="231F20"/>
          <w:sz w:val="20"/>
        </w:rPr>
        <w:t>Fuel derivative contracts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28"/>
        <w:gridCol w:w="2112"/>
        <w:gridCol w:w="1080"/>
        <w:gridCol w:w="120"/>
        <w:gridCol w:w="1080"/>
        <w:gridCol w:w="120"/>
        <w:gridCol w:w="1080"/>
        <w:gridCol w:w="120"/>
        <w:gridCol w:w="1080"/>
      </w:tblGrid>
      <w:tr>
        <w:trPr>
          <w:trHeight w:val="240" w:hRule="exact"/>
        </w:trPr>
        <w:tc>
          <w:tcPr>
            <w:tcW w:w="2328" w:type="dxa"/>
          </w:tcPr>
          <w:p>
            <w:pPr>
              <w:pStyle w:val="TableParagraph"/>
              <w:spacing w:line="223" w:lineRule="exact" w:before="0"/>
              <w:ind w:left="280"/>
              <w:rPr>
                <w:sz w:val="20"/>
              </w:rPr>
            </w:pPr>
            <w:r>
              <w:rPr>
                <w:color w:val="231F20"/>
                <w:sz w:val="20"/>
              </w:rPr>
              <w:t>(gross)</w:t>
            </w:r>
          </w:p>
        </w:tc>
        <w:tc>
          <w:tcPr>
            <w:tcW w:w="2112" w:type="dxa"/>
          </w:tcPr>
          <w:p>
            <w:pPr>
              <w:pStyle w:val="TableParagraph"/>
              <w:spacing w:line="223" w:lineRule="exact" w:before="0"/>
              <w:ind w:left="267"/>
              <w:rPr>
                <w:sz w:val="20"/>
              </w:rPr>
            </w:pPr>
            <w:r>
              <w:rPr>
                <w:color w:val="231F20"/>
                <w:sz w:val="20"/>
              </w:rPr>
              <w:t>Accrued liabilities</w:t>
            </w:r>
          </w:p>
        </w:tc>
        <w:tc>
          <w:tcPr>
            <w:tcW w:w="1080" w:type="dxa"/>
          </w:tcPr>
          <w:p>
            <w:pPr>
              <w:pStyle w:val="TableParagraph"/>
              <w:spacing w:line="223" w:lineRule="exact" w:before="0"/>
              <w:ind w:right="64"/>
              <w:jc w:val="right"/>
              <w:rPr>
                <w:sz w:val="20"/>
              </w:rPr>
            </w:pPr>
            <w:r>
              <w:rPr>
                <w:color w:val="231F20"/>
                <w:sz w:val="20"/>
              </w:rPr>
              <w:t>1,190</w:t>
            </w:r>
          </w:p>
        </w:tc>
        <w:tc>
          <w:tcPr>
            <w:tcW w:w="120" w:type="dxa"/>
          </w:tcPr>
          <w:p>
            <w:pPr/>
          </w:p>
        </w:tc>
        <w:tc>
          <w:tcPr>
            <w:tcW w:w="1080" w:type="dxa"/>
          </w:tcPr>
          <w:p>
            <w:pPr>
              <w:pStyle w:val="TableParagraph"/>
              <w:spacing w:line="223" w:lineRule="exact" w:before="0"/>
              <w:ind w:right="64"/>
              <w:jc w:val="right"/>
              <w:rPr>
                <w:sz w:val="20"/>
              </w:rPr>
            </w:pPr>
            <w:r>
              <w:rPr>
                <w:color w:val="231F20"/>
                <w:sz w:val="20"/>
              </w:rPr>
              <w:t>9</w:t>
            </w:r>
          </w:p>
        </w:tc>
        <w:tc>
          <w:tcPr>
            <w:tcW w:w="120" w:type="dxa"/>
          </w:tcPr>
          <w:p>
            <w:pPr/>
          </w:p>
        </w:tc>
        <w:tc>
          <w:tcPr>
            <w:tcW w:w="1080" w:type="dxa"/>
          </w:tcPr>
          <w:p>
            <w:pPr>
              <w:pStyle w:val="TableParagraph"/>
              <w:spacing w:line="223" w:lineRule="exact" w:before="0"/>
              <w:ind w:right="64"/>
              <w:jc w:val="right"/>
              <w:rPr>
                <w:sz w:val="20"/>
              </w:rPr>
            </w:pPr>
            <w:r>
              <w:rPr>
                <w:color w:val="231F20"/>
                <w:sz w:val="20"/>
              </w:rPr>
              <w:t>1,432</w:t>
            </w:r>
          </w:p>
        </w:tc>
        <w:tc>
          <w:tcPr>
            <w:tcW w:w="120" w:type="dxa"/>
          </w:tcPr>
          <w:p>
            <w:pPr/>
          </w:p>
        </w:tc>
        <w:tc>
          <w:tcPr>
            <w:tcW w:w="1080" w:type="dxa"/>
          </w:tcPr>
          <w:p>
            <w:pPr>
              <w:pStyle w:val="TableParagraph"/>
              <w:spacing w:line="223" w:lineRule="exact" w:before="0"/>
              <w:ind w:right="64"/>
              <w:jc w:val="right"/>
              <w:rPr>
                <w:sz w:val="20"/>
              </w:rPr>
            </w:pPr>
            <w:r>
              <w:rPr>
                <w:color w:val="231F20"/>
                <w:sz w:val="20"/>
              </w:rPr>
              <w:t>21</w:t>
            </w:r>
          </w:p>
        </w:tc>
      </w:tr>
      <w:tr>
        <w:trPr>
          <w:trHeight w:val="292" w:hRule="exact"/>
        </w:trPr>
        <w:tc>
          <w:tcPr>
            <w:tcW w:w="2328" w:type="dxa"/>
            <w:shd w:val="clear" w:color="auto" w:fill="CCECFC"/>
          </w:tcPr>
          <w:p>
            <w:pPr>
              <w:pStyle w:val="TableParagraph"/>
              <w:ind w:left="80"/>
              <w:rPr>
                <w:sz w:val="20"/>
              </w:rPr>
            </w:pPr>
            <w:r>
              <w:rPr>
                <w:color w:val="231F20"/>
                <w:sz w:val="20"/>
              </w:rPr>
              <w:t>Fuel derivative contracts</w:t>
            </w:r>
          </w:p>
        </w:tc>
        <w:tc>
          <w:tcPr>
            <w:tcW w:w="2112" w:type="dxa"/>
            <w:shd w:val="clear" w:color="auto" w:fill="CCECFC"/>
          </w:tcPr>
          <w:p>
            <w:pPr>
              <w:pStyle w:val="TableParagraph"/>
              <w:ind w:left="267"/>
              <w:rPr>
                <w:sz w:val="20"/>
              </w:rPr>
            </w:pPr>
            <w:r>
              <w:rPr>
                <w:color w:val="231F20"/>
                <w:sz w:val="20"/>
              </w:rPr>
              <w:t>Other noncurrent</w:t>
            </w:r>
          </w:p>
        </w:tc>
        <w:tc>
          <w:tcPr>
            <w:tcW w:w="1080" w:type="dxa"/>
            <w:shd w:val="clear" w:color="auto" w:fill="CCECFC"/>
          </w:tcPr>
          <w:p>
            <w:pPr/>
          </w:p>
        </w:tc>
        <w:tc>
          <w:tcPr>
            <w:tcW w:w="120" w:type="dxa"/>
            <w:shd w:val="clear" w:color="auto" w:fill="CCECFC"/>
          </w:tcPr>
          <w:p>
            <w:pPr/>
          </w:p>
        </w:tc>
        <w:tc>
          <w:tcPr>
            <w:tcW w:w="1080" w:type="dxa"/>
            <w:shd w:val="clear" w:color="auto" w:fill="CCECFC"/>
          </w:tcPr>
          <w:p>
            <w:pPr/>
          </w:p>
        </w:tc>
        <w:tc>
          <w:tcPr>
            <w:tcW w:w="120" w:type="dxa"/>
            <w:shd w:val="clear" w:color="auto" w:fill="CCECFC"/>
          </w:tcPr>
          <w:p>
            <w:pPr/>
          </w:p>
        </w:tc>
        <w:tc>
          <w:tcPr>
            <w:tcW w:w="1080" w:type="dxa"/>
            <w:shd w:val="clear" w:color="auto" w:fill="CCECFC"/>
          </w:tcPr>
          <w:p>
            <w:pPr/>
          </w:p>
        </w:tc>
        <w:tc>
          <w:tcPr>
            <w:tcW w:w="120" w:type="dxa"/>
            <w:shd w:val="clear" w:color="auto" w:fill="CCECFC"/>
          </w:tcPr>
          <w:p>
            <w:pPr/>
          </w:p>
        </w:tc>
        <w:tc>
          <w:tcPr>
            <w:tcW w:w="1080" w:type="dxa"/>
            <w:shd w:val="clear" w:color="auto" w:fill="CCECFC"/>
          </w:tcPr>
          <w:p>
            <w:pPr/>
          </w:p>
        </w:tc>
      </w:tr>
      <w:tr>
        <w:trPr>
          <w:trHeight w:val="263" w:hRule="exact"/>
        </w:trPr>
        <w:tc>
          <w:tcPr>
            <w:tcW w:w="2328" w:type="dxa"/>
            <w:shd w:val="clear" w:color="auto" w:fill="CCECFC"/>
          </w:tcPr>
          <w:p>
            <w:pPr>
              <w:pStyle w:val="TableParagraph"/>
              <w:spacing w:before="1"/>
              <w:ind w:left="280"/>
              <w:rPr>
                <w:sz w:val="20"/>
              </w:rPr>
            </w:pPr>
            <w:r>
              <w:rPr>
                <w:color w:val="231F20"/>
                <w:sz w:val="20"/>
              </w:rPr>
              <w:t>(gross)</w:t>
            </w:r>
          </w:p>
        </w:tc>
        <w:tc>
          <w:tcPr>
            <w:tcW w:w="2112" w:type="dxa"/>
            <w:shd w:val="clear" w:color="auto" w:fill="CCECFC"/>
          </w:tcPr>
          <w:p>
            <w:pPr>
              <w:pStyle w:val="TableParagraph"/>
              <w:spacing w:before="1"/>
              <w:ind w:left="267"/>
              <w:rPr>
                <w:sz w:val="20"/>
              </w:rPr>
            </w:pPr>
            <w:r>
              <w:rPr>
                <w:color w:val="231F20"/>
                <w:sz w:val="20"/>
              </w:rPr>
              <w:t>liabilities</w:t>
            </w:r>
          </w:p>
        </w:tc>
        <w:tc>
          <w:tcPr>
            <w:tcW w:w="1080" w:type="dxa"/>
            <w:tcBorders>
              <w:bottom w:val="single" w:sz="4" w:space="0" w:color="231F20"/>
            </w:tcBorders>
            <w:shd w:val="clear" w:color="auto" w:fill="CCECFC"/>
          </w:tcPr>
          <w:p>
            <w:pPr>
              <w:pStyle w:val="TableParagraph"/>
              <w:spacing w:before="1"/>
              <w:ind w:right="64"/>
              <w:jc w:val="right"/>
              <w:rPr>
                <w:sz w:val="20"/>
              </w:rPr>
            </w:pPr>
            <w:r>
              <w:rPr>
                <w:color w:val="231F20"/>
                <w:sz w:val="20"/>
              </w:rPr>
              <w:t>157</w:t>
            </w:r>
          </w:p>
        </w:tc>
        <w:tc>
          <w:tcPr>
            <w:tcW w:w="120" w:type="dxa"/>
            <w:shd w:val="clear" w:color="auto" w:fill="CCECFC"/>
          </w:tcPr>
          <w:p>
            <w:pPr/>
          </w:p>
        </w:tc>
        <w:tc>
          <w:tcPr>
            <w:tcW w:w="1080" w:type="dxa"/>
            <w:tcBorders>
              <w:bottom w:val="single" w:sz="4" w:space="0" w:color="231F20"/>
            </w:tcBorders>
            <w:shd w:val="clear" w:color="auto" w:fill="CCECFC"/>
          </w:tcPr>
          <w:p>
            <w:pPr>
              <w:pStyle w:val="TableParagraph"/>
              <w:spacing w:before="1"/>
              <w:ind w:right="64"/>
              <w:jc w:val="right"/>
              <w:rPr>
                <w:sz w:val="20"/>
              </w:rPr>
            </w:pPr>
            <w:r>
              <w:rPr>
                <w:color w:val="231F20"/>
                <w:sz w:val="20"/>
              </w:rPr>
              <w:t>—</w:t>
            </w:r>
          </w:p>
        </w:tc>
        <w:tc>
          <w:tcPr>
            <w:tcW w:w="120" w:type="dxa"/>
            <w:shd w:val="clear" w:color="auto" w:fill="CCECFC"/>
          </w:tcPr>
          <w:p>
            <w:pPr/>
          </w:p>
        </w:tc>
        <w:tc>
          <w:tcPr>
            <w:tcW w:w="1080" w:type="dxa"/>
            <w:tcBorders>
              <w:bottom w:val="single" w:sz="4" w:space="0" w:color="231F20"/>
            </w:tcBorders>
            <w:shd w:val="clear" w:color="auto" w:fill="CCECFC"/>
          </w:tcPr>
          <w:p>
            <w:pPr>
              <w:pStyle w:val="TableParagraph"/>
              <w:spacing w:before="1"/>
              <w:ind w:right="64"/>
              <w:jc w:val="right"/>
              <w:rPr>
                <w:sz w:val="20"/>
              </w:rPr>
            </w:pPr>
            <w:r>
              <w:rPr>
                <w:color w:val="231F20"/>
                <w:sz w:val="20"/>
              </w:rPr>
              <w:t>273</w:t>
            </w:r>
          </w:p>
        </w:tc>
        <w:tc>
          <w:tcPr>
            <w:tcW w:w="120" w:type="dxa"/>
            <w:shd w:val="clear" w:color="auto" w:fill="CCECFC"/>
          </w:tcPr>
          <w:p>
            <w:pPr/>
          </w:p>
        </w:tc>
        <w:tc>
          <w:tcPr>
            <w:tcW w:w="1080" w:type="dxa"/>
            <w:tcBorders>
              <w:bottom w:val="single" w:sz="4" w:space="0" w:color="231F20"/>
            </w:tcBorders>
            <w:shd w:val="clear" w:color="auto" w:fill="CCECFC"/>
          </w:tcPr>
          <w:p>
            <w:pPr>
              <w:pStyle w:val="TableParagraph"/>
              <w:spacing w:before="1"/>
              <w:ind w:right="64"/>
              <w:jc w:val="right"/>
              <w:rPr>
                <w:sz w:val="20"/>
              </w:rPr>
            </w:pPr>
            <w:r>
              <w:rPr>
                <w:color w:val="231F20"/>
                <w:sz w:val="20"/>
              </w:rPr>
              <w:t>—</w:t>
            </w:r>
          </w:p>
        </w:tc>
      </w:tr>
      <w:tr>
        <w:trPr>
          <w:trHeight w:val="560" w:hRule="exact"/>
        </w:trPr>
        <w:tc>
          <w:tcPr>
            <w:tcW w:w="2328" w:type="dxa"/>
          </w:tcPr>
          <w:p>
            <w:pPr>
              <w:pStyle w:val="TableParagraph"/>
              <w:spacing w:line="249" w:lineRule="auto" w:before="73"/>
              <w:ind w:left="80" w:right="461"/>
              <w:rPr>
                <w:b/>
                <w:sz w:val="20"/>
              </w:rPr>
            </w:pPr>
            <w:r>
              <w:rPr>
                <w:b/>
                <w:color w:val="231F20"/>
                <w:sz w:val="20"/>
              </w:rPr>
              <w:t>Total derivatives not designated as hedges</w:t>
            </w:r>
          </w:p>
        </w:tc>
        <w:tc>
          <w:tcPr>
            <w:tcW w:w="2112" w:type="dxa"/>
          </w:tcPr>
          <w:p>
            <w:pPr/>
          </w:p>
        </w:tc>
        <w:tc>
          <w:tcPr>
            <w:tcW w:w="1080" w:type="dxa"/>
            <w:tcBorders>
              <w:top w:val="single" w:sz="4" w:space="0" w:color="231F20"/>
              <w:bottom w:val="single" w:sz="4" w:space="0" w:color="231F20"/>
            </w:tcBorders>
          </w:tcPr>
          <w:p>
            <w:pPr>
              <w:pStyle w:val="TableParagraph"/>
              <w:spacing w:before="5"/>
              <w:rPr>
                <w:sz w:val="25"/>
              </w:rPr>
            </w:pPr>
          </w:p>
          <w:p>
            <w:pPr>
              <w:pStyle w:val="TableParagraph"/>
              <w:tabs>
                <w:tab w:pos="562" w:val="left" w:leader="none"/>
              </w:tabs>
              <w:spacing w:before="1"/>
              <w:ind w:right="66"/>
              <w:jc w:val="right"/>
              <w:rPr>
                <w:sz w:val="20"/>
              </w:rPr>
            </w:pPr>
            <w:r>
              <w:rPr>
                <w:color w:val="231F20"/>
                <w:sz w:val="20"/>
              </w:rPr>
              <w:t>$</w:t>
              <w:tab/>
              <w:t>1,347</w:t>
            </w:r>
          </w:p>
        </w:tc>
        <w:tc>
          <w:tcPr>
            <w:tcW w:w="120" w:type="dxa"/>
          </w:tcPr>
          <w:p>
            <w:pPr/>
          </w:p>
        </w:tc>
        <w:tc>
          <w:tcPr>
            <w:tcW w:w="1080" w:type="dxa"/>
            <w:tcBorders>
              <w:top w:val="single" w:sz="4" w:space="0" w:color="231F20"/>
              <w:bottom w:val="single" w:sz="4" w:space="0" w:color="231F20"/>
            </w:tcBorders>
          </w:tcPr>
          <w:p>
            <w:pPr>
              <w:pStyle w:val="TableParagraph"/>
              <w:spacing w:before="5"/>
              <w:rPr>
                <w:sz w:val="25"/>
              </w:rPr>
            </w:pPr>
          </w:p>
          <w:p>
            <w:pPr>
              <w:pStyle w:val="TableParagraph"/>
              <w:tabs>
                <w:tab w:pos="712" w:val="left" w:leader="none"/>
              </w:tabs>
              <w:spacing w:before="1"/>
              <w:ind w:right="66"/>
              <w:jc w:val="right"/>
              <w:rPr>
                <w:sz w:val="20"/>
              </w:rPr>
            </w:pPr>
            <w:r>
              <w:rPr>
                <w:color w:val="231F20"/>
                <w:sz w:val="20"/>
              </w:rPr>
              <w:t>$</w:t>
              <w:tab/>
              <w:t>200</w:t>
            </w:r>
          </w:p>
        </w:tc>
        <w:tc>
          <w:tcPr>
            <w:tcW w:w="120" w:type="dxa"/>
          </w:tcPr>
          <w:p>
            <w:pPr/>
          </w:p>
        </w:tc>
        <w:tc>
          <w:tcPr>
            <w:tcW w:w="1080" w:type="dxa"/>
            <w:tcBorders>
              <w:top w:val="single" w:sz="4" w:space="0" w:color="231F20"/>
              <w:bottom w:val="single" w:sz="4" w:space="0" w:color="231F20"/>
            </w:tcBorders>
          </w:tcPr>
          <w:p>
            <w:pPr>
              <w:pStyle w:val="TableParagraph"/>
              <w:spacing w:before="5"/>
              <w:rPr>
                <w:sz w:val="25"/>
              </w:rPr>
            </w:pPr>
          </w:p>
          <w:p>
            <w:pPr>
              <w:pStyle w:val="TableParagraph"/>
              <w:tabs>
                <w:tab w:pos="562" w:val="left" w:leader="none"/>
              </w:tabs>
              <w:spacing w:before="1"/>
              <w:ind w:right="66"/>
              <w:jc w:val="right"/>
              <w:rPr>
                <w:sz w:val="20"/>
              </w:rPr>
            </w:pPr>
            <w:r>
              <w:rPr>
                <w:color w:val="231F20"/>
                <w:sz w:val="20"/>
              </w:rPr>
              <w:t>$</w:t>
              <w:tab/>
              <w:t>1,705</w:t>
            </w:r>
          </w:p>
        </w:tc>
        <w:tc>
          <w:tcPr>
            <w:tcW w:w="120" w:type="dxa"/>
          </w:tcPr>
          <w:p>
            <w:pPr/>
          </w:p>
        </w:tc>
        <w:tc>
          <w:tcPr>
            <w:tcW w:w="1080" w:type="dxa"/>
            <w:tcBorders>
              <w:top w:val="single" w:sz="4" w:space="0" w:color="231F20"/>
            </w:tcBorders>
          </w:tcPr>
          <w:p>
            <w:pPr>
              <w:pStyle w:val="TableParagraph"/>
              <w:spacing w:before="9"/>
              <w:rPr>
                <w:sz w:val="26"/>
              </w:rPr>
            </w:pPr>
          </w:p>
          <w:p>
            <w:pPr>
              <w:pStyle w:val="TableParagraph"/>
              <w:tabs>
                <w:tab w:pos="712" w:val="left" w:leader="none"/>
              </w:tabs>
              <w:spacing w:before="0"/>
              <w:ind w:right="66"/>
              <w:jc w:val="right"/>
              <w:rPr>
                <w:sz w:val="20"/>
              </w:rPr>
            </w:pPr>
            <w:r>
              <w:rPr>
                <w:color w:val="231F20"/>
                <w:sz w:val="20"/>
              </w:rPr>
              <w:t>$</w:t>
              <w:tab/>
              <w:t>302</w:t>
            </w:r>
          </w:p>
        </w:tc>
      </w:tr>
      <w:tr>
        <w:trPr>
          <w:trHeight w:val="360" w:hRule="exact"/>
        </w:trPr>
        <w:tc>
          <w:tcPr>
            <w:tcW w:w="2328" w:type="dxa"/>
            <w:shd w:val="clear" w:color="auto" w:fill="CCECFC"/>
          </w:tcPr>
          <w:p>
            <w:pPr>
              <w:pStyle w:val="TableParagraph"/>
              <w:spacing w:before="58"/>
              <w:ind w:left="80"/>
              <w:rPr>
                <w:b/>
                <w:sz w:val="20"/>
              </w:rPr>
            </w:pPr>
            <w:r>
              <w:rPr>
                <w:b/>
                <w:color w:val="231F20"/>
                <w:sz w:val="20"/>
              </w:rPr>
              <w:t>Total derivatives</w:t>
            </w:r>
          </w:p>
        </w:tc>
        <w:tc>
          <w:tcPr>
            <w:tcW w:w="2112"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562" w:val="left" w:leader="none"/>
              </w:tabs>
              <w:ind w:right="66"/>
              <w:jc w:val="right"/>
              <w:rPr>
                <w:sz w:val="20"/>
              </w:rPr>
            </w:pPr>
            <w:r>
              <w:rPr>
                <w:color w:val="231F20"/>
                <w:sz w:val="20"/>
              </w:rPr>
              <w:t>$</w:t>
              <w:tab/>
              <w:t>1,360</w:t>
            </w:r>
          </w:p>
        </w:tc>
        <w:tc>
          <w:tcPr>
            <w:tcW w:w="12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712" w:val="left" w:leader="none"/>
              </w:tabs>
              <w:ind w:right="66"/>
              <w:jc w:val="right"/>
              <w:rPr>
                <w:sz w:val="20"/>
              </w:rPr>
            </w:pPr>
            <w:r>
              <w:rPr>
                <w:color w:val="231F20"/>
                <w:sz w:val="20"/>
              </w:rPr>
              <w:t>$</w:t>
              <w:tab/>
              <w:t>503</w:t>
            </w:r>
          </w:p>
        </w:tc>
        <w:tc>
          <w:tcPr>
            <w:tcW w:w="120" w:type="dxa"/>
            <w:shd w:val="clear" w:color="auto" w:fill="CCECFC"/>
          </w:tcPr>
          <w:p>
            <w:pPr/>
          </w:p>
        </w:tc>
        <w:tc>
          <w:tcPr>
            <w:tcW w:w="1080" w:type="dxa"/>
            <w:tcBorders>
              <w:top w:val="single" w:sz="4" w:space="0" w:color="231F20"/>
              <w:bottom w:val="single" w:sz="4" w:space="0" w:color="231F20"/>
            </w:tcBorders>
            <w:shd w:val="clear" w:color="auto" w:fill="CCECFC"/>
          </w:tcPr>
          <w:p>
            <w:pPr>
              <w:pStyle w:val="TableParagraph"/>
              <w:tabs>
                <w:tab w:pos="562" w:val="left" w:leader="none"/>
              </w:tabs>
              <w:ind w:right="66"/>
              <w:jc w:val="right"/>
              <w:rPr>
                <w:sz w:val="20"/>
              </w:rPr>
            </w:pPr>
            <w:r>
              <w:rPr>
                <w:color w:val="231F20"/>
                <w:sz w:val="20"/>
              </w:rPr>
              <w:t>$</w:t>
              <w:tab/>
              <w:t>2,409</w:t>
            </w:r>
          </w:p>
        </w:tc>
        <w:tc>
          <w:tcPr>
            <w:tcW w:w="120" w:type="dxa"/>
            <w:shd w:val="clear" w:color="auto" w:fill="CCECFC"/>
          </w:tcPr>
          <w:p>
            <w:pPr/>
          </w:p>
        </w:tc>
        <w:tc>
          <w:tcPr>
            <w:tcW w:w="1080" w:type="dxa"/>
            <w:tcBorders>
              <w:bottom w:val="single" w:sz="4" w:space="0" w:color="231F20"/>
            </w:tcBorders>
            <w:shd w:val="clear" w:color="auto" w:fill="CCECFC"/>
          </w:tcPr>
          <w:p>
            <w:pPr>
              <w:pStyle w:val="TableParagraph"/>
              <w:tabs>
                <w:tab w:pos="712" w:val="left" w:leader="none"/>
              </w:tabs>
              <w:spacing w:before="58"/>
              <w:ind w:right="66"/>
              <w:jc w:val="right"/>
              <w:rPr>
                <w:sz w:val="20"/>
              </w:rPr>
            </w:pPr>
            <w:r>
              <w:rPr>
                <w:color w:val="231F20"/>
                <w:sz w:val="20"/>
              </w:rPr>
              <w:t>$</w:t>
              <w:tab/>
              <w:t>380</w:t>
            </w:r>
          </w:p>
        </w:tc>
      </w:tr>
    </w:tbl>
    <w:p>
      <w:pPr>
        <w:pStyle w:val="BodyText"/>
        <w:rPr>
          <w:sz w:val="25"/>
        </w:rPr>
      </w:pPr>
    </w:p>
    <w:p>
      <w:pPr>
        <w:spacing w:line="249" w:lineRule="auto" w:before="1"/>
        <w:ind w:left="100" w:right="313" w:firstLine="0"/>
        <w:jc w:val="left"/>
        <w:rPr>
          <w:sz w:val="20"/>
        </w:rPr>
      </w:pPr>
      <w:r>
        <w:rPr/>
        <w:pict>
          <v:group style="position:absolute;margin-left:69pt;margin-top:-33.114063pt;width:456.25pt;height:16.5pt;mso-position-horizontal-relative:page;mso-position-vertical-relative:paragraph;z-index:-405040" coordorigin="1380,-662" coordsize="9125,330">
            <v:rect style="position:absolute;left:1380;top:-652;width:9120;height:300" filled="true" fillcolor="#ccecfc" stroked="false">
              <v:fill type="solid"/>
            </v:rect>
            <v:line style="position:absolute" from="9420,-657" to="10500,-657" stroked="true" strokeweight=".5pt" strokecolor="#231f20">
              <v:stroke dashstyle="solid"/>
            </v:line>
            <v:line style="position:absolute" from="5820,-337" to="6900,-337" stroked="true" strokeweight=".5pt" strokecolor="#231f20">
              <v:stroke dashstyle="solid"/>
            </v:line>
            <v:line style="position:absolute" from="7020,-337" to="8100,-337" stroked="true" strokeweight=".5pt" strokecolor="#231f20">
              <v:stroke dashstyle="solid"/>
            </v:line>
            <v:line style="position:absolute" from="8220,-337" to="9300,-337" stroked="true" strokeweight=".5pt" strokecolor="#231f20">
              <v:stroke dashstyle="solid"/>
            </v:line>
            <v:line style="position:absolute" from="9420,-337" to="10500,-337" stroked="true" strokeweight=".5pt" strokecolor="#231f20">
              <v:stroke dashstyle="solid"/>
            </v:line>
            <w10:wrap type="none"/>
          </v:group>
        </w:pict>
      </w:r>
      <w:r>
        <w:rPr>
          <w:color w:val="231F20"/>
          <w:sz w:val="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jc w:val="left"/>
        <w:rPr>
          <w:sz w:val="20"/>
        </w:rPr>
        <w:sectPr>
          <w:type w:val="continuous"/>
          <w:pgSz w:w="11880" w:h="15480"/>
          <w:pgMar w:top="1260" w:bottom="280" w:left="1280" w:right="1260"/>
        </w:sectPr>
      </w:pPr>
    </w:p>
    <w:p>
      <w:pPr>
        <w:pStyle w:val="BodyText"/>
        <w:spacing w:line="247" w:lineRule="auto" w:before="74"/>
        <w:ind w:left="100" w:right="97" w:firstLine="720"/>
      </w:pPr>
      <w:r>
        <w:rPr>
          <w:color w:val="231F20"/>
        </w:rPr>
        <w:t>In addition, the Company also had the following amounts associated with fuel derivative instruments and hedging activities in its Consolidated Balance Sheet:</w:t>
      </w:r>
    </w:p>
    <w:p>
      <w:pPr>
        <w:pStyle w:val="BodyText"/>
        <w:spacing w:before="8"/>
        <w:rPr>
          <w:sz w:val="20"/>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79"/>
        <w:gridCol w:w="1847"/>
        <w:gridCol w:w="200"/>
        <w:gridCol w:w="1367"/>
        <w:gridCol w:w="200"/>
        <w:gridCol w:w="1367"/>
      </w:tblGrid>
      <w:tr>
        <w:trPr>
          <w:trHeight w:val="496" w:hRule="exact"/>
        </w:trPr>
        <w:tc>
          <w:tcPr>
            <w:tcW w:w="4079" w:type="dxa"/>
            <w:tcBorders>
              <w:bottom w:val="single" w:sz="8" w:space="0" w:color="231F20"/>
            </w:tcBorders>
          </w:tcPr>
          <w:p>
            <w:pPr>
              <w:pStyle w:val="TableParagraph"/>
              <w:spacing w:before="9"/>
              <w:rPr>
                <w:sz w:val="20"/>
              </w:rPr>
            </w:pPr>
          </w:p>
          <w:p>
            <w:pPr>
              <w:pStyle w:val="TableParagraph"/>
              <w:spacing w:before="0"/>
              <w:ind w:left="80"/>
              <w:rPr>
                <w:b/>
                <w:sz w:val="20"/>
              </w:rPr>
            </w:pPr>
            <w:r>
              <w:rPr>
                <w:b/>
                <w:color w:val="231F20"/>
                <w:sz w:val="20"/>
              </w:rPr>
              <w:t>(in millions)</w:t>
            </w:r>
          </w:p>
        </w:tc>
        <w:tc>
          <w:tcPr>
            <w:tcW w:w="1847" w:type="dxa"/>
            <w:tcBorders>
              <w:bottom w:val="single" w:sz="8" w:space="0" w:color="231F20"/>
            </w:tcBorders>
          </w:tcPr>
          <w:p>
            <w:pPr>
              <w:pStyle w:val="TableParagraph"/>
              <w:spacing w:line="249" w:lineRule="auto" w:before="0"/>
              <w:ind w:left="583" w:right="307" w:hanging="258"/>
              <w:rPr>
                <w:b/>
                <w:sz w:val="20"/>
              </w:rPr>
            </w:pPr>
            <w:r>
              <w:rPr>
                <w:b/>
                <w:color w:val="231F20"/>
                <w:sz w:val="20"/>
              </w:rPr>
              <w:t>Balance Sheet location</w:t>
            </w:r>
          </w:p>
        </w:tc>
        <w:tc>
          <w:tcPr>
            <w:tcW w:w="200" w:type="dxa"/>
          </w:tcPr>
          <w:p>
            <w:pPr/>
          </w:p>
        </w:tc>
        <w:tc>
          <w:tcPr>
            <w:tcW w:w="1367" w:type="dxa"/>
            <w:tcBorders>
              <w:bottom w:val="single" w:sz="8" w:space="0" w:color="231F20"/>
            </w:tcBorders>
          </w:tcPr>
          <w:p>
            <w:pPr>
              <w:pStyle w:val="TableParagraph"/>
              <w:spacing w:line="229" w:lineRule="exact" w:before="0"/>
              <w:ind w:left="80" w:right="80"/>
              <w:jc w:val="center"/>
              <w:rPr>
                <w:b/>
                <w:sz w:val="20"/>
              </w:rPr>
            </w:pPr>
            <w:r>
              <w:rPr>
                <w:b/>
                <w:color w:val="231F20"/>
                <w:sz w:val="20"/>
              </w:rPr>
              <w:t>December 31,</w:t>
            </w:r>
          </w:p>
          <w:p>
            <w:pPr>
              <w:pStyle w:val="TableParagraph"/>
              <w:spacing w:before="10"/>
              <w:ind w:left="80" w:right="80"/>
              <w:jc w:val="center"/>
              <w:rPr>
                <w:b/>
                <w:sz w:val="20"/>
              </w:rPr>
            </w:pPr>
            <w:r>
              <w:rPr>
                <w:b/>
                <w:color w:val="231F20"/>
                <w:sz w:val="20"/>
              </w:rPr>
              <w:t>2014</w:t>
            </w:r>
          </w:p>
        </w:tc>
        <w:tc>
          <w:tcPr>
            <w:tcW w:w="200" w:type="dxa"/>
          </w:tcPr>
          <w:p>
            <w:pPr/>
          </w:p>
        </w:tc>
        <w:tc>
          <w:tcPr>
            <w:tcW w:w="1367" w:type="dxa"/>
            <w:tcBorders>
              <w:bottom w:val="single" w:sz="8" w:space="0" w:color="231F20"/>
            </w:tcBorders>
          </w:tcPr>
          <w:p>
            <w:pPr>
              <w:pStyle w:val="TableParagraph"/>
              <w:spacing w:line="229" w:lineRule="exact" w:before="0"/>
              <w:ind w:left="80" w:right="80"/>
              <w:jc w:val="center"/>
              <w:rPr>
                <w:b/>
                <w:sz w:val="20"/>
              </w:rPr>
            </w:pPr>
            <w:r>
              <w:rPr>
                <w:b/>
                <w:color w:val="231F20"/>
                <w:sz w:val="20"/>
              </w:rPr>
              <w:t>December 31,</w:t>
            </w:r>
          </w:p>
          <w:p>
            <w:pPr>
              <w:pStyle w:val="TableParagraph"/>
              <w:spacing w:before="10"/>
              <w:ind w:left="80" w:right="80"/>
              <w:jc w:val="center"/>
              <w:rPr>
                <w:b/>
                <w:sz w:val="20"/>
              </w:rPr>
            </w:pPr>
            <w:r>
              <w:rPr>
                <w:b/>
                <w:color w:val="231F20"/>
                <w:sz w:val="20"/>
              </w:rPr>
              <w:t>2013</w:t>
            </w:r>
          </w:p>
        </w:tc>
      </w:tr>
      <w:tr>
        <w:trPr>
          <w:trHeight w:val="550" w:hRule="exact"/>
        </w:trPr>
        <w:tc>
          <w:tcPr>
            <w:tcW w:w="4079" w:type="dxa"/>
            <w:tcBorders>
              <w:top w:val="single" w:sz="8" w:space="0" w:color="231F20"/>
            </w:tcBorders>
          </w:tcPr>
          <w:p>
            <w:pPr>
              <w:pStyle w:val="TableParagraph"/>
              <w:spacing w:line="249" w:lineRule="auto"/>
              <w:ind w:left="280" w:right="497" w:hanging="200"/>
              <w:rPr>
                <w:sz w:val="20"/>
              </w:rPr>
            </w:pPr>
            <w:r>
              <w:rPr>
                <w:color w:val="231F20"/>
                <w:sz w:val="20"/>
              </w:rPr>
              <w:t>Cash collateral deposits provided to counterparties for fuel contracts - current</w:t>
            </w:r>
          </w:p>
        </w:tc>
        <w:tc>
          <w:tcPr>
            <w:tcW w:w="1847" w:type="dxa"/>
            <w:tcBorders>
              <w:top w:val="single" w:sz="8" w:space="0" w:color="231F20"/>
            </w:tcBorders>
          </w:tcPr>
          <w:p>
            <w:pPr>
              <w:pStyle w:val="TableParagraph"/>
              <w:spacing w:line="249" w:lineRule="auto"/>
              <w:ind w:right="-17"/>
              <w:rPr>
                <w:sz w:val="20"/>
              </w:rPr>
            </w:pPr>
            <w:r>
              <w:rPr>
                <w:color w:val="231F20"/>
                <w:sz w:val="20"/>
              </w:rPr>
              <w:t>Offset against Accrued liabilities</w:t>
            </w:r>
          </w:p>
        </w:tc>
        <w:tc>
          <w:tcPr>
            <w:tcW w:w="200" w:type="dxa"/>
          </w:tcPr>
          <w:p>
            <w:pPr/>
          </w:p>
        </w:tc>
        <w:tc>
          <w:tcPr>
            <w:tcW w:w="1367" w:type="dxa"/>
            <w:tcBorders>
              <w:top w:val="single" w:sz="8" w:space="0" w:color="231F20"/>
            </w:tcBorders>
          </w:tcPr>
          <w:p>
            <w:pPr>
              <w:pStyle w:val="TableParagraph"/>
              <w:spacing w:before="5"/>
              <w:rPr>
                <w:sz w:val="25"/>
              </w:rPr>
            </w:pPr>
          </w:p>
          <w:p>
            <w:pPr>
              <w:pStyle w:val="TableParagraph"/>
              <w:tabs>
                <w:tab w:pos="1099" w:val="left" w:leader="none"/>
              </w:tabs>
              <w:spacing w:before="1"/>
              <w:ind w:right="64"/>
              <w:jc w:val="right"/>
              <w:rPr>
                <w:sz w:val="20"/>
              </w:rPr>
            </w:pPr>
            <w:r>
              <w:rPr>
                <w:color w:val="231F20"/>
                <w:sz w:val="20"/>
              </w:rPr>
              <w:t>$</w:t>
              <w:tab/>
              <w:t>68</w:t>
            </w:r>
          </w:p>
        </w:tc>
        <w:tc>
          <w:tcPr>
            <w:tcW w:w="200" w:type="dxa"/>
          </w:tcPr>
          <w:p>
            <w:pPr/>
          </w:p>
        </w:tc>
        <w:tc>
          <w:tcPr>
            <w:tcW w:w="1367" w:type="dxa"/>
            <w:tcBorders>
              <w:top w:val="single" w:sz="8" w:space="0" w:color="231F20"/>
            </w:tcBorders>
          </w:tcPr>
          <w:p>
            <w:pPr>
              <w:pStyle w:val="TableParagraph"/>
              <w:spacing w:before="5"/>
              <w:rPr>
                <w:sz w:val="25"/>
              </w:rPr>
            </w:pPr>
          </w:p>
          <w:p>
            <w:pPr>
              <w:pStyle w:val="TableParagraph"/>
              <w:tabs>
                <w:tab w:pos="1099" w:val="left" w:leader="none"/>
              </w:tabs>
              <w:spacing w:before="1"/>
              <w:ind w:right="64"/>
              <w:jc w:val="right"/>
              <w:rPr>
                <w:sz w:val="20"/>
              </w:rPr>
            </w:pPr>
            <w:r>
              <w:rPr>
                <w:color w:val="231F20"/>
                <w:sz w:val="20"/>
              </w:rPr>
              <w:t>$</w:t>
              <w:tab/>
              <w:t>—</w:t>
            </w:r>
          </w:p>
        </w:tc>
      </w:tr>
      <w:tr>
        <w:trPr>
          <w:trHeight w:val="540" w:hRule="exact"/>
        </w:trPr>
        <w:tc>
          <w:tcPr>
            <w:tcW w:w="4079" w:type="dxa"/>
            <w:shd w:val="clear" w:color="auto" w:fill="CCECFC"/>
          </w:tcPr>
          <w:p>
            <w:pPr>
              <w:pStyle w:val="TableParagraph"/>
              <w:spacing w:line="249" w:lineRule="auto"/>
              <w:ind w:left="280" w:right="247" w:hanging="200"/>
              <w:rPr>
                <w:sz w:val="20"/>
              </w:rPr>
            </w:pPr>
            <w:r>
              <w:rPr>
                <w:color w:val="231F20"/>
                <w:sz w:val="20"/>
              </w:rPr>
              <w:t>Cash collateral deposits provided to counterparties for fuel contracts- noncurrent</w:t>
            </w:r>
          </w:p>
        </w:tc>
        <w:tc>
          <w:tcPr>
            <w:tcW w:w="1847" w:type="dxa"/>
            <w:shd w:val="clear" w:color="auto" w:fill="CCECFC"/>
          </w:tcPr>
          <w:p>
            <w:pPr>
              <w:pStyle w:val="TableParagraph"/>
              <w:spacing w:line="249" w:lineRule="auto"/>
              <w:ind w:right="166"/>
              <w:rPr>
                <w:sz w:val="20"/>
              </w:rPr>
            </w:pPr>
            <w:r>
              <w:rPr>
                <w:color w:val="231F20"/>
                <w:sz w:val="20"/>
              </w:rPr>
              <w:t>Offset against Other noncurrent liabilities</w:t>
            </w:r>
          </w:p>
        </w:tc>
        <w:tc>
          <w:tcPr>
            <w:tcW w:w="200" w:type="dxa"/>
            <w:shd w:val="clear" w:color="auto" w:fill="CCECFC"/>
          </w:tcPr>
          <w:p>
            <w:pPr/>
          </w:p>
        </w:tc>
        <w:tc>
          <w:tcPr>
            <w:tcW w:w="1367" w:type="dxa"/>
            <w:shd w:val="clear" w:color="auto" w:fill="CCECFC"/>
          </w:tcPr>
          <w:p>
            <w:pPr>
              <w:pStyle w:val="TableParagraph"/>
              <w:spacing w:before="5"/>
              <w:rPr>
                <w:sz w:val="25"/>
              </w:rPr>
            </w:pPr>
          </w:p>
          <w:p>
            <w:pPr>
              <w:pStyle w:val="TableParagraph"/>
              <w:spacing w:before="1"/>
              <w:ind w:right="64"/>
              <w:jc w:val="right"/>
              <w:rPr>
                <w:sz w:val="20"/>
              </w:rPr>
            </w:pPr>
            <w:r>
              <w:rPr>
                <w:color w:val="231F20"/>
                <w:sz w:val="20"/>
              </w:rPr>
              <w:t>198</w:t>
            </w:r>
          </w:p>
        </w:tc>
        <w:tc>
          <w:tcPr>
            <w:tcW w:w="200" w:type="dxa"/>
            <w:shd w:val="clear" w:color="auto" w:fill="CCECFC"/>
          </w:tcPr>
          <w:p>
            <w:pPr/>
          </w:p>
        </w:tc>
        <w:tc>
          <w:tcPr>
            <w:tcW w:w="1367" w:type="dxa"/>
            <w:shd w:val="clear" w:color="auto" w:fill="CCECFC"/>
          </w:tcPr>
          <w:p>
            <w:pPr>
              <w:pStyle w:val="TableParagraph"/>
              <w:spacing w:before="5"/>
              <w:rPr>
                <w:sz w:val="25"/>
              </w:rPr>
            </w:pPr>
          </w:p>
          <w:p>
            <w:pPr>
              <w:pStyle w:val="TableParagraph"/>
              <w:spacing w:before="1"/>
              <w:ind w:right="64"/>
              <w:jc w:val="right"/>
              <w:rPr>
                <w:sz w:val="20"/>
              </w:rPr>
            </w:pPr>
            <w:r>
              <w:rPr>
                <w:color w:val="231F20"/>
                <w:sz w:val="20"/>
              </w:rPr>
              <w:t>—</w:t>
            </w:r>
          </w:p>
        </w:tc>
      </w:tr>
    </w:tbl>
    <w:p>
      <w:pPr>
        <w:spacing w:after="0"/>
        <w:jc w:val="right"/>
        <w:rPr>
          <w:sz w:val="20"/>
        </w:rPr>
        <w:sectPr>
          <w:pgSz w:w="11880" w:h="15480"/>
          <w:pgMar w:header="0" w:footer="1240" w:top="1240" w:bottom="1420" w:left="1280" w:right="1260"/>
        </w:sectPr>
      </w:pPr>
    </w:p>
    <w:p>
      <w:pPr>
        <w:spacing w:line="249" w:lineRule="auto" w:before="53"/>
        <w:ind w:left="440" w:right="-10" w:hanging="200"/>
        <w:jc w:val="left"/>
        <w:rPr>
          <w:sz w:val="20"/>
        </w:rPr>
      </w:pPr>
      <w:r>
        <w:rPr>
          <w:color w:val="231F20"/>
          <w:sz w:val="20"/>
        </w:rPr>
        <w:t>Cash collateral deposits provided to counterparties for interest rate contracts - noncurrent</w:t>
      </w:r>
    </w:p>
    <w:p>
      <w:pPr>
        <w:pStyle w:val="BodyText"/>
        <w:spacing w:before="5"/>
        <w:rPr>
          <w:sz w:val="25"/>
        </w:rPr>
      </w:pPr>
      <w:r>
        <w:rPr/>
        <w:br w:type="column"/>
      </w:r>
      <w:r>
        <w:rPr>
          <w:sz w:val="25"/>
        </w:rPr>
      </w:r>
    </w:p>
    <w:p>
      <w:pPr>
        <w:spacing w:before="1"/>
        <w:ind w:left="240" w:right="0" w:firstLine="0"/>
        <w:jc w:val="left"/>
        <w:rPr>
          <w:sz w:val="20"/>
        </w:rPr>
      </w:pPr>
      <w:r>
        <w:rPr>
          <w:color w:val="231F20"/>
          <w:sz w:val="20"/>
        </w:rPr>
        <w:t>Offset against Other</w:t>
      </w:r>
    </w:p>
    <w:p>
      <w:pPr>
        <w:tabs>
          <w:tab w:pos="3386" w:val="left" w:leader="none"/>
          <w:tab w:pos="5153" w:val="right" w:leader="none"/>
        </w:tabs>
        <w:spacing w:before="10"/>
        <w:ind w:left="240" w:right="0" w:firstLine="0"/>
        <w:jc w:val="left"/>
        <w:rPr>
          <w:sz w:val="20"/>
        </w:rPr>
      </w:pPr>
      <w:r>
        <w:rPr>
          <w:color w:val="231F20"/>
          <w:sz w:val="20"/>
        </w:rPr>
        <w:t>noncurrent</w:t>
      </w:r>
      <w:r>
        <w:rPr>
          <w:color w:val="231F20"/>
          <w:spacing w:val="1"/>
          <w:sz w:val="20"/>
        </w:rPr>
        <w:t> </w:t>
      </w:r>
      <w:r>
        <w:rPr>
          <w:color w:val="231F20"/>
          <w:sz w:val="20"/>
        </w:rPr>
        <w:t>liabilities</w:t>
        <w:tab/>
        <w:t>—</w:t>
        <w:tab/>
        <w:t>32</w:t>
      </w:r>
    </w:p>
    <w:p>
      <w:pPr>
        <w:spacing w:after="0"/>
        <w:jc w:val="left"/>
        <w:rPr>
          <w:sz w:val="20"/>
        </w:rPr>
        <w:sectPr>
          <w:type w:val="continuous"/>
          <w:pgSz w:w="11880" w:h="15480"/>
          <w:pgMar w:top="1260" w:bottom="280" w:left="1280" w:right="1260"/>
          <w:cols w:num="2" w:equalWidth="0">
            <w:col w:w="3743" w:space="256"/>
            <w:col w:w="5341"/>
          </w:cols>
        </w:sectPr>
      </w:pPr>
    </w:p>
    <w:p>
      <w:pPr>
        <w:tabs>
          <w:tab w:pos="4238" w:val="left" w:leader="none"/>
          <w:tab w:pos="7385" w:val="left" w:leader="none"/>
          <w:tab w:pos="8952" w:val="left" w:leader="none"/>
        </w:tabs>
        <w:spacing w:before="61"/>
        <w:ind w:left="240" w:right="0" w:firstLine="0"/>
        <w:jc w:val="left"/>
        <w:rPr>
          <w:sz w:val="20"/>
        </w:rPr>
      </w:pPr>
      <w:r>
        <w:rPr/>
        <w:pict>
          <v:rect style="position:absolute;margin-left:72pt;margin-top:.385938pt;width:453pt;height:15pt;mso-position-horizontal-relative:page;mso-position-vertical-relative:paragraph;z-index:-404896" filled="true" fillcolor="#ccecfc" stroked="false">
            <v:fill type="solid"/>
            <w10:wrap type="none"/>
          </v:rect>
        </w:pict>
      </w:r>
      <w:r>
        <w:rPr>
          <w:color w:val="231F20"/>
          <w:sz w:val="20"/>
        </w:rPr>
        <w:t>Due to third parties for</w:t>
      </w:r>
      <w:r>
        <w:rPr>
          <w:color w:val="231F20"/>
          <w:spacing w:val="1"/>
          <w:sz w:val="20"/>
        </w:rPr>
        <w:t> </w:t>
      </w:r>
      <w:r>
        <w:rPr>
          <w:color w:val="231F20"/>
          <w:sz w:val="20"/>
        </w:rPr>
        <w:t>fuel</w:t>
      </w:r>
      <w:r>
        <w:rPr>
          <w:color w:val="231F20"/>
          <w:spacing w:val="1"/>
          <w:sz w:val="20"/>
        </w:rPr>
        <w:t> </w:t>
      </w:r>
      <w:r>
        <w:rPr>
          <w:color w:val="231F20"/>
          <w:sz w:val="20"/>
        </w:rPr>
        <w:t>contracts</w:t>
        <w:tab/>
        <w:t>Accrued liabilities</w:t>
        <w:tab/>
        <w:t>16</w:t>
        <w:tab/>
        <w:t>—</w:t>
      </w:r>
    </w:p>
    <w:p>
      <w:pPr>
        <w:spacing w:after="0"/>
        <w:jc w:val="left"/>
        <w:rPr>
          <w:sz w:val="20"/>
        </w:rPr>
        <w:sectPr>
          <w:type w:val="continuous"/>
          <w:pgSz w:w="11880" w:h="15480"/>
          <w:pgMar w:top="1260" w:bottom="280" w:left="1280" w:right="1260"/>
        </w:sectPr>
      </w:pPr>
    </w:p>
    <w:p>
      <w:pPr>
        <w:spacing w:line="249" w:lineRule="auto" w:before="70"/>
        <w:ind w:left="440" w:right="-13" w:hanging="200"/>
        <w:jc w:val="left"/>
        <w:rPr>
          <w:sz w:val="20"/>
        </w:rPr>
      </w:pPr>
      <w:r>
        <w:rPr>
          <w:color w:val="231F20"/>
          <w:sz w:val="20"/>
        </w:rPr>
        <w:t>Receivable from third parties for fuel contracts - current</w:t>
      </w:r>
    </w:p>
    <w:p>
      <w:pPr>
        <w:spacing w:before="70"/>
        <w:ind w:left="240" w:right="0" w:firstLine="0"/>
        <w:jc w:val="left"/>
        <w:rPr>
          <w:sz w:val="20"/>
        </w:rPr>
      </w:pPr>
      <w:r>
        <w:rPr/>
        <w:br w:type="column"/>
      </w:r>
      <w:r>
        <w:rPr>
          <w:color w:val="231F20"/>
          <w:sz w:val="20"/>
        </w:rPr>
        <w:t>Accounts and other</w:t>
      </w:r>
    </w:p>
    <w:p>
      <w:pPr>
        <w:tabs>
          <w:tab w:pos="3386" w:val="left" w:leader="none"/>
          <w:tab w:pos="4953" w:val="left" w:leader="none"/>
        </w:tabs>
        <w:spacing w:before="10"/>
        <w:ind w:left="240" w:right="0" w:firstLine="0"/>
        <w:jc w:val="left"/>
        <w:rPr>
          <w:sz w:val="20"/>
        </w:rPr>
      </w:pPr>
      <w:r>
        <w:rPr>
          <w:color w:val="231F20"/>
          <w:sz w:val="20"/>
        </w:rPr>
        <w:t>receivables</w:t>
        <w:tab/>
        <w:t>—</w:t>
        <w:tab/>
        <w:t>57</w:t>
      </w:r>
    </w:p>
    <w:p>
      <w:pPr>
        <w:spacing w:after="0"/>
        <w:jc w:val="left"/>
        <w:rPr>
          <w:sz w:val="20"/>
        </w:rPr>
        <w:sectPr>
          <w:type w:val="continuous"/>
          <w:pgSz w:w="11880" w:h="15480"/>
          <w:pgMar w:top="1260" w:bottom="280" w:left="1280" w:right="1260"/>
          <w:cols w:num="2" w:equalWidth="0">
            <w:col w:w="3230" w:space="769"/>
            <w:col w:w="5341"/>
          </w:cols>
        </w:sectPr>
      </w:pPr>
    </w:p>
    <w:p>
      <w:pPr>
        <w:pStyle w:val="BodyText"/>
        <w:spacing w:line="247" w:lineRule="auto" w:before="302"/>
        <w:ind w:left="100" w:right="117" w:firstLine="720"/>
        <w:jc w:val="both"/>
      </w:pPr>
      <w:r>
        <w:rPr>
          <w:color w:val="231F20"/>
        </w:rPr>
        <w:t>All of the Company’s fuel derivative instruments and interest rate swaps are subject to agreements that follow the netting guidance in the applicable accounting for derivatives and hedging. The types of derivative instruments the Company has determined are subject to netting requirements in the accompanying Consolidated Balance Sheet are those in which the Company pays or receives cash for transactions with the same counterparty and in the same currency via one net payment or receipt. For cash collateral held by the Company or provided to counterparties, the Company nets  such amounts against the fair value of the Company’s derivative portfolio by each counterparty. The Company has elected to utilize netting for both its fuel derivative instruments and interest rate swap agreements and also classifies such amounts as either current or noncurrent, based on the net fair value position with each of the Company’s counterparties in the Consolidated Balance Sheet.</w:t>
      </w:r>
    </w:p>
    <w:p>
      <w:pPr>
        <w:pStyle w:val="BodyText"/>
        <w:spacing w:line="247" w:lineRule="auto" w:before="239"/>
        <w:ind w:left="100" w:right="117" w:firstLine="720"/>
        <w:jc w:val="both"/>
      </w:pPr>
      <w:r>
        <w:rPr>
          <w:color w:val="231F20"/>
        </w:rPr>
        <w:t>The Company’s application of its netting policy associated with cash collateral differs depending on whether its derivative instruments are in a net asset position or a net liability position. If its fuel derivative instruments are in a net asset position with a counterparty, cash collateral amounts held are first netted against current outstanding derivative amounts associated with that counterparty until that balance is zero, and then any remainder is applied against the fair value of noncurrent outstanding derivative instruments. If the Company’s fuel derivative instruments are in a net liability position with the counterparty, cash collateral amounts provided are first netted against noncurrent outstanding derivative amounts associated with that counterparty until that balance is zero, and then  any remainder is applied against the fair value of current outstanding derivative</w:t>
      </w:r>
      <w:r>
        <w:rPr>
          <w:color w:val="231F20"/>
          <w:spacing w:val="-2"/>
        </w:rPr>
        <w:t> </w:t>
      </w:r>
      <w:r>
        <w:rPr>
          <w:color w:val="231F20"/>
        </w:rPr>
        <w:t>instruments.</w:t>
      </w:r>
    </w:p>
    <w:p>
      <w:pPr>
        <w:spacing w:after="0" w:line="247" w:lineRule="auto"/>
        <w:jc w:val="both"/>
        <w:sectPr>
          <w:type w:val="continuous"/>
          <w:pgSz w:w="11880" w:h="15480"/>
          <w:pgMar w:top="1260" w:bottom="280" w:left="1280" w:right="1260"/>
        </w:sectPr>
      </w:pPr>
    </w:p>
    <w:p>
      <w:pPr>
        <w:pStyle w:val="BodyText"/>
        <w:spacing w:line="247" w:lineRule="auto" w:before="74"/>
        <w:ind w:left="120" w:right="138" w:firstLine="720"/>
        <w:jc w:val="both"/>
      </w:pPr>
      <w:r>
        <w:rPr>
          <w:color w:val="231F20"/>
        </w:rPr>
        <w:t>The Company has the following recognized financial assets and financial liabilities resulting from those transactions that meet the scope of the disclosure requirements as necessitated by applicable accounting guidance for balance sheet offsetting:</w:t>
      </w:r>
    </w:p>
    <w:p>
      <w:pPr>
        <w:pStyle w:val="BodyText"/>
        <w:spacing w:before="1"/>
      </w:pPr>
    </w:p>
    <w:p>
      <w:pPr>
        <w:spacing w:before="1"/>
        <w:ind w:left="120" w:right="0" w:firstLine="0"/>
        <w:jc w:val="left"/>
        <w:rPr>
          <w:b/>
          <w:sz w:val="20"/>
        </w:rPr>
      </w:pPr>
      <w:r>
        <w:rPr>
          <w:b/>
          <w:color w:val="231F20"/>
          <w:sz w:val="20"/>
        </w:rPr>
        <w:t>Offsetting of derivative assets</w:t>
      </w:r>
    </w:p>
    <w:p>
      <w:pPr>
        <w:spacing w:before="12" w:after="17"/>
        <w:ind w:left="160" w:right="0" w:firstLine="0"/>
        <w:jc w:val="left"/>
        <w:rPr>
          <w:sz w:val="20"/>
        </w:rPr>
      </w:pPr>
      <w:r>
        <w:rPr>
          <w:color w:val="231F20"/>
          <w:sz w:val="20"/>
        </w:rPr>
        <w:t>(in millions)</w:t>
      </w:r>
    </w:p>
    <w:p>
      <w:pPr>
        <w:pStyle w:val="BodyText"/>
        <w:spacing w:line="20" w:lineRule="exact"/>
        <w:ind w:left="150"/>
        <w:rPr>
          <w:sz w:val="2"/>
        </w:rPr>
      </w:pPr>
      <w:r>
        <w:rPr>
          <w:sz w:val="2"/>
        </w:rPr>
        <w:pict>
          <v:group style="width:455pt;height:1pt;mso-position-horizontal-relative:char;mso-position-vertical-relative:line" coordorigin="0,0" coordsize="9100,20">
            <v:line style="position:absolute" from="10,10" to="9090,10" stroked="true" strokeweight="1pt" strokecolor="#231f20">
              <v:stroke dashstyle="solid"/>
            </v:line>
          </v:group>
        </w:pict>
      </w:r>
      <w:r>
        <w:rPr>
          <w:sz w:val="2"/>
        </w:rPr>
      </w:r>
    </w:p>
    <w:p>
      <w:pPr>
        <w:tabs>
          <w:tab w:pos="3802" w:val="left" w:leader="none"/>
          <w:tab w:pos="4624" w:val="left" w:leader="none"/>
          <w:tab w:pos="6264" w:val="left" w:leader="none"/>
          <w:tab w:pos="7382" w:val="left" w:leader="none"/>
          <w:tab w:pos="8264" w:val="left" w:leader="none"/>
        </w:tabs>
        <w:spacing w:before="50"/>
        <w:ind w:left="260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892" w:val="left" w:leader="none"/>
        </w:tabs>
        <w:spacing w:before="15"/>
        <w:ind w:left="3233" w:right="0" w:firstLine="0"/>
        <w:jc w:val="left"/>
        <w:rPr>
          <w:b/>
          <w:sz w:val="16"/>
        </w:rPr>
      </w:pPr>
      <w:r>
        <w:rPr/>
        <w:pict>
          <v:line style="position:absolute;mso-position-horizontal-relative:page;mso-position-vertical-relative:paragraph;z-index:5056" from="169pt,11.718738pt" to="345pt,11.718738pt" stroked="true" strokeweight="1pt" strokecolor="#231f20">
            <v:stroke dashstyle="solid"/>
            <w10:wrap type="none"/>
          </v:line>
        </w:pict>
      </w:r>
      <w:r>
        <w:rPr/>
        <w:pict>
          <v:line style="position:absolute;mso-position-horizontal-relative:page;mso-position-vertical-relative:paragraph;z-index:5080" from="355pt,11.718738pt" to="525pt,11.718738pt" stroked="true" strokeweight="1pt" strokecolor="#231f20">
            <v:stroke dashstyle="solid"/>
            <w10:wrap type="none"/>
          </v:line>
        </w:pict>
      </w:r>
      <w:r>
        <w:rPr>
          <w:b/>
          <w:color w:val="231F20"/>
          <w:sz w:val="16"/>
        </w:rPr>
        <w:t>December 31, 2014</w:t>
        <w:tab/>
        <w:t>December 31, 2013</w:t>
      </w:r>
    </w:p>
    <w:p>
      <w:pPr>
        <w:spacing w:after="0"/>
        <w:jc w:val="left"/>
        <w:rPr>
          <w:sz w:val="16"/>
        </w:rPr>
        <w:sectPr>
          <w:pgSz w:w="11880" w:h="15480"/>
          <w:pgMar w:header="0" w:footer="1240" w:top="1240" w:bottom="1420" w:left="1260" w:right="1240"/>
        </w:sectPr>
      </w:pPr>
    </w:p>
    <w:p>
      <w:pPr>
        <w:pStyle w:val="BodyText"/>
        <w:rPr>
          <w:b/>
          <w:sz w:val="18"/>
        </w:rPr>
      </w:pPr>
    </w:p>
    <w:p>
      <w:pPr>
        <w:pStyle w:val="BodyText"/>
        <w:rPr>
          <w:b/>
          <w:sz w:val="18"/>
        </w:rPr>
      </w:pPr>
    </w:p>
    <w:p>
      <w:pPr>
        <w:pStyle w:val="BodyText"/>
        <w:spacing w:before="5"/>
        <w:rPr>
          <w:b/>
          <w:sz w:val="24"/>
        </w:rPr>
      </w:pPr>
    </w:p>
    <w:p>
      <w:pPr>
        <w:spacing w:before="0"/>
        <w:ind w:left="160" w:right="0" w:firstLine="0"/>
        <w:jc w:val="left"/>
        <w:rPr>
          <w:b/>
          <w:sz w:val="16"/>
        </w:rPr>
      </w:pPr>
      <w:r>
        <w:rPr/>
        <w:pict>
          <v:group style="position:absolute;margin-left:68.5pt;margin-top:10.468738pt;width:457pt;height:38.4pt;mso-position-horizontal-relative:page;mso-position-vertical-relative:paragraph;z-index:-404824" coordorigin="1370,209" coordsize="9140,768">
            <v:rect style="position:absolute;left:1380;top:229;width:9120;height:748" filled="true" fillcolor="#ccecfc" stroked="false">
              <v:fill type="solid"/>
            </v:rect>
            <v:line style="position:absolute" from="1380,219" to="2332,219" stroked="true" strokeweight="1pt" strokecolor="#231f20">
              <v:stroke dashstyle="solid"/>
            </v:line>
            <v:line style="position:absolute" from="2452,219" to="3300,219" stroked="true" strokeweight="1pt" strokecolor="#231f20">
              <v:stroke dashstyle="solid"/>
            </v:line>
            <v:line style="position:absolute" from="3380,219" to="4500,219" stroked="true" strokeweight="1pt" strokecolor="#231f20">
              <v:stroke dashstyle="solid"/>
            </v:line>
            <v:line style="position:absolute" from="4620,219" to="5700,219" stroked="true" strokeweight="1pt" strokecolor="#231f20">
              <v:stroke dashstyle="solid"/>
            </v:line>
            <v:line style="position:absolute" from="5780,219" to="6900,219" stroked="true" strokeweight="1pt" strokecolor="#231f20">
              <v:stroke dashstyle="solid"/>
            </v:line>
            <v:line style="position:absolute" from="7100,219" to="8100,219" stroked="true" strokeweight="1pt" strokecolor="#231f20">
              <v:stroke dashstyle="solid"/>
            </v:line>
            <v:line style="position:absolute" from="8180,219" to="9300,219" stroked="true" strokeweight="1pt" strokecolor="#231f20">
              <v:stroke dashstyle="solid"/>
            </v:line>
            <v:line style="position:absolute" from="9460,219" to="10500,219" stroked="true" strokeweight="1pt" strokecolor="#231f20">
              <v:stroke dashstyle="solid"/>
            </v:line>
            <v:shape style="position:absolute;left:1370;top:209;width:9140;height:768" type="#_x0000_t202" filled="false" stroked="false">
              <v:textbox inset="0,0,0,0">
                <w:txbxContent>
                  <w:p>
                    <w:pPr>
                      <w:tabs>
                        <w:tab w:pos="1081" w:val="left" w:leader="none"/>
                      </w:tabs>
                      <w:spacing w:line="178" w:lineRule="exact" w:before="42"/>
                      <w:ind w:left="50" w:right="0" w:firstLine="0"/>
                      <w:jc w:val="left"/>
                      <w:rPr>
                        <w:sz w:val="16"/>
                      </w:rPr>
                    </w:pPr>
                    <w:r>
                      <w:rPr>
                        <w:color w:val="231F20"/>
                        <w:sz w:val="16"/>
                      </w:rPr>
                      <w:t>Fuel</w:t>
                      <w:tab/>
                      <w:t>Prepaid</w:t>
                    </w:r>
                  </w:p>
                  <w:p>
                    <w:pPr>
                      <w:tabs>
                        <w:tab w:pos="1081" w:val="left" w:leader="none"/>
                      </w:tabs>
                      <w:spacing w:line="172" w:lineRule="exact" w:before="0"/>
                      <w:ind w:left="50" w:right="0" w:firstLine="0"/>
                      <w:jc w:val="left"/>
                      <w:rPr>
                        <w:sz w:val="16"/>
                      </w:rPr>
                    </w:pPr>
                    <w:r>
                      <w:rPr>
                        <w:color w:val="231F20"/>
                        <w:sz w:val="16"/>
                      </w:rPr>
                      <w:t>derivative</w:t>
                      <w:tab/>
                      <w:t>expenses</w:t>
                    </w:r>
                    <w:r>
                      <w:rPr>
                        <w:color w:val="231F20"/>
                        <w:spacing w:val="-1"/>
                        <w:sz w:val="16"/>
                      </w:rPr>
                      <w:t> </w:t>
                    </w:r>
                    <w:r>
                      <w:rPr>
                        <w:color w:val="231F20"/>
                        <w:sz w:val="16"/>
                      </w:rPr>
                      <w:t>and</w:t>
                    </w:r>
                  </w:p>
                  <w:p>
                    <w:pPr>
                      <w:tabs>
                        <w:tab w:pos="1081" w:val="left" w:leader="none"/>
                      </w:tabs>
                      <w:spacing w:line="178" w:lineRule="exact" w:before="0"/>
                      <w:ind w:left="50" w:right="0" w:firstLine="0"/>
                      <w:jc w:val="left"/>
                      <w:rPr>
                        <w:sz w:val="16"/>
                      </w:rPr>
                    </w:pPr>
                    <w:r>
                      <w:rPr>
                        <w:color w:val="231F20"/>
                        <w:sz w:val="16"/>
                      </w:rPr>
                      <w:t>contracts</w:t>
                      <w:tab/>
                      <w:t>other</w:t>
                    </w:r>
                    <w:r>
                      <w:rPr>
                        <w:color w:val="231F20"/>
                        <w:spacing w:val="-1"/>
                        <w:sz w:val="16"/>
                      </w:rPr>
                      <w:t> </w:t>
                    </w:r>
                    <w:r>
                      <w:rPr>
                        <w:color w:val="231F20"/>
                        <w:sz w:val="16"/>
                      </w:rPr>
                      <w:t>current</w:t>
                    </w:r>
                  </w:p>
                </w:txbxContent>
              </v:textbox>
              <w10:wrap type="none"/>
            </v:shape>
            <w10:wrap type="none"/>
          </v:group>
        </w:pict>
      </w:r>
      <w:r>
        <w:rPr>
          <w:b/>
          <w:color w:val="231F20"/>
          <w:sz w:val="16"/>
        </w:rPr>
        <w:t>Description</w:t>
      </w:r>
    </w:p>
    <w:p>
      <w:pPr>
        <w:pStyle w:val="BodyText"/>
        <w:spacing w:before="8"/>
        <w:rPr>
          <w:b/>
          <w:sz w:val="25"/>
        </w:rPr>
      </w:pPr>
      <w:r>
        <w:rPr/>
        <w:br w:type="column"/>
      </w:r>
      <w:r>
        <w:rPr>
          <w:b/>
          <w:sz w:val="25"/>
        </w:rPr>
      </w:r>
    </w:p>
    <w:p>
      <w:pPr>
        <w:spacing w:line="261" w:lineRule="auto" w:before="0"/>
        <w:ind w:left="160" w:right="0" w:firstLine="0"/>
        <w:jc w:val="center"/>
        <w:rPr>
          <w:b/>
          <w:sz w:val="16"/>
        </w:rPr>
      </w:pPr>
      <w:r>
        <w:rPr>
          <w:b/>
          <w:color w:val="231F20"/>
          <w:sz w:val="16"/>
        </w:rPr>
        <w:t>Balance</w:t>
      </w:r>
      <w:r>
        <w:rPr>
          <w:b/>
          <w:color w:val="231F20"/>
          <w:w w:val="100"/>
          <w:sz w:val="16"/>
        </w:rPr>
        <w:t> </w:t>
      </w:r>
      <w:r>
        <w:rPr>
          <w:b/>
          <w:color w:val="231F20"/>
          <w:sz w:val="16"/>
        </w:rPr>
        <w:t>Sheet location</w:t>
      </w:r>
    </w:p>
    <w:p>
      <w:pPr>
        <w:spacing w:line="261" w:lineRule="auto" w:before="95"/>
        <w:ind w:left="159" w:right="0" w:firstLine="0"/>
        <w:jc w:val="center"/>
        <w:rPr>
          <w:b/>
          <w:sz w:val="16"/>
        </w:rPr>
      </w:pPr>
      <w:r>
        <w:rPr/>
        <w:br w:type="column"/>
      </w:r>
      <w:r>
        <w:rPr>
          <w:b/>
          <w:color w:val="231F20"/>
          <w:sz w:val="16"/>
        </w:rPr>
        <w:t>Gross amounts of recognized assets</w:t>
      </w:r>
    </w:p>
    <w:p>
      <w:pPr>
        <w:pStyle w:val="BodyText"/>
        <w:spacing w:before="8"/>
        <w:rPr>
          <w:b/>
          <w:sz w:val="25"/>
        </w:rPr>
      </w:pPr>
      <w:r>
        <w:rPr/>
        <w:br w:type="column"/>
      </w:r>
      <w:r>
        <w:rPr>
          <w:b/>
          <w:sz w:val="25"/>
        </w:rPr>
      </w:r>
    </w:p>
    <w:p>
      <w:pPr>
        <w:spacing w:line="261" w:lineRule="auto" w:before="0"/>
        <w:ind w:left="160"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95"/>
        <w:ind w:left="79" w:right="0" w:hanging="2"/>
        <w:jc w:val="center"/>
        <w:rPr>
          <w:b/>
          <w:sz w:val="16"/>
        </w:rPr>
      </w:pPr>
      <w:r>
        <w:rPr/>
        <w:br w:type="column"/>
      </w:r>
      <w:r>
        <w:rPr>
          <w:b/>
          <w:color w:val="231F20"/>
          <w:sz w:val="16"/>
        </w:rPr>
        <w:t>Net amounts of assets</w:t>
      </w:r>
      <w:r>
        <w:rPr>
          <w:b/>
          <w:color w:val="231F20"/>
          <w:spacing w:val="-3"/>
          <w:sz w:val="16"/>
        </w:rPr>
        <w:t> </w:t>
      </w:r>
      <w:r>
        <w:rPr>
          <w:b/>
          <w:color w:val="231F20"/>
          <w:sz w:val="16"/>
        </w:rPr>
        <w:t>presented in the Balance Sheet</w:t>
      </w:r>
    </w:p>
    <w:p>
      <w:pPr>
        <w:spacing w:line="261" w:lineRule="auto" w:before="95"/>
        <w:ind w:left="159" w:right="0" w:firstLine="0"/>
        <w:jc w:val="center"/>
        <w:rPr>
          <w:b/>
          <w:sz w:val="16"/>
        </w:rPr>
      </w:pPr>
      <w:r>
        <w:rPr/>
        <w:br w:type="column"/>
      </w:r>
      <w:r>
        <w:rPr>
          <w:b/>
          <w:color w:val="231F20"/>
          <w:sz w:val="16"/>
        </w:rPr>
        <w:t>Gross amounts of recognized assets</w:t>
      </w:r>
    </w:p>
    <w:p>
      <w:pPr>
        <w:pStyle w:val="BodyText"/>
        <w:spacing w:before="8"/>
        <w:rPr>
          <w:b/>
          <w:sz w:val="25"/>
        </w:rPr>
      </w:pPr>
      <w:r>
        <w:rPr/>
        <w:br w:type="column"/>
      </w:r>
      <w:r>
        <w:rPr>
          <w:b/>
          <w:sz w:val="25"/>
        </w:rPr>
      </w:r>
    </w:p>
    <w:p>
      <w:pPr>
        <w:spacing w:line="261" w:lineRule="auto" w:before="0"/>
        <w:ind w:left="159"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261" w:lineRule="auto" w:before="95"/>
        <w:ind w:left="139" w:right="109" w:hanging="2"/>
        <w:jc w:val="center"/>
        <w:rPr>
          <w:b/>
          <w:sz w:val="16"/>
        </w:rPr>
      </w:pPr>
      <w:r>
        <w:rPr/>
        <w:br w:type="column"/>
      </w:r>
      <w:r>
        <w:rPr>
          <w:b/>
          <w:color w:val="231F20"/>
          <w:sz w:val="16"/>
        </w:rPr>
        <w:t>Net amounts of assets presented in the Balance Sheet</w:t>
      </w:r>
    </w:p>
    <w:p>
      <w:pPr>
        <w:spacing w:after="0" w:line="261" w:lineRule="auto"/>
        <w:jc w:val="center"/>
        <w:rPr>
          <w:sz w:val="16"/>
        </w:rPr>
        <w:sectPr>
          <w:type w:val="continuous"/>
          <w:pgSz w:w="11880" w:h="15480"/>
          <w:pgMar w:top="1260" w:bottom="280" w:left="1260" w:right="1240"/>
          <w:cols w:num="8" w:equalWidth="0">
            <w:col w:w="952" w:space="233"/>
            <w:col w:w="703" w:space="252"/>
            <w:col w:w="920" w:space="167"/>
            <w:col w:w="1186" w:space="40"/>
            <w:col w:w="1176" w:space="171"/>
            <w:col w:w="920" w:space="87"/>
            <w:col w:w="1186" w:space="40"/>
            <w:col w:w="1347"/>
          </w:cols>
        </w:sectPr>
      </w:pPr>
    </w:p>
    <w:p>
      <w:pPr>
        <w:pStyle w:val="BodyText"/>
        <w:rPr>
          <w:b/>
          <w:sz w:val="20"/>
        </w:rPr>
      </w:pPr>
    </w:p>
    <w:p>
      <w:pPr>
        <w:pStyle w:val="BodyText"/>
        <w:spacing w:before="9"/>
        <w:rPr>
          <w:b/>
          <w:sz w:val="29"/>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20"/>
        <w:gridCol w:w="1113"/>
        <w:gridCol w:w="1267"/>
        <w:gridCol w:w="1120"/>
      </w:tblGrid>
      <w:tr>
        <w:trPr>
          <w:trHeight w:val="780" w:hRule="exact"/>
        </w:trPr>
        <w:tc>
          <w:tcPr>
            <w:tcW w:w="5620" w:type="dxa"/>
          </w:tcPr>
          <w:p>
            <w:pPr>
              <w:pStyle w:val="TableParagraph"/>
              <w:tabs>
                <w:tab w:pos="1999" w:val="left" w:leader="none"/>
                <w:tab w:pos="2906" w:val="left" w:leader="none"/>
                <w:tab w:pos="4106" w:val="left" w:leader="none"/>
                <w:tab w:pos="5119" w:val="left" w:leader="none"/>
              </w:tabs>
              <w:spacing w:line="178" w:lineRule="exact" w:before="0"/>
              <w:ind w:left="1071"/>
              <w:rPr>
                <w:sz w:val="16"/>
              </w:rPr>
            </w:pPr>
            <w:r>
              <w:rPr>
                <w:color w:val="231F20"/>
                <w:sz w:val="16"/>
              </w:rPr>
              <w:t>assets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p>
          <w:p>
            <w:pPr>
              <w:pStyle w:val="TableParagraph"/>
              <w:spacing w:line="172" w:lineRule="exact" w:before="59"/>
              <w:ind w:left="40" w:right="4920"/>
              <w:rPr>
                <w:sz w:val="16"/>
              </w:rPr>
            </w:pPr>
            <w:r>
              <w:rPr>
                <w:color w:val="231F20"/>
                <w:sz w:val="16"/>
              </w:rPr>
              <w:t>Fuel derivative</w:t>
            </w:r>
          </w:p>
          <w:p>
            <w:pPr>
              <w:pStyle w:val="TableParagraph"/>
              <w:tabs>
                <w:tab w:pos="1071" w:val="left" w:leader="none"/>
                <w:tab w:pos="2906" w:val="left" w:leader="none"/>
                <w:tab w:pos="4106" w:val="left" w:leader="none"/>
                <w:tab w:pos="5129" w:val="left" w:leader="none"/>
              </w:tabs>
              <w:spacing w:line="172" w:lineRule="exact" w:before="0"/>
              <w:ind w:left="40"/>
              <w:rPr>
                <w:sz w:val="16"/>
              </w:rPr>
            </w:pPr>
            <w:r>
              <w:rPr>
                <w:color w:val="231F20"/>
                <w:sz w:val="16"/>
              </w:rPr>
              <w:t>contracts</w:t>
              <w:tab/>
              <w:t>Other</w:t>
            </w:r>
            <w:r>
              <w:rPr>
                <w:color w:val="231F20"/>
                <w:spacing w:val="-1"/>
                <w:sz w:val="16"/>
              </w:rPr>
              <w:t> </w:t>
            </w:r>
            <w:r>
              <w:rPr>
                <w:color w:val="231F20"/>
                <w:sz w:val="16"/>
              </w:rPr>
              <w:t>assets  </w:t>
            </w:r>
            <w:r>
              <w:rPr>
                <w:color w:val="231F20"/>
                <w:spacing w:val="30"/>
                <w:sz w:val="16"/>
              </w:rPr>
              <w:t> </w:t>
            </w:r>
            <w:r>
              <w:rPr>
                <w:color w:val="231F20"/>
                <w:sz w:val="16"/>
              </w:rPr>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p>
        </w:tc>
        <w:tc>
          <w:tcPr>
            <w:tcW w:w="1113" w:type="dxa"/>
          </w:tcPr>
          <w:p>
            <w:pPr>
              <w:pStyle w:val="TableParagraph"/>
              <w:tabs>
                <w:tab w:pos="806" w:val="left" w:leader="none"/>
              </w:tabs>
              <w:spacing w:line="178" w:lineRule="exact" w:before="0"/>
              <w:ind w:left="99"/>
              <w:rPr>
                <w:sz w:val="16"/>
              </w:rPr>
            </w:pPr>
            <w:r>
              <w:rPr>
                <w:color w:val="231F20"/>
                <w:sz w:val="16"/>
              </w:rPr>
              <w:t>$</w:t>
              <w:tab/>
              <w:t>249</w:t>
            </w:r>
          </w:p>
          <w:p>
            <w:pPr>
              <w:pStyle w:val="TableParagraph"/>
              <w:spacing w:before="0"/>
              <w:rPr>
                <w:b/>
                <w:sz w:val="18"/>
              </w:rPr>
            </w:pPr>
          </w:p>
          <w:p>
            <w:pPr>
              <w:pStyle w:val="TableParagraph"/>
              <w:spacing w:before="1"/>
              <w:rPr>
                <w:b/>
                <w:sz w:val="16"/>
              </w:rPr>
            </w:pPr>
          </w:p>
          <w:p>
            <w:pPr>
              <w:pStyle w:val="TableParagraph"/>
              <w:tabs>
                <w:tab w:pos="806" w:val="left" w:leader="none"/>
              </w:tabs>
              <w:spacing w:before="0"/>
              <w:ind w:left="99"/>
              <w:rPr>
                <w:sz w:val="16"/>
              </w:rPr>
            </w:pPr>
            <w:r>
              <w:rPr>
                <w:color w:val="231F20"/>
                <w:sz w:val="16"/>
              </w:rPr>
              <w:t>$</w:t>
              <w:tab/>
              <w:t>225</w:t>
            </w:r>
          </w:p>
        </w:tc>
        <w:tc>
          <w:tcPr>
            <w:tcW w:w="1267" w:type="dxa"/>
          </w:tcPr>
          <w:p>
            <w:pPr>
              <w:pStyle w:val="TableParagraph"/>
              <w:tabs>
                <w:tab w:pos="840" w:val="left" w:leader="none"/>
              </w:tabs>
              <w:spacing w:line="178" w:lineRule="exact" w:before="0"/>
              <w:ind w:left="66"/>
              <w:rPr>
                <w:sz w:val="16"/>
              </w:rPr>
            </w:pPr>
            <w:r>
              <w:rPr>
                <w:color w:val="231F20"/>
                <w:sz w:val="16"/>
              </w:rPr>
              <w:t>$</w:t>
              <w:tab/>
              <w:t>(182)</w:t>
            </w:r>
          </w:p>
          <w:p>
            <w:pPr>
              <w:pStyle w:val="TableParagraph"/>
              <w:spacing w:before="0"/>
              <w:rPr>
                <w:b/>
                <w:sz w:val="18"/>
              </w:rPr>
            </w:pPr>
          </w:p>
          <w:p>
            <w:pPr>
              <w:pStyle w:val="TableParagraph"/>
              <w:spacing w:before="1"/>
              <w:rPr>
                <w:b/>
                <w:sz w:val="16"/>
              </w:rPr>
            </w:pPr>
          </w:p>
          <w:p>
            <w:pPr>
              <w:pStyle w:val="TableParagraph"/>
              <w:tabs>
                <w:tab w:pos="840" w:val="left" w:leader="none"/>
              </w:tabs>
              <w:spacing w:before="0"/>
              <w:ind w:left="66"/>
              <w:rPr>
                <w:sz w:val="16"/>
              </w:rPr>
            </w:pPr>
            <w:r>
              <w:rPr>
                <w:color w:val="231F20"/>
                <w:sz w:val="16"/>
              </w:rPr>
              <w:t>$</w:t>
              <w:tab/>
              <w:t>(100)</w:t>
            </w:r>
          </w:p>
        </w:tc>
        <w:tc>
          <w:tcPr>
            <w:tcW w:w="1120" w:type="dxa"/>
          </w:tcPr>
          <w:p>
            <w:pPr>
              <w:pStyle w:val="TableParagraph"/>
              <w:tabs>
                <w:tab w:pos="666" w:val="left" w:leader="none"/>
              </w:tabs>
              <w:spacing w:line="178" w:lineRule="exact" w:before="0"/>
              <w:ind w:left="79"/>
              <w:rPr>
                <w:sz w:val="16"/>
              </w:rPr>
            </w:pPr>
            <w:r>
              <w:rPr>
                <w:color w:val="231F20"/>
                <w:sz w:val="16"/>
              </w:rPr>
              <w:t>$</w:t>
              <w:tab/>
              <w:t>67</w:t>
            </w:r>
          </w:p>
          <w:p>
            <w:pPr>
              <w:pStyle w:val="TableParagraph"/>
              <w:spacing w:before="0"/>
              <w:rPr>
                <w:b/>
                <w:sz w:val="18"/>
              </w:rPr>
            </w:pPr>
          </w:p>
          <w:p>
            <w:pPr>
              <w:pStyle w:val="TableParagraph"/>
              <w:spacing w:before="1"/>
              <w:rPr>
                <w:b/>
                <w:sz w:val="16"/>
              </w:rPr>
            </w:pPr>
          </w:p>
          <w:p>
            <w:pPr>
              <w:pStyle w:val="TableParagraph"/>
              <w:tabs>
                <w:tab w:pos="569" w:val="left" w:leader="none"/>
              </w:tabs>
              <w:spacing w:before="0"/>
              <w:ind w:left="79"/>
              <w:rPr>
                <w:sz w:val="16"/>
              </w:rPr>
            </w:pPr>
            <w:r>
              <w:rPr>
                <w:color w:val="231F20"/>
                <w:sz w:val="16"/>
              </w:rPr>
              <w:t>$</w:t>
              <w:tab/>
              <w:t>125</w:t>
            </w:r>
            <w:r>
              <w:rPr>
                <w:color w:val="231F20"/>
                <w:spacing w:val="13"/>
                <w:sz w:val="16"/>
              </w:rPr>
              <w:t> </w:t>
            </w:r>
            <w:r>
              <w:rPr>
                <w:color w:val="231F20"/>
                <w:sz w:val="16"/>
              </w:rPr>
              <w:t>(a)</w:t>
            </w:r>
          </w:p>
        </w:tc>
      </w:tr>
      <w:tr>
        <w:trPr>
          <w:trHeight w:val="576" w:hRule="exact"/>
        </w:trPr>
        <w:tc>
          <w:tcPr>
            <w:tcW w:w="5620" w:type="dxa"/>
            <w:shd w:val="clear" w:color="auto" w:fill="CCECFC"/>
          </w:tcPr>
          <w:p>
            <w:pPr>
              <w:pStyle w:val="TableParagraph"/>
              <w:spacing w:line="178" w:lineRule="exact" w:before="22"/>
              <w:ind w:left="40"/>
              <w:rPr>
                <w:sz w:val="16"/>
              </w:rPr>
            </w:pPr>
            <w:r>
              <w:rPr>
                <w:color w:val="231F20"/>
                <w:sz w:val="16"/>
              </w:rPr>
              <w:t>Fuel</w:t>
            </w:r>
          </w:p>
          <w:p>
            <w:pPr>
              <w:pStyle w:val="TableParagraph"/>
              <w:tabs>
                <w:tab w:pos="1071" w:val="left" w:leader="none"/>
              </w:tabs>
              <w:spacing w:line="172" w:lineRule="exact" w:before="0"/>
              <w:ind w:left="40"/>
              <w:rPr>
                <w:sz w:val="16"/>
              </w:rPr>
            </w:pPr>
            <w:r>
              <w:rPr>
                <w:color w:val="231F20"/>
                <w:sz w:val="16"/>
              </w:rPr>
              <w:t>derivative</w:t>
              <w:tab/>
              <w:t>Accrued</w:t>
            </w:r>
          </w:p>
          <w:p>
            <w:pPr>
              <w:pStyle w:val="TableParagraph"/>
              <w:tabs>
                <w:tab w:pos="1071" w:val="left" w:leader="none"/>
                <w:tab w:pos="1999" w:val="left" w:leader="none"/>
                <w:tab w:pos="2706" w:val="left" w:leader="none"/>
                <w:tab w:pos="3853" w:val="left" w:leader="none"/>
                <w:tab w:pos="5129" w:val="left" w:leader="none"/>
              </w:tabs>
              <w:spacing w:line="178" w:lineRule="exact" w:before="0"/>
              <w:ind w:left="40"/>
              <w:rPr>
                <w:sz w:val="16"/>
              </w:rPr>
            </w:pPr>
            <w:r>
              <w:rPr>
                <w:color w:val="231F20"/>
                <w:sz w:val="16"/>
              </w:rPr>
              <w:t>contracts</w:t>
              <w:tab/>
              <w:t>liabilities</w:t>
              <w:tab/>
              <w:t>$</w:t>
              <w:tab/>
              <w:t>1,258   </w:t>
            </w:r>
            <w:r>
              <w:rPr>
                <w:color w:val="231F20"/>
                <w:spacing w:val="13"/>
                <w:sz w:val="16"/>
              </w:rPr>
              <w:t> </w:t>
            </w:r>
            <w:r>
              <w:rPr>
                <w:color w:val="231F20"/>
                <w:sz w:val="16"/>
              </w:rPr>
              <w:t>$</w:t>
              <w:tab/>
              <w:t>(1,258)</w:t>
            </w:r>
            <w:r>
              <w:rPr>
                <w:color w:val="231F20"/>
                <w:spacing w:val="39"/>
                <w:sz w:val="16"/>
              </w:rPr>
              <w:t> </w:t>
            </w:r>
            <w:r>
              <w:rPr>
                <w:color w:val="231F20"/>
                <w:sz w:val="16"/>
              </w:rPr>
              <w:t>$</w:t>
              <w:tab/>
              <w:t>—</w:t>
            </w:r>
            <w:r>
              <w:rPr>
                <w:color w:val="231F20"/>
                <w:spacing w:val="13"/>
                <w:sz w:val="16"/>
              </w:rPr>
              <w:t> </w:t>
            </w:r>
            <w:r>
              <w:rPr>
                <w:color w:val="231F20"/>
                <w:sz w:val="16"/>
              </w:rPr>
              <w:t>(a)</w:t>
            </w:r>
          </w:p>
        </w:tc>
        <w:tc>
          <w:tcPr>
            <w:tcW w:w="1113" w:type="dxa"/>
            <w:shd w:val="clear" w:color="auto" w:fill="CCECFC"/>
          </w:tcPr>
          <w:p>
            <w:pPr>
              <w:pStyle w:val="TableParagraph"/>
              <w:spacing w:before="0"/>
              <w:rPr>
                <w:b/>
                <w:sz w:val="18"/>
              </w:rPr>
            </w:pPr>
          </w:p>
          <w:p>
            <w:pPr>
              <w:pStyle w:val="TableParagraph"/>
              <w:tabs>
                <w:tab w:pos="866" w:val="left" w:leader="none"/>
              </w:tabs>
              <w:spacing w:before="159"/>
              <w:ind w:right="64"/>
              <w:jc w:val="right"/>
              <w:rPr>
                <w:sz w:val="16"/>
              </w:rPr>
            </w:pPr>
            <w:r>
              <w:rPr>
                <w:color w:val="231F20"/>
                <w:sz w:val="16"/>
              </w:rPr>
              <w:t>$</w:t>
              <w:tab/>
              <w:t>9</w:t>
            </w:r>
          </w:p>
        </w:tc>
        <w:tc>
          <w:tcPr>
            <w:tcW w:w="1267" w:type="dxa"/>
            <w:shd w:val="clear" w:color="auto" w:fill="CCECFC"/>
          </w:tcPr>
          <w:p>
            <w:pPr>
              <w:pStyle w:val="TableParagraph"/>
              <w:spacing w:before="0"/>
              <w:rPr>
                <w:b/>
                <w:sz w:val="18"/>
              </w:rPr>
            </w:pPr>
          </w:p>
          <w:p>
            <w:pPr>
              <w:pStyle w:val="TableParagraph"/>
              <w:tabs>
                <w:tab w:pos="933" w:val="left" w:leader="none"/>
              </w:tabs>
              <w:spacing w:before="159"/>
              <w:ind w:right="11"/>
              <w:jc w:val="center"/>
              <w:rPr>
                <w:sz w:val="16"/>
              </w:rPr>
            </w:pPr>
            <w:r>
              <w:rPr>
                <w:color w:val="231F20"/>
                <w:sz w:val="16"/>
              </w:rPr>
              <w:t>$</w:t>
              <w:tab/>
              <w:t>(9)</w:t>
            </w:r>
          </w:p>
        </w:tc>
        <w:tc>
          <w:tcPr>
            <w:tcW w:w="1120" w:type="dxa"/>
            <w:shd w:val="clear" w:color="auto" w:fill="CCECFC"/>
          </w:tcPr>
          <w:p>
            <w:pPr>
              <w:pStyle w:val="TableParagraph"/>
              <w:spacing w:before="0"/>
              <w:rPr>
                <w:b/>
                <w:sz w:val="18"/>
              </w:rPr>
            </w:pPr>
          </w:p>
          <w:p>
            <w:pPr>
              <w:pStyle w:val="TableParagraph"/>
              <w:tabs>
                <w:tab w:pos="570" w:val="left" w:leader="none"/>
              </w:tabs>
              <w:spacing w:before="159"/>
              <w:jc w:val="center"/>
              <w:rPr>
                <w:sz w:val="16"/>
              </w:rPr>
            </w:pPr>
            <w:r>
              <w:rPr>
                <w:color w:val="231F20"/>
                <w:sz w:val="16"/>
              </w:rPr>
              <w:t>$</w:t>
              <w:tab/>
              <w:t>—</w:t>
            </w:r>
            <w:r>
              <w:rPr>
                <w:color w:val="231F20"/>
                <w:spacing w:val="13"/>
                <w:sz w:val="16"/>
              </w:rPr>
              <w:t> </w:t>
            </w:r>
            <w:r>
              <w:rPr>
                <w:color w:val="231F20"/>
                <w:sz w:val="16"/>
              </w:rPr>
              <w:t>(a)</w:t>
            </w:r>
          </w:p>
        </w:tc>
      </w:tr>
      <w:tr>
        <w:trPr>
          <w:trHeight w:val="576" w:hRule="exact"/>
        </w:trPr>
        <w:tc>
          <w:tcPr>
            <w:tcW w:w="5620" w:type="dxa"/>
          </w:tcPr>
          <w:p>
            <w:pPr>
              <w:pStyle w:val="TableParagraph"/>
              <w:tabs>
                <w:tab w:pos="1071" w:val="left" w:leader="none"/>
              </w:tabs>
              <w:spacing w:line="178" w:lineRule="exact" w:before="22"/>
              <w:ind w:left="40"/>
              <w:rPr>
                <w:sz w:val="16"/>
              </w:rPr>
            </w:pPr>
            <w:r>
              <w:rPr>
                <w:color w:val="231F20"/>
                <w:sz w:val="16"/>
              </w:rPr>
              <w:t>Fuel</w:t>
              <w:tab/>
              <w:t>Other</w:t>
            </w:r>
          </w:p>
          <w:p>
            <w:pPr>
              <w:pStyle w:val="TableParagraph"/>
              <w:tabs>
                <w:tab w:pos="1071" w:val="left" w:leader="none"/>
              </w:tabs>
              <w:spacing w:line="172" w:lineRule="exact" w:before="0"/>
              <w:ind w:left="40"/>
              <w:rPr>
                <w:sz w:val="16"/>
              </w:rPr>
            </w:pPr>
            <w:r>
              <w:rPr>
                <w:color w:val="231F20"/>
                <w:sz w:val="16"/>
              </w:rPr>
              <w:t>derivative</w:t>
              <w:tab/>
              <w:t>noncurrent</w:t>
            </w:r>
          </w:p>
          <w:p>
            <w:pPr>
              <w:pStyle w:val="TableParagraph"/>
              <w:tabs>
                <w:tab w:pos="1071" w:val="left" w:leader="none"/>
                <w:tab w:pos="1999" w:val="left" w:leader="none"/>
                <w:tab w:pos="2826" w:val="left" w:leader="none"/>
                <w:tab w:pos="3973" w:val="left" w:leader="none"/>
                <w:tab w:pos="5129" w:val="left" w:leader="none"/>
              </w:tabs>
              <w:spacing w:line="178" w:lineRule="exact" w:before="0"/>
              <w:ind w:left="40"/>
              <w:rPr>
                <w:sz w:val="16"/>
              </w:rPr>
            </w:pPr>
            <w:r>
              <w:rPr>
                <w:color w:val="231F20"/>
                <w:sz w:val="16"/>
              </w:rPr>
              <w:t>contracts</w:t>
              <w:tab/>
              <w:t>liabilities</w:t>
              <w:tab/>
              <w:t>$</w:t>
              <w:tab/>
              <w:t>355   </w:t>
            </w:r>
            <w:r>
              <w:rPr>
                <w:color w:val="231F20"/>
                <w:spacing w:val="13"/>
                <w:sz w:val="16"/>
              </w:rPr>
              <w:t> </w:t>
            </w:r>
            <w:r>
              <w:rPr>
                <w:color w:val="231F20"/>
                <w:sz w:val="16"/>
              </w:rPr>
              <w:t>$</w:t>
              <w:tab/>
              <w:t>(355)</w:t>
            </w:r>
            <w:r>
              <w:rPr>
                <w:color w:val="231F20"/>
                <w:spacing w:val="39"/>
                <w:sz w:val="16"/>
              </w:rPr>
              <w:t> </w:t>
            </w:r>
            <w:r>
              <w:rPr>
                <w:color w:val="231F20"/>
                <w:sz w:val="16"/>
              </w:rPr>
              <w:t>$</w:t>
              <w:tab/>
              <w:t>—</w:t>
            </w:r>
            <w:r>
              <w:rPr>
                <w:color w:val="231F20"/>
                <w:spacing w:val="13"/>
                <w:sz w:val="16"/>
              </w:rPr>
              <w:t> </w:t>
            </w:r>
            <w:r>
              <w:rPr>
                <w:color w:val="231F20"/>
                <w:sz w:val="16"/>
              </w:rPr>
              <w:t>(a)</w:t>
            </w:r>
          </w:p>
        </w:tc>
        <w:tc>
          <w:tcPr>
            <w:tcW w:w="1113" w:type="dxa"/>
          </w:tcPr>
          <w:p>
            <w:pPr>
              <w:pStyle w:val="TableParagraph"/>
              <w:spacing w:before="0"/>
              <w:rPr>
                <w:b/>
                <w:sz w:val="18"/>
              </w:rPr>
            </w:pPr>
          </w:p>
          <w:p>
            <w:pPr>
              <w:pStyle w:val="TableParagraph"/>
              <w:tabs>
                <w:tab w:pos="786" w:val="left" w:leader="none"/>
              </w:tabs>
              <w:spacing w:before="159"/>
              <w:ind w:right="64"/>
              <w:jc w:val="right"/>
              <w:rPr>
                <w:sz w:val="16"/>
              </w:rPr>
            </w:pPr>
            <w:r>
              <w:rPr>
                <w:color w:val="231F20"/>
                <w:sz w:val="16"/>
              </w:rPr>
              <w:t>$</w:t>
              <w:tab/>
              <w:t>—</w:t>
            </w:r>
          </w:p>
        </w:tc>
        <w:tc>
          <w:tcPr>
            <w:tcW w:w="1267" w:type="dxa"/>
          </w:tcPr>
          <w:p>
            <w:pPr>
              <w:pStyle w:val="TableParagraph"/>
              <w:spacing w:before="0"/>
              <w:rPr>
                <w:b/>
                <w:sz w:val="18"/>
              </w:rPr>
            </w:pPr>
          </w:p>
          <w:p>
            <w:pPr>
              <w:pStyle w:val="TableParagraph"/>
              <w:tabs>
                <w:tab w:pos="906" w:val="left" w:leader="none"/>
              </w:tabs>
              <w:spacing w:before="159"/>
              <w:ind w:right="64"/>
              <w:jc w:val="center"/>
              <w:rPr>
                <w:sz w:val="16"/>
              </w:rPr>
            </w:pPr>
            <w:r>
              <w:rPr>
                <w:color w:val="231F20"/>
                <w:sz w:val="16"/>
              </w:rPr>
              <w:t>$</w:t>
              <w:tab/>
              <w:t>—</w:t>
            </w:r>
          </w:p>
        </w:tc>
        <w:tc>
          <w:tcPr>
            <w:tcW w:w="1120" w:type="dxa"/>
          </w:tcPr>
          <w:p>
            <w:pPr>
              <w:pStyle w:val="TableParagraph"/>
              <w:spacing w:before="0"/>
              <w:rPr>
                <w:b/>
                <w:sz w:val="18"/>
              </w:rPr>
            </w:pPr>
          </w:p>
          <w:p>
            <w:pPr>
              <w:pStyle w:val="TableParagraph"/>
              <w:tabs>
                <w:tab w:pos="570" w:val="left" w:leader="none"/>
              </w:tabs>
              <w:spacing w:before="159"/>
              <w:jc w:val="center"/>
              <w:rPr>
                <w:sz w:val="16"/>
              </w:rPr>
            </w:pPr>
            <w:r>
              <w:rPr>
                <w:color w:val="231F20"/>
                <w:sz w:val="16"/>
              </w:rPr>
              <w:t>$</w:t>
              <w:tab/>
              <w:t>—</w:t>
            </w:r>
            <w:r>
              <w:rPr>
                <w:color w:val="231F20"/>
                <w:spacing w:val="13"/>
                <w:sz w:val="16"/>
              </w:rPr>
              <w:t> </w:t>
            </w:r>
            <w:r>
              <w:rPr>
                <w:color w:val="231F20"/>
                <w:sz w:val="16"/>
              </w:rPr>
              <w:t>(a)</w:t>
            </w:r>
          </w:p>
        </w:tc>
      </w:tr>
      <w:tr>
        <w:trPr>
          <w:trHeight w:val="576" w:hRule="exact"/>
        </w:trPr>
        <w:tc>
          <w:tcPr>
            <w:tcW w:w="5620" w:type="dxa"/>
            <w:shd w:val="clear" w:color="auto" w:fill="CCECFC"/>
          </w:tcPr>
          <w:p>
            <w:pPr>
              <w:pStyle w:val="TableParagraph"/>
              <w:spacing w:line="172" w:lineRule="exact" w:before="34"/>
              <w:ind w:left="40" w:right="4800"/>
              <w:rPr>
                <w:sz w:val="16"/>
              </w:rPr>
            </w:pPr>
            <w:r>
              <w:rPr>
                <w:color w:val="231F20"/>
                <w:sz w:val="16"/>
              </w:rPr>
              <w:t>Interest rate derivative</w:t>
            </w:r>
          </w:p>
          <w:p>
            <w:pPr>
              <w:pStyle w:val="TableParagraph"/>
              <w:tabs>
                <w:tab w:pos="1071" w:val="left" w:leader="none"/>
                <w:tab w:pos="2906" w:val="left" w:leader="none"/>
                <w:tab w:pos="4106" w:val="left" w:leader="none"/>
                <w:tab w:pos="5129" w:val="left" w:leader="none"/>
              </w:tabs>
              <w:spacing w:line="172" w:lineRule="exact" w:before="0"/>
              <w:ind w:left="40"/>
              <w:rPr>
                <w:sz w:val="16"/>
              </w:rPr>
            </w:pPr>
            <w:r>
              <w:rPr>
                <w:color w:val="231F20"/>
                <w:sz w:val="16"/>
              </w:rPr>
              <w:t>contracts</w:t>
              <w:tab/>
              <w:t>Other</w:t>
            </w:r>
            <w:r>
              <w:rPr>
                <w:color w:val="231F20"/>
                <w:spacing w:val="-1"/>
                <w:sz w:val="16"/>
              </w:rPr>
              <w:t> </w:t>
            </w:r>
            <w:r>
              <w:rPr>
                <w:color w:val="231F20"/>
                <w:sz w:val="16"/>
              </w:rPr>
              <w:t>assets  </w:t>
            </w:r>
            <w:r>
              <w:rPr>
                <w:color w:val="231F20"/>
                <w:spacing w:val="30"/>
                <w:sz w:val="16"/>
              </w:rPr>
              <w:t> </w:t>
            </w:r>
            <w:r>
              <w:rPr>
                <w:color w:val="231F20"/>
                <w:sz w:val="16"/>
              </w:rPr>
              <w:t>$</w:t>
              <w:tab/>
              <w:t>13   </w:t>
            </w:r>
            <w:r>
              <w:rPr>
                <w:color w:val="231F20"/>
                <w:spacing w:val="13"/>
                <w:sz w:val="16"/>
              </w:rPr>
              <w:t> </w:t>
            </w:r>
            <w:r>
              <w:rPr>
                <w:color w:val="231F20"/>
                <w:sz w:val="16"/>
              </w:rPr>
              <w:t>$</w:t>
              <w:tab/>
              <w:t>—  </w:t>
            </w:r>
            <w:r>
              <w:rPr>
                <w:color w:val="231F20"/>
                <w:spacing w:val="13"/>
                <w:sz w:val="16"/>
              </w:rPr>
              <w:t> </w:t>
            </w:r>
            <w:r>
              <w:rPr>
                <w:color w:val="231F20"/>
                <w:sz w:val="16"/>
              </w:rPr>
              <w:t>$</w:t>
              <w:tab/>
              <w:t>13</w:t>
            </w:r>
            <w:r>
              <w:rPr>
                <w:color w:val="231F20"/>
                <w:spacing w:val="13"/>
                <w:sz w:val="16"/>
              </w:rPr>
              <w:t> </w:t>
            </w:r>
            <w:r>
              <w:rPr>
                <w:color w:val="231F20"/>
                <w:sz w:val="16"/>
              </w:rPr>
              <w:t>(a)</w:t>
            </w:r>
          </w:p>
        </w:tc>
        <w:tc>
          <w:tcPr>
            <w:tcW w:w="1113" w:type="dxa"/>
            <w:shd w:val="clear" w:color="auto" w:fill="CCECFC"/>
          </w:tcPr>
          <w:p>
            <w:pPr>
              <w:pStyle w:val="TableParagraph"/>
              <w:spacing w:before="0"/>
              <w:rPr>
                <w:b/>
                <w:sz w:val="18"/>
              </w:rPr>
            </w:pPr>
          </w:p>
          <w:p>
            <w:pPr>
              <w:pStyle w:val="TableParagraph"/>
              <w:tabs>
                <w:tab w:pos="786" w:val="left" w:leader="none"/>
              </w:tabs>
              <w:spacing w:before="159"/>
              <w:ind w:right="64"/>
              <w:jc w:val="right"/>
              <w:rPr>
                <w:sz w:val="16"/>
              </w:rPr>
            </w:pPr>
            <w:r>
              <w:rPr>
                <w:color w:val="231F20"/>
                <w:sz w:val="16"/>
              </w:rPr>
              <w:t>$</w:t>
              <w:tab/>
              <w:t>20</w:t>
            </w:r>
          </w:p>
        </w:tc>
        <w:tc>
          <w:tcPr>
            <w:tcW w:w="1267" w:type="dxa"/>
            <w:shd w:val="clear" w:color="auto" w:fill="CCECFC"/>
          </w:tcPr>
          <w:p>
            <w:pPr>
              <w:pStyle w:val="TableParagraph"/>
              <w:spacing w:before="0"/>
              <w:rPr>
                <w:b/>
                <w:sz w:val="18"/>
              </w:rPr>
            </w:pPr>
          </w:p>
          <w:p>
            <w:pPr>
              <w:pStyle w:val="TableParagraph"/>
              <w:tabs>
                <w:tab w:pos="906" w:val="left" w:leader="none"/>
              </w:tabs>
              <w:spacing w:before="159"/>
              <w:ind w:right="64"/>
              <w:jc w:val="center"/>
              <w:rPr>
                <w:sz w:val="16"/>
              </w:rPr>
            </w:pPr>
            <w:r>
              <w:rPr>
                <w:color w:val="231F20"/>
                <w:sz w:val="16"/>
              </w:rPr>
              <w:t>$</w:t>
              <w:tab/>
              <w:t>—</w:t>
            </w:r>
          </w:p>
        </w:tc>
        <w:tc>
          <w:tcPr>
            <w:tcW w:w="1120" w:type="dxa"/>
            <w:shd w:val="clear" w:color="auto" w:fill="CCECFC"/>
          </w:tcPr>
          <w:p>
            <w:pPr>
              <w:pStyle w:val="TableParagraph"/>
              <w:spacing w:before="0"/>
              <w:rPr>
                <w:b/>
                <w:sz w:val="18"/>
              </w:rPr>
            </w:pPr>
          </w:p>
          <w:p>
            <w:pPr>
              <w:pStyle w:val="TableParagraph"/>
              <w:tabs>
                <w:tab w:pos="583" w:val="left" w:leader="none"/>
              </w:tabs>
              <w:spacing w:before="159"/>
              <w:jc w:val="center"/>
              <w:rPr>
                <w:sz w:val="16"/>
              </w:rPr>
            </w:pPr>
            <w:r>
              <w:rPr>
                <w:color w:val="231F20"/>
                <w:sz w:val="16"/>
              </w:rPr>
              <w:t>$</w:t>
              <w:tab/>
              <w:t>20 (a)</w:t>
            </w:r>
          </w:p>
        </w:tc>
      </w:tr>
    </w:tbl>
    <w:p>
      <w:pPr>
        <w:pStyle w:val="BodyText"/>
        <w:spacing w:before="10"/>
        <w:rPr>
          <w:b/>
          <w:sz w:val="18"/>
        </w:rPr>
      </w:pPr>
    </w:p>
    <w:p>
      <w:pPr>
        <w:spacing w:line="249" w:lineRule="auto" w:before="93"/>
        <w:ind w:left="120" w:right="171" w:firstLine="0"/>
        <w:jc w:val="left"/>
        <w:rPr>
          <w:sz w:val="20"/>
        </w:rPr>
      </w:pPr>
      <w:r>
        <w:rPr>
          <w:color w:val="231F20"/>
          <w:sz w:val="20"/>
        </w:rPr>
        <w:t>(a) The net amounts of derivative assets and liabilities are reconciled to the individual line item amounts presented in the Consolidated Balance Sheet in Note 5.</w:t>
      </w:r>
    </w:p>
    <w:p>
      <w:pPr>
        <w:pStyle w:val="BodyText"/>
        <w:spacing w:before="4"/>
      </w:pPr>
    </w:p>
    <w:p>
      <w:pPr>
        <w:spacing w:before="1"/>
        <w:ind w:left="170" w:right="0" w:firstLine="0"/>
        <w:jc w:val="left"/>
        <w:rPr>
          <w:b/>
          <w:sz w:val="20"/>
        </w:rPr>
      </w:pPr>
      <w:r>
        <w:rPr>
          <w:b/>
          <w:color w:val="231F20"/>
          <w:sz w:val="20"/>
        </w:rPr>
        <w:t>Offsetting of derivative liabilities</w:t>
      </w:r>
    </w:p>
    <w:p>
      <w:pPr>
        <w:spacing w:before="12" w:after="27"/>
        <w:ind w:left="160" w:right="0" w:firstLine="0"/>
        <w:jc w:val="left"/>
        <w:rPr>
          <w:sz w:val="20"/>
        </w:rPr>
      </w:pPr>
      <w:r>
        <w:rPr>
          <w:color w:val="231F20"/>
          <w:sz w:val="20"/>
        </w:rPr>
        <w:t>(in millions)</w:t>
      </w: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00"/>
        <w:gridCol w:w="855"/>
        <w:gridCol w:w="1581"/>
        <w:gridCol w:w="1044"/>
        <w:gridCol w:w="240"/>
        <w:gridCol w:w="795"/>
        <w:gridCol w:w="1551"/>
        <w:gridCol w:w="1014"/>
      </w:tblGrid>
      <w:tr>
        <w:trPr>
          <w:trHeight w:val="193" w:hRule="exact"/>
        </w:trPr>
        <w:tc>
          <w:tcPr>
            <w:tcW w:w="2000" w:type="dxa"/>
            <w:tcBorders>
              <w:top w:val="single" w:sz="8" w:space="0" w:color="231F20"/>
            </w:tcBorders>
          </w:tcPr>
          <w:p>
            <w:pPr/>
          </w:p>
        </w:tc>
        <w:tc>
          <w:tcPr>
            <w:tcW w:w="855" w:type="dxa"/>
            <w:tcBorders>
              <w:top w:val="single" w:sz="8" w:space="0" w:color="231F20"/>
            </w:tcBorders>
          </w:tcPr>
          <w:p>
            <w:pPr>
              <w:pStyle w:val="TableParagraph"/>
              <w:spacing w:before="10"/>
              <w:ind w:left="465"/>
              <w:rPr>
                <w:sz w:val="16"/>
              </w:rPr>
            </w:pPr>
            <w:r>
              <w:rPr>
                <w:color w:val="231F20"/>
                <w:sz w:val="16"/>
              </w:rPr>
              <w:t>(i)</w:t>
            </w:r>
          </w:p>
        </w:tc>
        <w:tc>
          <w:tcPr>
            <w:tcW w:w="1581" w:type="dxa"/>
            <w:tcBorders>
              <w:top w:val="single" w:sz="8" w:space="0" w:color="231F20"/>
            </w:tcBorders>
          </w:tcPr>
          <w:p>
            <w:pPr>
              <w:pStyle w:val="TableParagraph"/>
              <w:spacing w:before="10"/>
              <w:ind w:left="218" w:right="27"/>
              <w:jc w:val="center"/>
              <w:rPr>
                <w:sz w:val="16"/>
              </w:rPr>
            </w:pPr>
            <w:r>
              <w:rPr>
                <w:color w:val="231F20"/>
                <w:sz w:val="16"/>
              </w:rPr>
              <w:t>(ii)</w:t>
            </w:r>
          </w:p>
        </w:tc>
        <w:tc>
          <w:tcPr>
            <w:tcW w:w="1044" w:type="dxa"/>
            <w:tcBorders>
              <w:top w:val="single" w:sz="8" w:space="0" w:color="231F20"/>
            </w:tcBorders>
          </w:tcPr>
          <w:p>
            <w:pPr>
              <w:pStyle w:val="TableParagraph"/>
              <w:spacing w:before="10"/>
              <w:ind w:left="49"/>
              <w:rPr>
                <w:sz w:val="16"/>
              </w:rPr>
            </w:pPr>
            <w:r>
              <w:rPr>
                <w:color w:val="231F20"/>
                <w:sz w:val="16"/>
              </w:rPr>
              <w:t>(iii) = (i) + (ii)</w:t>
            </w:r>
          </w:p>
        </w:tc>
        <w:tc>
          <w:tcPr>
            <w:tcW w:w="240" w:type="dxa"/>
            <w:tcBorders>
              <w:top w:val="single" w:sz="8" w:space="0" w:color="231F20"/>
            </w:tcBorders>
          </w:tcPr>
          <w:p>
            <w:pPr/>
          </w:p>
        </w:tc>
        <w:tc>
          <w:tcPr>
            <w:tcW w:w="795" w:type="dxa"/>
            <w:tcBorders>
              <w:top w:val="single" w:sz="8" w:space="0" w:color="231F20"/>
            </w:tcBorders>
          </w:tcPr>
          <w:p>
            <w:pPr>
              <w:pStyle w:val="TableParagraph"/>
              <w:spacing w:before="10"/>
              <w:ind w:left="405"/>
              <w:rPr>
                <w:sz w:val="16"/>
              </w:rPr>
            </w:pPr>
            <w:r>
              <w:rPr>
                <w:color w:val="231F20"/>
                <w:sz w:val="16"/>
              </w:rPr>
              <w:t>(i)</w:t>
            </w:r>
          </w:p>
        </w:tc>
        <w:tc>
          <w:tcPr>
            <w:tcW w:w="1551" w:type="dxa"/>
            <w:tcBorders>
              <w:top w:val="single" w:sz="8" w:space="0" w:color="231F20"/>
            </w:tcBorders>
          </w:tcPr>
          <w:p>
            <w:pPr>
              <w:pStyle w:val="TableParagraph"/>
              <w:spacing w:before="10"/>
              <w:ind w:left="101"/>
              <w:jc w:val="center"/>
              <w:rPr>
                <w:sz w:val="16"/>
              </w:rPr>
            </w:pPr>
            <w:r>
              <w:rPr>
                <w:color w:val="231F20"/>
                <w:sz w:val="16"/>
              </w:rPr>
              <w:t>(ii)</w:t>
            </w:r>
          </w:p>
        </w:tc>
        <w:tc>
          <w:tcPr>
            <w:tcW w:w="1014" w:type="dxa"/>
            <w:tcBorders>
              <w:top w:val="single" w:sz="8" w:space="0" w:color="231F20"/>
            </w:tcBorders>
          </w:tcPr>
          <w:p>
            <w:pPr>
              <w:pStyle w:val="TableParagraph"/>
              <w:spacing w:before="10"/>
              <w:ind w:left="19"/>
              <w:rPr>
                <w:sz w:val="16"/>
              </w:rPr>
            </w:pPr>
            <w:r>
              <w:rPr>
                <w:color w:val="231F20"/>
                <w:sz w:val="16"/>
              </w:rPr>
              <w:t>(iii) = (i) + (ii)</w:t>
            </w:r>
          </w:p>
        </w:tc>
      </w:tr>
      <w:tr>
        <w:trPr>
          <w:trHeight w:val="207" w:hRule="exact"/>
        </w:trPr>
        <w:tc>
          <w:tcPr>
            <w:tcW w:w="2000" w:type="dxa"/>
          </w:tcPr>
          <w:p>
            <w:pPr/>
          </w:p>
        </w:tc>
        <w:tc>
          <w:tcPr>
            <w:tcW w:w="855" w:type="dxa"/>
            <w:tcBorders>
              <w:bottom w:val="single" w:sz="8" w:space="0" w:color="231F20"/>
            </w:tcBorders>
          </w:tcPr>
          <w:p>
            <w:pPr/>
          </w:p>
        </w:tc>
        <w:tc>
          <w:tcPr>
            <w:tcW w:w="1581" w:type="dxa"/>
            <w:tcBorders>
              <w:bottom w:val="single" w:sz="8" w:space="0" w:color="231F20"/>
            </w:tcBorders>
          </w:tcPr>
          <w:p>
            <w:pPr>
              <w:pStyle w:val="TableParagraph"/>
              <w:spacing w:line="172" w:lineRule="exact" w:before="0"/>
              <w:ind w:left="218" w:right="30"/>
              <w:jc w:val="center"/>
              <w:rPr>
                <w:b/>
                <w:sz w:val="16"/>
              </w:rPr>
            </w:pPr>
            <w:r>
              <w:rPr>
                <w:b/>
                <w:color w:val="231F20"/>
                <w:sz w:val="16"/>
              </w:rPr>
              <w:t>December 31, 2014</w:t>
            </w:r>
          </w:p>
        </w:tc>
        <w:tc>
          <w:tcPr>
            <w:tcW w:w="1044" w:type="dxa"/>
            <w:tcBorders>
              <w:bottom w:val="single" w:sz="8" w:space="0" w:color="231F20"/>
            </w:tcBorders>
          </w:tcPr>
          <w:p>
            <w:pPr/>
          </w:p>
        </w:tc>
        <w:tc>
          <w:tcPr>
            <w:tcW w:w="240" w:type="dxa"/>
          </w:tcPr>
          <w:p>
            <w:pPr/>
          </w:p>
        </w:tc>
        <w:tc>
          <w:tcPr>
            <w:tcW w:w="795" w:type="dxa"/>
            <w:tcBorders>
              <w:bottom w:val="single" w:sz="8" w:space="0" w:color="231F20"/>
            </w:tcBorders>
          </w:tcPr>
          <w:p>
            <w:pPr/>
          </w:p>
        </w:tc>
        <w:tc>
          <w:tcPr>
            <w:tcW w:w="1551" w:type="dxa"/>
            <w:tcBorders>
              <w:bottom w:val="single" w:sz="8" w:space="0" w:color="231F20"/>
            </w:tcBorders>
          </w:tcPr>
          <w:p>
            <w:pPr>
              <w:pStyle w:val="TableParagraph"/>
              <w:spacing w:line="172" w:lineRule="exact" w:before="0"/>
              <w:ind w:left="218"/>
              <w:jc w:val="center"/>
              <w:rPr>
                <w:b/>
                <w:sz w:val="16"/>
              </w:rPr>
            </w:pPr>
            <w:r>
              <w:rPr>
                <w:b/>
                <w:color w:val="231F20"/>
                <w:sz w:val="16"/>
              </w:rPr>
              <w:t>December 31, 2013</w:t>
            </w:r>
          </w:p>
        </w:tc>
        <w:tc>
          <w:tcPr>
            <w:tcW w:w="1014" w:type="dxa"/>
            <w:tcBorders>
              <w:bottom w:val="single" w:sz="8" w:space="0" w:color="231F20"/>
            </w:tcBorders>
          </w:tcPr>
          <w:p>
            <w:pPr/>
          </w:p>
        </w:tc>
      </w:tr>
    </w:tbl>
    <w:p>
      <w:pPr>
        <w:spacing w:after="0"/>
        <w:sectPr>
          <w:type w:val="continuous"/>
          <w:pgSz w:w="11880" w:h="15480"/>
          <w:pgMar w:top="1260" w:bottom="280" w:left="1260" w:right="1240"/>
        </w:sectPr>
      </w:pPr>
    </w:p>
    <w:p>
      <w:pPr>
        <w:pStyle w:val="BodyText"/>
        <w:rPr>
          <w:sz w:val="18"/>
        </w:rPr>
      </w:pPr>
    </w:p>
    <w:p>
      <w:pPr>
        <w:pStyle w:val="BodyText"/>
        <w:spacing w:before="9"/>
        <w:rPr>
          <w:sz w:val="23"/>
        </w:rPr>
      </w:pPr>
    </w:p>
    <w:p>
      <w:pPr>
        <w:spacing w:before="0"/>
        <w:ind w:left="160" w:right="0" w:firstLine="0"/>
        <w:jc w:val="left"/>
        <w:rPr>
          <w:b/>
          <w:sz w:val="16"/>
        </w:rPr>
      </w:pPr>
      <w:r>
        <w:rPr/>
        <w:pict>
          <v:line style="position:absolute;mso-position-horizontal-relative:page;mso-position-vertical-relative:paragraph;z-index:-404752" from="69pt,10.968744pt" to="116.6pt,10.968744pt" stroked="true" strokeweight="1pt" strokecolor="#231f20">
            <v:stroke dashstyle="solid"/>
            <w10:wrap type="none"/>
          </v:line>
        </w:pict>
      </w:r>
      <w:r>
        <w:rPr>
          <w:b/>
          <w:color w:val="231F20"/>
          <w:sz w:val="16"/>
        </w:rPr>
        <w:t>Description</w:t>
      </w:r>
    </w:p>
    <w:p>
      <w:pPr>
        <w:pStyle w:val="BodyText"/>
        <w:spacing w:before="9"/>
        <w:rPr>
          <w:b/>
          <w:sz w:val="15"/>
        </w:rPr>
      </w:pPr>
      <w:r>
        <w:rPr/>
        <w:br w:type="column"/>
      </w:r>
      <w:r>
        <w:rPr>
          <w:b/>
          <w:sz w:val="15"/>
        </w:rPr>
      </w:r>
    </w:p>
    <w:p>
      <w:pPr>
        <w:spacing w:line="160" w:lineRule="exact" w:before="0"/>
        <w:ind w:left="160" w:right="0" w:firstLine="0"/>
        <w:jc w:val="center"/>
        <w:rPr>
          <w:b/>
          <w:sz w:val="16"/>
        </w:rPr>
      </w:pPr>
      <w:r>
        <w:rPr>
          <w:b/>
          <w:color w:val="231F20"/>
          <w:sz w:val="16"/>
        </w:rPr>
        <w:t>Balance</w:t>
      </w:r>
      <w:r>
        <w:rPr>
          <w:b/>
          <w:color w:val="231F20"/>
          <w:w w:val="100"/>
          <w:sz w:val="16"/>
        </w:rPr>
        <w:t> </w:t>
      </w:r>
      <w:r>
        <w:rPr>
          <w:b/>
          <w:color w:val="231F20"/>
          <w:sz w:val="16"/>
        </w:rPr>
        <w:t>Sheet location</w:t>
      </w:r>
    </w:p>
    <w:p>
      <w:pPr>
        <w:spacing w:line="160" w:lineRule="exact" w:before="22"/>
        <w:ind w:left="160" w:right="0" w:firstLine="0"/>
        <w:jc w:val="center"/>
        <w:rPr>
          <w:b/>
          <w:sz w:val="16"/>
        </w:rPr>
      </w:pPr>
      <w:r>
        <w:rPr/>
        <w:br w:type="column"/>
      </w:r>
      <w:r>
        <w:rPr>
          <w:b/>
          <w:color w:val="231F20"/>
          <w:sz w:val="16"/>
        </w:rPr>
        <w:t>Gross amounts</w:t>
      </w:r>
      <w:r>
        <w:rPr>
          <w:b/>
          <w:color w:val="231F20"/>
          <w:spacing w:val="-2"/>
          <w:sz w:val="16"/>
        </w:rPr>
        <w:t> </w:t>
      </w:r>
      <w:r>
        <w:rPr>
          <w:b/>
          <w:color w:val="231F20"/>
          <w:sz w:val="16"/>
        </w:rPr>
        <w:t>of recognized liabilities</w:t>
      </w:r>
    </w:p>
    <w:p>
      <w:pPr>
        <w:pStyle w:val="BodyText"/>
        <w:spacing w:before="9"/>
        <w:rPr>
          <w:b/>
          <w:sz w:val="15"/>
        </w:rPr>
      </w:pPr>
      <w:r>
        <w:rPr/>
        <w:br w:type="column"/>
      </w:r>
      <w:r>
        <w:rPr>
          <w:b/>
          <w:sz w:val="15"/>
        </w:rPr>
      </w:r>
    </w:p>
    <w:p>
      <w:pPr>
        <w:spacing w:line="160" w:lineRule="exact" w:before="0"/>
        <w:ind w:left="160"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160" w:lineRule="exact" w:before="22"/>
        <w:ind w:left="101" w:right="0"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w:t>
      </w:r>
      <w:r>
        <w:rPr>
          <w:b/>
          <w:color w:val="231F20"/>
          <w:spacing w:val="-1"/>
          <w:sz w:val="16"/>
        </w:rPr>
        <w:t> </w:t>
      </w:r>
      <w:r>
        <w:rPr>
          <w:b/>
          <w:color w:val="231F20"/>
          <w:sz w:val="16"/>
        </w:rPr>
        <w:t>Sheet</w:t>
      </w:r>
    </w:p>
    <w:p>
      <w:pPr>
        <w:spacing w:line="160" w:lineRule="exact" w:before="22"/>
        <w:ind w:left="159" w:right="0" w:firstLine="0"/>
        <w:jc w:val="center"/>
        <w:rPr>
          <w:b/>
          <w:sz w:val="16"/>
        </w:rPr>
      </w:pPr>
      <w:r>
        <w:rPr/>
        <w:br w:type="column"/>
      </w:r>
      <w:r>
        <w:rPr>
          <w:b/>
          <w:color w:val="231F20"/>
          <w:sz w:val="16"/>
        </w:rPr>
        <w:t>Gross amounts of recognized liabilities</w:t>
      </w:r>
    </w:p>
    <w:p>
      <w:pPr>
        <w:pStyle w:val="BodyText"/>
        <w:spacing w:before="9"/>
        <w:rPr>
          <w:b/>
          <w:sz w:val="15"/>
        </w:rPr>
      </w:pPr>
      <w:r>
        <w:rPr/>
        <w:br w:type="column"/>
      </w:r>
      <w:r>
        <w:rPr>
          <w:b/>
          <w:sz w:val="15"/>
        </w:rPr>
      </w:r>
    </w:p>
    <w:p>
      <w:pPr>
        <w:spacing w:line="160" w:lineRule="exact" w:before="0"/>
        <w:ind w:left="159"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160" w:lineRule="exact" w:before="22"/>
        <w:ind w:left="101" w:right="131" w:hanging="1"/>
        <w:jc w:val="center"/>
        <w:rPr>
          <w:b/>
          <w:sz w:val="16"/>
        </w:rPr>
      </w:pPr>
      <w:r>
        <w:rPr/>
        <w:br w:type="column"/>
      </w:r>
      <w:r>
        <w:rPr>
          <w:b/>
          <w:color w:val="231F20"/>
          <w:sz w:val="16"/>
        </w:rPr>
        <w:t>Net amounts of liabilities presented in the</w:t>
      </w:r>
      <w:r>
        <w:rPr>
          <w:b/>
          <w:color w:val="231F20"/>
          <w:w w:val="99"/>
          <w:sz w:val="16"/>
        </w:rPr>
        <w:t> </w:t>
      </w:r>
      <w:r>
        <w:rPr>
          <w:b/>
          <w:color w:val="231F20"/>
          <w:sz w:val="16"/>
        </w:rPr>
        <w:t>Balance Sheet</w:t>
      </w:r>
    </w:p>
    <w:p>
      <w:pPr>
        <w:spacing w:after="0" w:line="160" w:lineRule="exact"/>
        <w:jc w:val="center"/>
        <w:rPr>
          <w:sz w:val="16"/>
        </w:rPr>
        <w:sectPr>
          <w:type w:val="continuous"/>
          <w:pgSz w:w="11880" w:h="15480"/>
          <w:pgMar w:top="1260" w:bottom="280" w:left="1260" w:right="1240"/>
          <w:cols w:num="8" w:equalWidth="0">
            <w:col w:w="952" w:space="233"/>
            <w:col w:w="703" w:space="272"/>
            <w:col w:w="920" w:space="147"/>
            <w:col w:w="1186" w:space="40"/>
            <w:col w:w="1194" w:space="173"/>
            <w:col w:w="920" w:space="87"/>
            <w:col w:w="1186" w:space="40"/>
            <w:col w:w="1327"/>
          </w:cols>
        </w:sectPr>
      </w:pPr>
    </w:p>
    <w:p>
      <w:pPr>
        <w:pStyle w:val="BodyText"/>
        <w:rPr>
          <w:b/>
          <w:sz w:val="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52"/>
        <w:gridCol w:w="120"/>
        <w:gridCol w:w="908"/>
        <w:gridCol w:w="1140"/>
        <w:gridCol w:w="120"/>
        <w:gridCol w:w="1140"/>
        <w:gridCol w:w="1140"/>
        <w:gridCol w:w="239"/>
        <w:gridCol w:w="960"/>
        <w:gridCol w:w="120"/>
        <w:gridCol w:w="1140"/>
        <w:gridCol w:w="1140"/>
      </w:tblGrid>
      <w:tr>
        <w:trPr>
          <w:trHeight w:val="558" w:hRule="exact"/>
        </w:trPr>
        <w:tc>
          <w:tcPr>
            <w:tcW w:w="952" w:type="dxa"/>
            <w:shd w:val="clear" w:color="auto" w:fill="CCECFC"/>
          </w:tcPr>
          <w:p>
            <w:pPr>
              <w:pStyle w:val="TableParagraph"/>
              <w:spacing w:line="172" w:lineRule="exact" w:before="34"/>
              <w:ind w:left="40" w:right="252"/>
              <w:rPr>
                <w:sz w:val="16"/>
              </w:rPr>
            </w:pPr>
            <w:r>
              <w:rPr>
                <w:color w:val="231F20"/>
                <w:sz w:val="16"/>
              </w:rPr>
              <w:t>Fuel derivative contracts</w:t>
            </w:r>
          </w:p>
        </w:tc>
        <w:tc>
          <w:tcPr>
            <w:tcW w:w="120" w:type="dxa"/>
            <w:shd w:val="clear" w:color="auto" w:fill="CCECFC"/>
          </w:tcPr>
          <w:p>
            <w:pPr/>
          </w:p>
        </w:tc>
        <w:tc>
          <w:tcPr>
            <w:tcW w:w="908" w:type="dxa"/>
            <w:tcBorders>
              <w:top w:val="single" w:sz="8" w:space="0" w:color="231F20"/>
            </w:tcBorders>
            <w:shd w:val="clear" w:color="auto" w:fill="CCECFC"/>
          </w:tcPr>
          <w:p>
            <w:pPr>
              <w:pStyle w:val="TableParagraph"/>
              <w:spacing w:line="172" w:lineRule="exact" w:before="34"/>
              <w:ind w:right="39"/>
              <w:rPr>
                <w:sz w:val="16"/>
              </w:rPr>
            </w:pPr>
            <w:r>
              <w:rPr>
                <w:color w:val="231F20"/>
                <w:sz w:val="16"/>
              </w:rPr>
              <w:t>Prepaid expenses and other current</w:t>
            </w:r>
          </w:p>
        </w:tc>
        <w:tc>
          <w:tcPr>
            <w:tcW w:w="7140" w:type="dxa"/>
            <w:gridSpan w:val="9"/>
            <w:shd w:val="clear" w:color="auto" w:fill="CCECFC"/>
          </w:tcPr>
          <w:p>
            <w:pPr/>
          </w:p>
        </w:tc>
      </w:tr>
      <w:tr>
        <w:trPr>
          <w:trHeight w:val="200" w:hRule="exact"/>
        </w:trPr>
        <w:tc>
          <w:tcPr>
            <w:tcW w:w="952" w:type="dxa"/>
            <w:shd w:val="clear" w:color="auto" w:fill="CCECFC"/>
          </w:tcPr>
          <w:p>
            <w:pPr/>
          </w:p>
        </w:tc>
        <w:tc>
          <w:tcPr>
            <w:tcW w:w="120" w:type="dxa"/>
            <w:shd w:val="clear" w:color="auto" w:fill="CCECFC"/>
          </w:tcPr>
          <w:p>
            <w:pPr/>
          </w:p>
        </w:tc>
        <w:tc>
          <w:tcPr>
            <w:tcW w:w="908" w:type="dxa"/>
            <w:shd w:val="clear" w:color="auto" w:fill="CCECFC"/>
          </w:tcPr>
          <w:p>
            <w:pPr>
              <w:pStyle w:val="TableParagraph"/>
              <w:spacing w:line="175" w:lineRule="exact" w:before="0"/>
              <w:rPr>
                <w:sz w:val="16"/>
              </w:rPr>
            </w:pPr>
            <w:r>
              <w:rPr>
                <w:color w:val="231F20"/>
                <w:sz w:val="16"/>
              </w:rPr>
              <w:t>assets</w:t>
            </w:r>
          </w:p>
        </w:tc>
        <w:tc>
          <w:tcPr>
            <w:tcW w:w="1140" w:type="dxa"/>
            <w:shd w:val="clear" w:color="auto" w:fill="CCECFC"/>
          </w:tcPr>
          <w:p>
            <w:pPr>
              <w:pStyle w:val="TableParagraph"/>
              <w:tabs>
                <w:tab w:pos="866" w:val="left" w:leader="none"/>
              </w:tabs>
              <w:spacing w:line="175" w:lineRule="exact" w:before="0"/>
              <w:ind w:right="52"/>
              <w:jc w:val="right"/>
              <w:rPr>
                <w:sz w:val="16"/>
              </w:rPr>
            </w:pPr>
            <w:r>
              <w:rPr>
                <w:color w:val="231F20"/>
                <w:sz w:val="16"/>
              </w:rPr>
              <w:t>$</w:t>
              <w:tab/>
              <w:t>—</w:t>
            </w:r>
          </w:p>
        </w:tc>
        <w:tc>
          <w:tcPr>
            <w:tcW w:w="120" w:type="dxa"/>
            <w:shd w:val="clear" w:color="auto" w:fill="CCECFC"/>
          </w:tcPr>
          <w:p>
            <w:pPr/>
          </w:p>
        </w:tc>
        <w:tc>
          <w:tcPr>
            <w:tcW w:w="1140" w:type="dxa"/>
            <w:shd w:val="clear" w:color="auto" w:fill="CCECFC"/>
          </w:tcPr>
          <w:p>
            <w:pPr>
              <w:pStyle w:val="TableParagraph"/>
              <w:tabs>
                <w:tab w:pos="866" w:val="left" w:leader="none"/>
              </w:tabs>
              <w:spacing w:line="175" w:lineRule="exact" w:before="0"/>
              <w:rPr>
                <w:sz w:val="16"/>
              </w:rPr>
            </w:pPr>
            <w:r>
              <w:rPr>
                <w:color w:val="231F20"/>
                <w:sz w:val="16"/>
              </w:rPr>
              <w:t>$</w:t>
              <w:tab/>
              <w:t>—</w:t>
            </w:r>
          </w:p>
        </w:tc>
        <w:tc>
          <w:tcPr>
            <w:tcW w:w="1140" w:type="dxa"/>
            <w:shd w:val="clear" w:color="auto" w:fill="CCECFC"/>
          </w:tcPr>
          <w:p>
            <w:pPr>
              <w:pStyle w:val="TableParagraph"/>
              <w:tabs>
                <w:tab w:pos="739" w:val="left" w:leader="none"/>
              </w:tabs>
              <w:spacing w:line="175" w:lineRule="exact" w:before="0"/>
              <w:ind w:left="59"/>
              <w:rPr>
                <w:sz w:val="16"/>
              </w:rPr>
            </w:pPr>
            <w:r>
              <w:rPr>
                <w:color w:val="231F20"/>
                <w:sz w:val="16"/>
              </w:rPr>
              <w:t>$</w:t>
              <w:tab/>
              <w:t>—</w:t>
            </w:r>
          </w:p>
        </w:tc>
        <w:tc>
          <w:tcPr>
            <w:tcW w:w="239" w:type="dxa"/>
            <w:shd w:val="clear" w:color="auto" w:fill="CCECFC"/>
          </w:tcPr>
          <w:p>
            <w:pPr/>
          </w:p>
        </w:tc>
        <w:tc>
          <w:tcPr>
            <w:tcW w:w="960" w:type="dxa"/>
            <w:shd w:val="clear" w:color="auto" w:fill="CCECFC"/>
          </w:tcPr>
          <w:p>
            <w:pPr>
              <w:pStyle w:val="TableParagraph"/>
              <w:tabs>
                <w:tab w:pos="666" w:val="left" w:leader="none"/>
              </w:tabs>
              <w:spacing w:line="175" w:lineRule="exact" w:before="0"/>
              <w:ind w:right="51"/>
              <w:jc w:val="center"/>
              <w:rPr>
                <w:sz w:val="16"/>
              </w:rPr>
            </w:pPr>
            <w:r>
              <w:rPr>
                <w:color w:val="231F20"/>
                <w:sz w:val="16"/>
              </w:rPr>
              <w:t>$</w:t>
              <w:tab/>
              <w:t>182</w:t>
            </w:r>
          </w:p>
        </w:tc>
        <w:tc>
          <w:tcPr>
            <w:tcW w:w="120" w:type="dxa"/>
            <w:shd w:val="clear" w:color="auto" w:fill="CCECFC"/>
          </w:tcPr>
          <w:p>
            <w:pPr/>
          </w:p>
        </w:tc>
        <w:tc>
          <w:tcPr>
            <w:tcW w:w="1140" w:type="dxa"/>
            <w:shd w:val="clear" w:color="auto" w:fill="CCECFC"/>
          </w:tcPr>
          <w:p>
            <w:pPr>
              <w:pStyle w:val="TableParagraph"/>
              <w:tabs>
                <w:tab w:pos="733" w:val="left" w:leader="none"/>
              </w:tabs>
              <w:spacing w:line="175" w:lineRule="exact" w:before="0"/>
              <w:rPr>
                <w:sz w:val="16"/>
              </w:rPr>
            </w:pPr>
            <w:r>
              <w:rPr>
                <w:color w:val="231F20"/>
                <w:sz w:val="16"/>
              </w:rPr>
              <w:t>$</w:t>
              <w:tab/>
              <w:t>(182)</w:t>
            </w:r>
          </w:p>
        </w:tc>
        <w:tc>
          <w:tcPr>
            <w:tcW w:w="1140" w:type="dxa"/>
            <w:shd w:val="clear" w:color="auto" w:fill="CCECFC"/>
          </w:tcPr>
          <w:p>
            <w:pPr>
              <w:pStyle w:val="TableParagraph"/>
              <w:tabs>
                <w:tab w:pos="686" w:val="left" w:leader="none"/>
              </w:tabs>
              <w:spacing w:line="175" w:lineRule="exact" w:before="0"/>
              <w:ind w:left="59"/>
              <w:rPr>
                <w:sz w:val="16"/>
              </w:rPr>
            </w:pPr>
            <w:r>
              <w:rPr>
                <w:color w:val="231F20"/>
                <w:sz w:val="16"/>
              </w:rPr>
              <w:t>$</w:t>
              <w:tab/>
              <w:t>—</w:t>
            </w:r>
          </w:p>
        </w:tc>
      </w:tr>
      <w:tr>
        <w:trPr>
          <w:trHeight w:val="204" w:hRule="exact"/>
        </w:trPr>
        <w:tc>
          <w:tcPr>
            <w:tcW w:w="952" w:type="dxa"/>
          </w:tcPr>
          <w:p>
            <w:pPr>
              <w:pStyle w:val="TableParagraph"/>
              <w:spacing w:before="22"/>
              <w:ind w:left="40"/>
              <w:rPr>
                <w:sz w:val="16"/>
              </w:rPr>
            </w:pPr>
            <w:r>
              <w:rPr>
                <w:color w:val="231F20"/>
                <w:sz w:val="16"/>
              </w:rPr>
              <w:t>Fuel</w:t>
            </w:r>
          </w:p>
        </w:tc>
        <w:tc>
          <w:tcPr>
            <w:tcW w:w="120" w:type="dxa"/>
          </w:tcPr>
          <w:p>
            <w:pPr/>
          </w:p>
        </w:tc>
        <w:tc>
          <w:tcPr>
            <w:tcW w:w="908" w:type="dxa"/>
          </w:tcPr>
          <w:p>
            <w:pPr/>
          </w:p>
        </w:tc>
        <w:tc>
          <w:tcPr>
            <w:tcW w:w="1140" w:type="dxa"/>
          </w:tcPr>
          <w:p>
            <w:pPr/>
          </w:p>
        </w:tc>
        <w:tc>
          <w:tcPr>
            <w:tcW w:w="120" w:type="dxa"/>
          </w:tcPr>
          <w:p>
            <w:pPr/>
          </w:p>
        </w:tc>
        <w:tc>
          <w:tcPr>
            <w:tcW w:w="1140" w:type="dxa"/>
          </w:tcPr>
          <w:p>
            <w:pPr/>
          </w:p>
        </w:tc>
        <w:tc>
          <w:tcPr>
            <w:tcW w:w="1140" w:type="dxa"/>
          </w:tcPr>
          <w:p>
            <w:pPr/>
          </w:p>
        </w:tc>
        <w:tc>
          <w:tcPr>
            <w:tcW w:w="239" w:type="dxa"/>
          </w:tcPr>
          <w:p>
            <w:pPr/>
          </w:p>
        </w:tc>
        <w:tc>
          <w:tcPr>
            <w:tcW w:w="960" w:type="dxa"/>
          </w:tcPr>
          <w:p>
            <w:pPr/>
          </w:p>
        </w:tc>
        <w:tc>
          <w:tcPr>
            <w:tcW w:w="120" w:type="dxa"/>
          </w:tcPr>
          <w:p>
            <w:pPr/>
          </w:p>
        </w:tc>
        <w:tc>
          <w:tcPr>
            <w:tcW w:w="1140" w:type="dxa"/>
          </w:tcPr>
          <w:p>
            <w:pPr/>
          </w:p>
        </w:tc>
        <w:tc>
          <w:tcPr>
            <w:tcW w:w="1140" w:type="dxa"/>
          </w:tcPr>
          <w:p>
            <w:pPr/>
          </w:p>
        </w:tc>
      </w:tr>
      <w:tr>
        <w:trPr>
          <w:trHeight w:val="172" w:hRule="exact"/>
        </w:trPr>
        <w:tc>
          <w:tcPr>
            <w:tcW w:w="952" w:type="dxa"/>
          </w:tcPr>
          <w:p>
            <w:pPr>
              <w:pStyle w:val="TableParagraph"/>
              <w:spacing w:line="175" w:lineRule="exact" w:before="0"/>
              <w:ind w:left="40"/>
              <w:rPr>
                <w:sz w:val="16"/>
              </w:rPr>
            </w:pPr>
            <w:r>
              <w:rPr>
                <w:color w:val="231F20"/>
                <w:sz w:val="16"/>
              </w:rPr>
              <w:t>derivative</w:t>
            </w:r>
          </w:p>
        </w:tc>
        <w:tc>
          <w:tcPr>
            <w:tcW w:w="120" w:type="dxa"/>
          </w:tcPr>
          <w:p>
            <w:pPr/>
          </w:p>
        </w:tc>
        <w:tc>
          <w:tcPr>
            <w:tcW w:w="908" w:type="dxa"/>
          </w:tcPr>
          <w:p>
            <w:pPr/>
          </w:p>
        </w:tc>
        <w:tc>
          <w:tcPr>
            <w:tcW w:w="1140" w:type="dxa"/>
          </w:tcPr>
          <w:p>
            <w:pPr/>
          </w:p>
        </w:tc>
        <w:tc>
          <w:tcPr>
            <w:tcW w:w="120" w:type="dxa"/>
          </w:tcPr>
          <w:p>
            <w:pPr/>
          </w:p>
        </w:tc>
        <w:tc>
          <w:tcPr>
            <w:tcW w:w="1140" w:type="dxa"/>
          </w:tcPr>
          <w:p>
            <w:pPr/>
          </w:p>
        </w:tc>
        <w:tc>
          <w:tcPr>
            <w:tcW w:w="1140" w:type="dxa"/>
          </w:tcPr>
          <w:p>
            <w:pPr/>
          </w:p>
        </w:tc>
        <w:tc>
          <w:tcPr>
            <w:tcW w:w="239" w:type="dxa"/>
          </w:tcPr>
          <w:p>
            <w:pPr/>
          </w:p>
        </w:tc>
        <w:tc>
          <w:tcPr>
            <w:tcW w:w="960" w:type="dxa"/>
          </w:tcPr>
          <w:p>
            <w:pPr/>
          </w:p>
        </w:tc>
        <w:tc>
          <w:tcPr>
            <w:tcW w:w="120" w:type="dxa"/>
          </w:tcPr>
          <w:p>
            <w:pPr/>
          </w:p>
        </w:tc>
        <w:tc>
          <w:tcPr>
            <w:tcW w:w="1140" w:type="dxa"/>
          </w:tcPr>
          <w:p>
            <w:pPr/>
          </w:p>
        </w:tc>
        <w:tc>
          <w:tcPr>
            <w:tcW w:w="1140" w:type="dxa"/>
          </w:tcPr>
          <w:p>
            <w:pPr/>
          </w:p>
        </w:tc>
      </w:tr>
      <w:tr>
        <w:trPr>
          <w:trHeight w:val="200" w:hRule="exact"/>
        </w:trPr>
        <w:tc>
          <w:tcPr>
            <w:tcW w:w="952" w:type="dxa"/>
          </w:tcPr>
          <w:p>
            <w:pPr>
              <w:pStyle w:val="TableParagraph"/>
              <w:spacing w:line="175" w:lineRule="exact" w:before="0"/>
              <w:ind w:left="40"/>
              <w:rPr>
                <w:sz w:val="16"/>
              </w:rPr>
            </w:pPr>
            <w:r>
              <w:rPr>
                <w:color w:val="231F20"/>
                <w:sz w:val="16"/>
              </w:rPr>
              <w:t>contracts</w:t>
            </w:r>
          </w:p>
        </w:tc>
        <w:tc>
          <w:tcPr>
            <w:tcW w:w="120" w:type="dxa"/>
          </w:tcPr>
          <w:p>
            <w:pPr/>
          </w:p>
        </w:tc>
        <w:tc>
          <w:tcPr>
            <w:tcW w:w="908" w:type="dxa"/>
          </w:tcPr>
          <w:p>
            <w:pPr>
              <w:pStyle w:val="TableParagraph"/>
              <w:spacing w:line="175" w:lineRule="exact" w:before="0"/>
              <w:rPr>
                <w:sz w:val="16"/>
              </w:rPr>
            </w:pPr>
            <w:r>
              <w:rPr>
                <w:color w:val="231F20"/>
                <w:sz w:val="16"/>
              </w:rPr>
              <w:t>Other assets</w:t>
            </w:r>
          </w:p>
        </w:tc>
        <w:tc>
          <w:tcPr>
            <w:tcW w:w="1140" w:type="dxa"/>
          </w:tcPr>
          <w:p>
            <w:pPr>
              <w:pStyle w:val="TableParagraph"/>
              <w:tabs>
                <w:tab w:pos="866" w:val="left" w:leader="none"/>
              </w:tabs>
              <w:spacing w:line="175" w:lineRule="exact" w:before="0"/>
              <w:ind w:right="52"/>
              <w:jc w:val="right"/>
              <w:rPr>
                <w:sz w:val="16"/>
              </w:rPr>
            </w:pPr>
            <w:r>
              <w:rPr>
                <w:color w:val="231F20"/>
                <w:sz w:val="16"/>
              </w:rPr>
              <w:t>$</w:t>
              <w:tab/>
              <w:t>—</w:t>
            </w:r>
          </w:p>
        </w:tc>
        <w:tc>
          <w:tcPr>
            <w:tcW w:w="120" w:type="dxa"/>
          </w:tcPr>
          <w:p>
            <w:pPr/>
          </w:p>
        </w:tc>
        <w:tc>
          <w:tcPr>
            <w:tcW w:w="1140" w:type="dxa"/>
          </w:tcPr>
          <w:p>
            <w:pPr>
              <w:pStyle w:val="TableParagraph"/>
              <w:tabs>
                <w:tab w:pos="866" w:val="left" w:leader="none"/>
              </w:tabs>
              <w:spacing w:line="175" w:lineRule="exact" w:before="0"/>
              <w:rPr>
                <w:sz w:val="16"/>
              </w:rPr>
            </w:pPr>
            <w:r>
              <w:rPr>
                <w:color w:val="231F20"/>
                <w:sz w:val="16"/>
              </w:rPr>
              <w:t>$</w:t>
              <w:tab/>
              <w:t>—</w:t>
            </w:r>
          </w:p>
        </w:tc>
        <w:tc>
          <w:tcPr>
            <w:tcW w:w="1140" w:type="dxa"/>
          </w:tcPr>
          <w:p>
            <w:pPr>
              <w:pStyle w:val="TableParagraph"/>
              <w:tabs>
                <w:tab w:pos="749" w:val="left" w:leader="none"/>
              </w:tabs>
              <w:spacing w:line="175" w:lineRule="exact" w:before="0"/>
              <w:ind w:left="59"/>
              <w:rPr>
                <w:sz w:val="16"/>
              </w:rPr>
            </w:pPr>
            <w:r>
              <w:rPr>
                <w:color w:val="231F20"/>
                <w:sz w:val="16"/>
              </w:rPr>
              <w:t>$</w:t>
              <w:tab/>
              <w:t>—</w:t>
            </w:r>
            <w:r>
              <w:rPr>
                <w:color w:val="231F20"/>
                <w:spacing w:val="13"/>
                <w:sz w:val="16"/>
              </w:rPr>
              <w:t> </w:t>
            </w:r>
            <w:r>
              <w:rPr>
                <w:color w:val="231F20"/>
                <w:sz w:val="16"/>
              </w:rPr>
              <w:t>(a)</w:t>
            </w:r>
          </w:p>
        </w:tc>
        <w:tc>
          <w:tcPr>
            <w:tcW w:w="239" w:type="dxa"/>
          </w:tcPr>
          <w:p>
            <w:pPr/>
          </w:p>
        </w:tc>
        <w:tc>
          <w:tcPr>
            <w:tcW w:w="960" w:type="dxa"/>
          </w:tcPr>
          <w:p>
            <w:pPr>
              <w:pStyle w:val="TableParagraph"/>
              <w:tabs>
                <w:tab w:pos="666" w:val="left" w:leader="none"/>
              </w:tabs>
              <w:spacing w:line="175" w:lineRule="exact" w:before="0"/>
              <w:ind w:right="51"/>
              <w:jc w:val="center"/>
              <w:rPr>
                <w:sz w:val="16"/>
              </w:rPr>
            </w:pPr>
            <w:r>
              <w:rPr>
                <w:color w:val="231F20"/>
                <w:sz w:val="16"/>
              </w:rPr>
              <w:t>$</w:t>
              <w:tab/>
              <w:t>100</w:t>
            </w:r>
          </w:p>
        </w:tc>
        <w:tc>
          <w:tcPr>
            <w:tcW w:w="120" w:type="dxa"/>
          </w:tcPr>
          <w:p>
            <w:pPr/>
          </w:p>
        </w:tc>
        <w:tc>
          <w:tcPr>
            <w:tcW w:w="1140" w:type="dxa"/>
          </w:tcPr>
          <w:p>
            <w:pPr>
              <w:pStyle w:val="TableParagraph"/>
              <w:tabs>
                <w:tab w:pos="733" w:val="left" w:leader="none"/>
              </w:tabs>
              <w:spacing w:line="175" w:lineRule="exact" w:before="0"/>
              <w:rPr>
                <w:sz w:val="16"/>
              </w:rPr>
            </w:pPr>
            <w:r>
              <w:rPr>
                <w:color w:val="231F20"/>
                <w:sz w:val="16"/>
              </w:rPr>
              <w:t>$</w:t>
              <w:tab/>
              <w:t>(100)</w:t>
            </w:r>
          </w:p>
        </w:tc>
        <w:tc>
          <w:tcPr>
            <w:tcW w:w="1140" w:type="dxa"/>
          </w:tcPr>
          <w:p>
            <w:pPr>
              <w:pStyle w:val="TableParagraph"/>
              <w:tabs>
                <w:tab w:pos="669" w:val="left" w:leader="none"/>
              </w:tabs>
              <w:spacing w:line="175" w:lineRule="exact" w:before="0"/>
              <w:ind w:left="59"/>
              <w:rPr>
                <w:sz w:val="16"/>
              </w:rPr>
            </w:pPr>
            <w:r>
              <w:rPr>
                <w:color w:val="231F20"/>
                <w:sz w:val="16"/>
              </w:rPr>
              <w:t>$</w:t>
              <w:tab/>
              <w:t>—</w:t>
            </w:r>
            <w:r>
              <w:rPr>
                <w:color w:val="231F20"/>
                <w:spacing w:val="13"/>
                <w:sz w:val="16"/>
              </w:rPr>
              <w:t> </w:t>
            </w:r>
            <w:r>
              <w:rPr>
                <w:color w:val="231F20"/>
                <w:sz w:val="16"/>
              </w:rPr>
              <w:t>(a)</w:t>
            </w:r>
          </w:p>
        </w:tc>
      </w:tr>
      <w:tr>
        <w:trPr>
          <w:trHeight w:val="204" w:hRule="exact"/>
        </w:trPr>
        <w:tc>
          <w:tcPr>
            <w:tcW w:w="952" w:type="dxa"/>
            <w:shd w:val="clear" w:color="auto" w:fill="CCECFC"/>
          </w:tcPr>
          <w:p>
            <w:pPr>
              <w:pStyle w:val="TableParagraph"/>
              <w:spacing w:before="22"/>
              <w:ind w:left="40"/>
              <w:rPr>
                <w:sz w:val="16"/>
              </w:rPr>
            </w:pPr>
            <w:r>
              <w:rPr>
                <w:color w:val="231F20"/>
                <w:sz w:val="16"/>
              </w:rPr>
              <w:t>Fuel</w:t>
            </w:r>
          </w:p>
        </w:tc>
        <w:tc>
          <w:tcPr>
            <w:tcW w:w="120" w:type="dxa"/>
            <w:shd w:val="clear" w:color="auto" w:fill="CCECFC"/>
          </w:tcPr>
          <w:p>
            <w:pPr/>
          </w:p>
        </w:tc>
        <w:tc>
          <w:tcPr>
            <w:tcW w:w="908" w:type="dxa"/>
            <w:shd w:val="clear" w:color="auto" w:fill="CCECFC"/>
          </w:tcPr>
          <w:p>
            <w:pPr/>
          </w:p>
        </w:tc>
        <w:tc>
          <w:tcPr>
            <w:tcW w:w="114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c>
          <w:tcPr>
            <w:tcW w:w="239" w:type="dxa"/>
            <w:shd w:val="clear" w:color="auto" w:fill="CCECFC"/>
          </w:tcPr>
          <w:p>
            <w:pPr/>
          </w:p>
        </w:tc>
        <w:tc>
          <w:tcPr>
            <w:tcW w:w="96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r>
      <w:tr>
        <w:trPr>
          <w:trHeight w:val="172" w:hRule="exact"/>
        </w:trPr>
        <w:tc>
          <w:tcPr>
            <w:tcW w:w="952" w:type="dxa"/>
            <w:shd w:val="clear" w:color="auto" w:fill="CCECFC"/>
          </w:tcPr>
          <w:p>
            <w:pPr>
              <w:pStyle w:val="TableParagraph"/>
              <w:spacing w:line="175" w:lineRule="exact" w:before="0"/>
              <w:ind w:left="40"/>
              <w:rPr>
                <w:sz w:val="16"/>
              </w:rPr>
            </w:pPr>
            <w:r>
              <w:rPr>
                <w:color w:val="231F20"/>
                <w:sz w:val="16"/>
              </w:rPr>
              <w:t>derivative</w:t>
            </w:r>
          </w:p>
        </w:tc>
        <w:tc>
          <w:tcPr>
            <w:tcW w:w="120" w:type="dxa"/>
            <w:shd w:val="clear" w:color="auto" w:fill="CCECFC"/>
          </w:tcPr>
          <w:p>
            <w:pPr/>
          </w:p>
        </w:tc>
        <w:tc>
          <w:tcPr>
            <w:tcW w:w="908" w:type="dxa"/>
            <w:shd w:val="clear" w:color="auto" w:fill="CCECFC"/>
          </w:tcPr>
          <w:p>
            <w:pPr>
              <w:pStyle w:val="TableParagraph"/>
              <w:spacing w:line="175" w:lineRule="exact" w:before="0"/>
              <w:rPr>
                <w:sz w:val="16"/>
              </w:rPr>
            </w:pPr>
            <w:r>
              <w:rPr>
                <w:color w:val="231F20"/>
                <w:sz w:val="16"/>
              </w:rPr>
              <w:t>Accrued</w:t>
            </w:r>
          </w:p>
        </w:tc>
        <w:tc>
          <w:tcPr>
            <w:tcW w:w="114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c>
          <w:tcPr>
            <w:tcW w:w="239" w:type="dxa"/>
            <w:shd w:val="clear" w:color="auto" w:fill="CCECFC"/>
          </w:tcPr>
          <w:p>
            <w:pPr/>
          </w:p>
        </w:tc>
        <w:tc>
          <w:tcPr>
            <w:tcW w:w="96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r>
      <w:tr>
        <w:trPr>
          <w:trHeight w:val="200" w:hRule="exact"/>
        </w:trPr>
        <w:tc>
          <w:tcPr>
            <w:tcW w:w="952" w:type="dxa"/>
            <w:shd w:val="clear" w:color="auto" w:fill="CCECFC"/>
          </w:tcPr>
          <w:p>
            <w:pPr>
              <w:pStyle w:val="TableParagraph"/>
              <w:spacing w:line="175" w:lineRule="exact" w:before="0"/>
              <w:ind w:left="40"/>
              <w:rPr>
                <w:sz w:val="16"/>
              </w:rPr>
            </w:pPr>
            <w:r>
              <w:rPr>
                <w:color w:val="231F20"/>
                <w:sz w:val="16"/>
              </w:rPr>
              <w:t>contracts</w:t>
            </w:r>
          </w:p>
        </w:tc>
        <w:tc>
          <w:tcPr>
            <w:tcW w:w="120" w:type="dxa"/>
            <w:shd w:val="clear" w:color="auto" w:fill="CCECFC"/>
          </w:tcPr>
          <w:p>
            <w:pPr/>
          </w:p>
        </w:tc>
        <w:tc>
          <w:tcPr>
            <w:tcW w:w="908" w:type="dxa"/>
            <w:shd w:val="clear" w:color="auto" w:fill="CCECFC"/>
          </w:tcPr>
          <w:p>
            <w:pPr>
              <w:pStyle w:val="TableParagraph"/>
              <w:spacing w:line="175" w:lineRule="exact" w:before="0"/>
              <w:rPr>
                <w:sz w:val="16"/>
              </w:rPr>
            </w:pPr>
            <w:r>
              <w:rPr>
                <w:color w:val="231F20"/>
                <w:sz w:val="16"/>
              </w:rPr>
              <w:t>liabilities</w:t>
            </w:r>
          </w:p>
        </w:tc>
        <w:tc>
          <w:tcPr>
            <w:tcW w:w="1140" w:type="dxa"/>
            <w:shd w:val="clear" w:color="auto" w:fill="CCECFC"/>
          </w:tcPr>
          <w:p>
            <w:pPr>
              <w:pStyle w:val="TableParagraph"/>
              <w:tabs>
                <w:tab w:pos="666" w:val="left" w:leader="none"/>
              </w:tabs>
              <w:spacing w:line="175" w:lineRule="exact" w:before="0"/>
              <w:ind w:right="52"/>
              <w:jc w:val="right"/>
              <w:rPr>
                <w:sz w:val="16"/>
              </w:rPr>
            </w:pPr>
            <w:r>
              <w:rPr>
                <w:color w:val="231F20"/>
                <w:sz w:val="16"/>
              </w:rPr>
              <w:t>$</w:t>
              <w:tab/>
              <w:t>1,432</w:t>
            </w:r>
          </w:p>
        </w:tc>
        <w:tc>
          <w:tcPr>
            <w:tcW w:w="120" w:type="dxa"/>
            <w:shd w:val="clear" w:color="auto" w:fill="CCECFC"/>
          </w:tcPr>
          <w:p>
            <w:pPr/>
          </w:p>
        </w:tc>
        <w:tc>
          <w:tcPr>
            <w:tcW w:w="1140" w:type="dxa"/>
            <w:shd w:val="clear" w:color="auto" w:fill="CCECFC"/>
          </w:tcPr>
          <w:p>
            <w:pPr>
              <w:pStyle w:val="TableParagraph"/>
              <w:tabs>
                <w:tab w:pos="613" w:val="left" w:leader="none"/>
              </w:tabs>
              <w:spacing w:line="175" w:lineRule="exact" w:before="0"/>
              <w:rPr>
                <w:sz w:val="16"/>
              </w:rPr>
            </w:pPr>
            <w:r>
              <w:rPr>
                <w:color w:val="231F20"/>
                <w:sz w:val="16"/>
              </w:rPr>
              <w:t>$</w:t>
              <w:tab/>
              <w:t>(1,258)</w:t>
            </w:r>
          </w:p>
        </w:tc>
        <w:tc>
          <w:tcPr>
            <w:tcW w:w="1140" w:type="dxa"/>
            <w:shd w:val="clear" w:color="auto" w:fill="CCECFC"/>
          </w:tcPr>
          <w:p>
            <w:pPr>
              <w:pStyle w:val="TableParagraph"/>
              <w:tabs>
                <w:tab w:pos="669" w:val="left" w:leader="none"/>
              </w:tabs>
              <w:spacing w:line="175" w:lineRule="exact" w:before="0"/>
              <w:ind w:left="59"/>
              <w:rPr>
                <w:sz w:val="16"/>
              </w:rPr>
            </w:pPr>
            <w:r>
              <w:rPr>
                <w:color w:val="231F20"/>
                <w:sz w:val="16"/>
              </w:rPr>
              <w:t>$</w:t>
              <w:tab/>
              <w:t>174</w:t>
            </w:r>
            <w:r>
              <w:rPr>
                <w:color w:val="231F20"/>
                <w:spacing w:val="13"/>
                <w:sz w:val="16"/>
              </w:rPr>
              <w:t> </w:t>
            </w:r>
            <w:r>
              <w:rPr>
                <w:color w:val="231F20"/>
                <w:sz w:val="16"/>
              </w:rPr>
              <w:t>(a)</w:t>
            </w:r>
          </w:p>
        </w:tc>
        <w:tc>
          <w:tcPr>
            <w:tcW w:w="239" w:type="dxa"/>
            <w:shd w:val="clear" w:color="auto" w:fill="CCECFC"/>
          </w:tcPr>
          <w:p>
            <w:pPr/>
          </w:p>
        </w:tc>
        <w:tc>
          <w:tcPr>
            <w:tcW w:w="960" w:type="dxa"/>
            <w:shd w:val="clear" w:color="auto" w:fill="CCECFC"/>
          </w:tcPr>
          <w:p>
            <w:pPr>
              <w:pStyle w:val="TableParagraph"/>
              <w:tabs>
                <w:tab w:pos="746" w:val="left" w:leader="none"/>
              </w:tabs>
              <w:spacing w:line="175" w:lineRule="exact" w:before="0"/>
              <w:ind w:right="50"/>
              <w:jc w:val="center"/>
              <w:rPr>
                <w:sz w:val="16"/>
              </w:rPr>
            </w:pPr>
            <w:r>
              <w:rPr>
                <w:color w:val="231F20"/>
                <w:sz w:val="16"/>
              </w:rPr>
              <w:t>$</w:t>
              <w:tab/>
              <w:t>21</w:t>
            </w:r>
          </w:p>
        </w:tc>
        <w:tc>
          <w:tcPr>
            <w:tcW w:w="120" w:type="dxa"/>
            <w:shd w:val="clear" w:color="auto" w:fill="CCECFC"/>
          </w:tcPr>
          <w:p>
            <w:pPr/>
          </w:p>
        </w:tc>
        <w:tc>
          <w:tcPr>
            <w:tcW w:w="1140" w:type="dxa"/>
            <w:shd w:val="clear" w:color="auto" w:fill="CCECFC"/>
          </w:tcPr>
          <w:p>
            <w:pPr>
              <w:pStyle w:val="TableParagraph"/>
              <w:tabs>
                <w:tab w:pos="893" w:val="left" w:leader="none"/>
              </w:tabs>
              <w:spacing w:line="175" w:lineRule="exact" w:before="0"/>
              <w:rPr>
                <w:sz w:val="16"/>
              </w:rPr>
            </w:pPr>
            <w:r>
              <w:rPr>
                <w:color w:val="231F20"/>
                <w:sz w:val="16"/>
              </w:rPr>
              <w:t>$</w:t>
              <w:tab/>
              <w:t>(9)</w:t>
            </w:r>
          </w:p>
        </w:tc>
        <w:tc>
          <w:tcPr>
            <w:tcW w:w="1140" w:type="dxa"/>
            <w:shd w:val="clear" w:color="auto" w:fill="CCECFC"/>
          </w:tcPr>
          <w:p>
            <w:pPr>
              <w:pStyle w:val="TableParagraph"/>
              <w:tabs>
                <w:tab w:pos="669" w:val="left" w:leader="none"/>
              </w:tabs>
              <w:spacing w:line="175" w:lineRule="exact" w:before="0"/>
              <w:ind w:left="59"/>
              <w:rPr>
                <w:sz w:val="16"/>
              </w:rPr>
            </w:pPr>
            <w:r>
              <w:rPr>
                <w:color w:val="231F20"/>
                <w:sz w:val="16"/>
              </w:rPr>
              <w:t>$</w:t>
              <w:tab/>
              <w:t>12</w:t>
            </w:r>
            <w:r>
              <w:rPr>
                <w:color w:val="231F20"/>
                <w:spacing w:val="13"/>
                <w:sz w:val="16"/>
              </w:rPr>
              <w:t> </w:t>
            </w:r>
            <w:r>
              <w:rPr>
                <w:color w:val="231F20"/>
                <w:sz w:val="16"/>
              </w:rPr>
              <w:t>(a)</w:t>
            </w:r>
          </w:p>
        </w:tc>
      </w:tr>
      <w:tr>
        <w:trPr>
          <w:trHeight w:val="204" w:hRule="exact"/>
        </w:trPr>
        <w:tc>
          <w:tcPr>
            <w:tcW w:w="952" w:type="dxa"/>
          </w:tcPr>
          <w:p>
            <w:pPr>
              <w:pStyle w:val="TableParagraph"/>
              <w:spacing w:before="22"/>
              <w:ind w:left="40"/>
              <w:rPr>
                <w:sz w:val="16"/>
              </w:rPr>
            </w:pPr>
            <w:r>
              <w:rPr>
                <w:color w:val="231F20"/>
                <w:sz w:val="16"/>
              </w:rPr>
              <w:t>Fuel</w:t>
            </w:r>
          </w:p>
        </w:tc>
        <w:tc>
          <w:tcPr>
            <w:tcW w:w="120" w:type="dxa"/>
          </w:tcPr>
          <w:p>
            <w:pPr/>
          </w:p>
        </w:tc>
        <w:tc>
          <w:tcPr>
            <w:tcW w:w="908" w:type="dxa"/>
          </w:tcPr>
          <w:p>
            <w:pPr>
              <w:pStyle w:val="TableParagraph"/>
              <w:spacing w:before="22"/>
              <w:rPr>
                <w:sz w:val="16"/>
              </w:rPr>
            </w:pPr>
            <w:r>
              <w:rPr>
                <w:color w:val="231F20"/>
                <w:sz w:val="16"/>
              </w:rPr>
              <w:t>Other</w:t>
            </w:r>
          </w:p>
        </w:tc>
        <w:tc>
          <w:tcPr>
            <w:tcW w:w="1140" w:type="dxa"/>
          </w:tcPr>
          <w:p>
            <w:pPr/>
          </w:p>
        </w:tc>
        <w:tc>
          <w:tcPr>
            <w:tcW w:w="120" w:type="dxa"/>
          </w:tcPr>
          <w:p>
            <w:pPr/>
          </w:p>
        </w:tc>
        <w:tc>
          <w:tcPr>
            <w:tcW w:w="1140" w:type="dxa"/>
          </w:tcPr>
          <w:p>
            <w:pPr/>
          </w:p>
        </w:tc>
        <w:tc>
          <w:tcPr>
            <w:tcW w:w="1140" w:type="dxa"/>
          </w:tcPr>
          <w:p>
            <w:pPr/>
          </w:p>
        </w:tc>
        <w:tc>
          <w:tcPr>
            <w:tcW w:w="239" w:type="dxa"/>
          </w:tcPr>
          <w:p>
            <w:pPr/>
          </w:p>
        </w:tc>
        <w:tc>
          <w:tcPr>
            <w:tcW w:w="960" w:type="dxa"/>
          </w:tcPr>
          <w:p>
            <w:pPr/>
          </w:p>
        </w:tc>
        <w:tc>
          <w:tcPr>
            <w:tcW w:w="120" w:type="dxa"/>
          </w:tcPr>
          <w:p>
            <w:pPr/>
          </w:p>
        </w:tc>
        <w:tc>
          <w:tcPr>
            <w:tcW w:w="1140" w:type="dxa"/>
          </w:tcPr>
          <w:p>
            <w:pPr/>
          </w:p>
        </w:tc>
        <w:tc>
          <w:tcPr>
            <w:tcW w:w="1140" w:type="dxa"/>
          </w:tcPr>
          <w:p>
            <w:pPr/>
          </w:p>
        </w:tc>
      </w:tr>
      <w:tr>
        <w:trPr>
          <w:trHeight w:val="172" w:hRule="exact"/>
        </w:trPr>
        <w:tc>
          <w:tcPr>
            <w:tcW w:w="952" w:type="dxa"/>
          </w:tcPr>
          <w:p>
            <w:pPr>
              <w:pStyle w:val="TableParagraph"/>
              <w:spacing w:line="175" w:lineRule="exact" w:before="0"/>
              <w:ind w:left="40"/>
              <w:rPr>
                <w:sz w:val="16"/>
              </w:rPr>
            </w:pPr>
            <w:r>
              <w:rPr>
                <w:color w:val="231F20"/>
                <w:sz w:val="16"/>
              </w:rPr>
              <w:t>derivative</w:t>
            </w:r>
          </w:p>
        </w:tc>
        <w:tc>
          <w:tcPr>
            <w:tcW w:w="120" w:type="dxa"/>
          </w:tcPr>
          <w:p>
            <w:pPr/>
          </w:p>
        </w:tc>
        <w:tc>
          <w:tcPr>
            <w:tcW w:w="908" w:type="dxa"/>
          </w:tcPr>
          <w:p>
            <w:pPr>
              <w:pStyle w:val="TableParagraph"/>
              <w:spacing w:line="175" w:lineRule="exact" w:before="0"/>
              <w:rPr>
                <w:sz w:val="16"/>
              </w:rPr>
            </w:pPr>
            <w:r>
              <w:rPr>
                <w:color w:val="231F20"/>
                <w:sz w:val="16"/>
              </w:rPr>
              <w:t>noncurrent</w:t>
            </w:r>
          </w:p>
        </w:tc>
        <w:tc>
          <w:tcPr>
            <w:tcW w:w="1140" w:type="dxa"/>
          </w:tcPr>
          <w:p>
            <w:pPr/>
          </w:p>
        </w:tc>
        <w:tc>
          <w:tcPr>
            <w:tcW w:w="120" w:type="dxa"/>
          </w:tcPr>
          <w:p>
            <w:pPr/>
          </w:p>
        </w:tc>
        <w:tc>
          <w:tcPr>
            <w:tcW w:w="1140" w:type="dxa"/>
          </w:tcPr>
          <w:p>
            <w:pPr/>
          </w:p>
        </w:tc>
        <w:tc>
          <w:tcPr>
            <w:tcW w:w="1140" w:type="dxa"/>
          </w:tcPr>
          <w:p>
            <w:pPr/>
          </w:p>
        </w:tc>
        <w:tc>
          <w:tcPr>
            <w:tcW w:w="239" w:type="dxa"/>
          </w:tcPr>
          <w:p>
            <w:pPr/>
          </w:p>
        </w:tc>
        <w:tc>
          <w:tcPr>
            <w:tcW w:w="960" w:type="dxa"/>
          </w:tcPr>
          <w:p>
            <w:pPr/>
          </w:p>
        </w:tc>
        <w:tc>
          <w:tcPr>
            <w:tcW w:w="120" w:type="dxa"/>
          </w:tcPr>
          <w:p>
            <w:pPr/>
          </w:p>
        </w:tc>
        <w:tc>
          <w:tcPr>
            <w:tcW w:w="1140" w:type="dxa"/>
          </w:tcPr>
          <w:p>
            <w:pPr/>
          </w:p>
        </w:tc>
        <w:tc>
          <w:tcPr>
            <w:tcW w:w="1140" w:type="dxa"/>
          </w:tcPr>
          <w:p>
            <w:pPr/>
          </w:p>
        </w:tc>
      </w:tr>
      <w:tr>
        <w:trPr>
          <w:trHeight w:val="200" w:hRule="exact"/>
        </w:trPr>
        <w:tc>
          <w:tcPr>
            <w:tcW w:w="952" w:type="dxa"/>
          </w:tcPr>
          <w:p>
            <w:pPr>
              <w:pStyle w:val="TableParagraph"/>
              <w:spacing w:line="175" w:lineRule="exact" w:before="0"/>
              <w:ind w:left="40"/>
              <w:rPr>
                <w:sz w:val="16"/>
              </w:rPr>
            </w:pPr>
            <w:r>
              <w:rPr>
                <w:color w:val="231F20"/>
                <w:sz w:val="16"/>
              </w:rPr>
              <w:t>contracts</w:t>
            </w:r>
          </w:p>
        </w:tc>
        <w:tc>
          <w:tcPr>
            <w:tcW w:w="120" w:type="dxa"/>
          </w:tcPr>
          <w:p>
            <w:pPr/>
          </w:p>
        </w:tc>
        <w:tc>
          <w:tcPr>
            <w:tcW w:w="908" w:type="dxa"/>
          </w:tcPr>
          <w:p>
            <w:pPr>
              <w:pStyle w:val="TableParagraph"/>
              <w:spacing w:line="175" w:lineRule="exact" w:before="0"/>
              <w:rPr>
                <w:sz w:val="16"/>
              </w:rPr>
            </w:pPr>
            <w:r>
              <w:rPr>
                <w:color w:val="231F20"/>
                <w:sz w:val="16"/>
              </w:rPr>
              <w:t>liabilities</w:t>
            </w:r>
          </w:p>
        </w:tc>
        <w:tc>
          <w:tcPr>
            <w:tcW w:w="1140" w:type="dxa"/>
          </w:tcPr>
          <w:p>
            <w:pPr>
              <w:pStyle w:val="TableParagraph"/>
              <w:tabs>
                <w:tab w:pos="786" w:val="left" w:leader="none"/>
              </w:tabs>
              <w:spacing w:line="175" w:lineRule="exact" w:before="0"/>
              <w:ind w:right="52"/>
              <w:jc w:val="right"/>
              <w:rPr>
                <w:sz w:val="16"/>
              </w:rPr>
            </w:pPr>
            <w:r>
              <w:rPr>
                <w:color w:val="231F20"/>
                <w:sz w:val="16"/>
              </w:rPr>
              <w:t>$</w:t>
              <w:tab/>
              <w:t>916</w:t>
            </w:r>
          </w:p>
        </w:tc>
        <w:tc>
          <w:tcPr>
            <w:tcW w:w="120" w:type="dxa"/>
          </w:tcPr>
          <w:p>
            <w:pPr/>
          </w:p>
        </w:tc>
        <w:tc>
          <w:tcPr>
            <w:tcW w:w="1140" w:type="dxa"/>
          </w:tcPr>
          <w:p>
            <w:pPr>
              <w:pStyle w:val="TableParagraph"/>
              <w:tabs>
                <w:tab w:pos="733" w:val="left" w:leader="none"/>
              </w:tabs>
              <w:spacing w:line="175" w:lineRule="exact" w:before="0"/>
              <w:rPr>
                <w:sz w:val="16"/>
              </w:rPr>
            </w:pPr>
            <w:r>
              <w:rPr>
                <w:color w:val="231F20"/>
                <w:sz w:val="16"/>
              </w:rPr>
              <w:t>$</w:t>
              <w:tab/>
              <w:t>(355)</w:t>
            </w:r>
          </w:p>
        </w:tc>
        <w:tc>
          <w:tcPr>
            <w:tcW w:w="1140" w:type="dxa"/>
          </w:tcPr>
          <w:p>
            <w:pPr>
              <w:pStyle w:val="TableParagraph"/>
              <w:tabs>
                <w:tab w:pos="669" w:val="left" w:leader="none"/>
              </w:tabs>
              <w:spacing w:line="175" w:lineRule="exact" w:before="0"/>
              <w:ind w:left="59"/>
              <w:rPr>
                <w:sz w:val="16"/>
              </w:rPr>
            </w:pPr>
            <w:r>
              <w:rPr>
                <w:color w:val="231F20"/>
                <w:sz w:val="16"/>
              </w:rPr>
              <w:t>$</w:t>
              <w:tab/>
              <w:t>561</w:t>
            </w:r>
            <w:r>
              <w:rPr>
                <w:color w:val="231F20"/>
                <w:spacing w:val="13"/>
                <w:sz w:val="16"/>
              </w:rPr>
              <w:t> </w:t>
            </w:r>
            <w:r>
              <w:rPr>
                <w:color w:val="231F20"/>
                <w:sz w:val="16"/>
              </w:rPr>
              <w:t>(a)</w:t>
            </w:r>
          </w:p>
        </w:tc>
        <w:tc>
          <w:tcPr>
            <w:tcW w:w="239" w:type="dxa"/>
          </w:tcPr>
          <w:p>
            <w:pPr/>
          </w:p>
        </w:tc>
        <w:tc>
          <w:tcPr>
            <w:tcW w:w="960" w:type="dxa"/>
          </w:tcPr>
          <w:p>
            <w:pPr>
              <w:pStyle w:val="TableParagraph"/>
              <w:tabs>
                <w:tab w:pos="746" w:val="left" w:leader="none"/>
              </w:tabs>
              <w:spacing w:line="175" w:lineRule="exact" w:before="0"/>
              <w:ind w:right="50"/>
              <w:jc w:val="center"/>
              <w:rPr>
                <w:sz w:val="16"/>
              </w:rPr>
            </w:pPr>
            <w:r>
              <w:rPr>
                <w:color w:val="231F20"/>
                <w:sz w:val="16"/>
              </w:rPr>
              <w:t>$</w:t>
              <w:tab/>
              <w:t>—</w:t>
            </w:r>
          </w:p>
        </w:tc>
        <w:tc>
          <w:tcPr>
            <w:tcW w:w="120" w:type="dxa"/>
          </w:tcPr>
          <w:p>
            <w:pPr/>
          </w:p>
        </w:tc>
        <w:tc>
          <w:tcPr>
            <w:tcW w:w="1140" w:type="dxa"/>
          </w:tcPr>
          <w:p>
            <w:pPr>
              <w:pStyle w:val="TableParagraph"/>
              <w:tabs>
                <w:tab w:pos="866" w:val="left" w:leader="none"/>
              </w:tabs>
              <w:spacing w:line="175" w:lineRule="exact" w:before="0"/>
              <w:rPr>
                <w:sz w:val="16"/>
              </w:rPr>
            </w:pPr>
            <w:r>
              <w:rPr>
                <w:color w:val="231F20"/>
                <w:sz w:val="16"/>
              </w:rPr>
              <w:t>$</w:t>
              <w:tab/>
              <w:t>—</w:t>
            </w:r>
          </w:p>
        </w:tc>
        <w:tc>
          <w:tcPr>
            <w:tcW w:w="1140" w:type="dxa"/>
          </w:tcPr>
          <w:p>
            <w:pPr>
              <w:pStyle w:val="TableParagraph"/>
              <w:tabs>
                <w:tab w:pos="669" w:val="left" w:leader="none"/>
              </w:tabs>
              <w:spacing w:line="175" w:lineRule="exact" w:before="0"/>
              <w:ind w:left="59"/>
              <w:rPr>
                <w:sz w:val="16"/>
              </w:rPr>
            </w:pPr>
            <w:r>
              <w:rPr>
                <w:color w:val="231F20"/>
                <w:sz w:val="16"/>
              </w:rPr>
              <w:t>$</w:t>
              <w:tab/>
              <w:t>—</w:t>
            </w:r>
            <w:r>
              <w:rPr>
                <w:color w:val="231F20"/>
                <w:spacing w:val="13"/>
                <w:sz w:val="16"/>
              </w:rPr>
              <w:t> </w:t>
            </w:r>
            <w:r>
              <w:rPr>
                <w:color w:val="231F20"/>
                <w:sz w:val="16"/>
              </w:rPr>
              <w:t>(a)</w:t>
            </w:r>
          </w:p>
        </w:tc>
      </w:tr>
      <w:tr>
        <w:trPr>
          <w:trHeight w:val="204" w:hRule="exact"/>
        </w:trPr>
        <w:tc>
          <w:tcPr>
            <w:tcW w:w="952" w:type="dxa"/>
            <w:shd w:val="clear" w:color="auto" w:fill="CCECFC"/>
          </w:tcPr>
          <w:p>
            <w:pPr>
              <w:pStyle w:val="TableParagraph"/>
              <w:spacing w:before="22"/>
              <w:ind w:left="40"/>
              <w:rPr>
                <w:sz w:val="16"/>
              </w:rPr>
            </w:pPr>
            <w:r>
              <w:rPr>
                <w:color w:val="231F20"/>
                <w:sz w:val="16"/>
              </w:rPr>
              <w:t>Interest rate</w:t>
            </w:r>
          </w:p>
        </w:tc>
        <w:tc>
          <w:tcPr>
            <w:tcW w:w="120" w:type="dxa"/>
            <w:shd w:val="clear" w:color="auto" w:fill="CCECFC"/>
          </w:tcPr>
          <w:p>
            <w:pPr/>
          </w:p>
        </w:tc>
        <w:tc>
          <w:tcPr>
            <w:tcW w:w="908" w:type="dxa"/>
            <w:shd w:val="clear" w:color="auto" w:fill="CCECFC"/>
          </w:tcPr>
          <w:p>
            <w:pPr>
              <w:pStyle w:val="TableParagraph"/>
              <w:spacing w:before="22"/>
              <w:rPr>
                <w:sz w:val="16"/>
              </w:rPr>
            </w:pPr>
            <w:r>
              <w:rPr>
                <w:color w:val="231F20"/>
                <w:sz w:val="16"/>
              </w:rPr>
              <w:t>Other</w:t>
            </w:r>
          </w:p>
        </w:tc>
        <w:tc>
          <w:tcPr>
            <w:tcW w:w="114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c>
          <w:tcPr>
            <w:tcW w:w="239" w:type="dxa"/>
            <w:shd w:val="clear" w:color="auto" w:fill="CCECFC"/>
          </w:tcPr>
          <w:p>
            <w:pPr/>
          </w:p>
        </w:tc>
        <w:tc>
          <w:tcPr>
            <w:tcW w:w="96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r>
      <w:tr>
        <w:trPr>
          <w:trHeight w:val="172" w:hRule="exact"/>
        </w:trPr>
        <w:tc>
          <w:tcPr>
            <w:tcW w:w="952" w:type="dxa"/>
            <w:shd w:val="clear" w:color="auto" w:fill="CCECFC"/>
          </w:tcPr>
          <w:p>
            <w:pPr>
              <w:pStyle w:val="TableParagraph"/>
              <w:spacing w:line="175" w:lineRule="exact" w:before="0"/>
              <w:ind w:left="40"/>
              <w:rPr>
                <w:sz w:val="16"/>
              </w:rPr>
            </w:pPr>
            <w:r>
              <w:rPr>
                <w:color w:val="231F20"/>
                <w:sz w:val="16"/>
              </w:rPr>
              <w:t>derivative</w:t>
            </w:r>
          </w:p>
        </w:tc>
        <w:tc>
          <w:tcPr>
            <w:tcW w:w="120" w:type="dxa"/>
            <w:shd w:val="clear" w:color="auto" w:fill="CCECFC"/>
          </w:tcPr>
          <w:p>
            <w:pPr/>
          </w:p>
        </w:tc>
        <w:tc>
          <w:tcPr>
            <w:tcW w:w="908" w:type="dxa"/>
            <w:shd w:val="clear" w:color="auto" w:fill="CCECFC"/>
          </w:tcPr>
          <w:p>
            <w:pPr>
              <w:pStyle w:val="TableParagraph"/>
              <w:spacing w:line="175" w:lineRule="exact" w:before="0"/>
              <w:rPr>
                <w:sz w:val="16"/>
              </w:rPr>
            </w:pPr>
            <w:r>
              <w:rPr>
                <w:color w:val="231F20"/>
                <w:sz w:val="16"/>
              </w:rPr>
              <w:t>noncurrent</w:t>
            </w:r>
          </w:p>
        </w:tc>
        <w:tc>
          <w:tcPr>
            <w:tcW w:w="114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c>
          <w:tcPr>
            <w:tcW w:w="239" w:type="dxa"/>
            <w:shd w:val="clear" w:color="auto" w:fill="CCECFC"/>
          </w:tcPr>
          <w:p>
            <w:pPr/>
          </w:p>
        </w:tc>
        <w:tc>
          <w:tcPr>
            <w:tcW w:w="960" w:type="dxa"/>
            <w:shd w:val="clear" w:color="auto" w:fill="CCECFC"/>
          </w:tcPr>
          <w:p>
            <w:pPr/>
          </w:p>
        </w:tc>
        <w:tc>
          <w:tcPr>
            <w:tcW w:w="120" w:type="dxa"/>
            <w:shd w:val="clear" w:color="auto" w:fill="CCECFC"/>
          </w:tcPr>
          <w:p>
            <w:pPr/>
          </w:p>
        </w:tc>
        <w:tc>
          <w:tcPr>
            <w:tcW w:w="1140" w:type="dxa"/>
            <w:shd w:val="clear" w:color="auto" w:fill="CCECFC"/>
          </w:tcPr>
          <w:p>
            <w:pPr/>
          </w:p>
        </w:tc>
        <w:tc>
          <w:tcPr>
            <w:tcW w:w="1140" w:type="dxa"/>
            <w:shd w:val="clear" w:color="auto" w:fill="CCECFC"/>
          </w:tcPr>
          <w:p>
            <w:pPr/>
          </w:p>
        </w:tc>
      </w:tr>
      <w:tr>
        <w:trPr>
          <w:trHeight w:val="200" w:hRule="exact"/>
        </w:trPr>
        <w:tc>
          <w:tcPr>
            <w:tcW w:w="952" w:type="dxa"/>
            <w:shd w:val="clear" w:color="auto" w:fill="CCECFC"/>
          </w:tcPr>
          <w:p>
            <w:pPr>
              <w:pStyle w:val="TableParagraph"/>
              <w:spacing w:line="175" w:lineRule="exact" w:before="0"/>
              <w:ind w:left="40"/>
              <w:rPr>
                <w:sz w:val="16"/>
              </w:rPr>
            </w:pPr>
            <w:r>
              <w:rPr>
                <w:color w:val="231F20"/>
                <w:sz w:val="16"/>
              </w:rPr>
              <w:t>contracts</w:t>
            </w:r>
          </w:p>
        </w:tc>
        <w:tc>
          <w:tcPr>
            <w:tcW w:w="120" w:type="dxa"/>
            <w:shd w:val="clear" w:color="auto" w:fill="CCECFC"/>
          </w:tcPr>
          <w:p>
            <w:pPr/>
          </w:p>
        </w:tc>
        <w:tc>
          <w:tcPr>
            <w:tcW w:w="908" w:type="dxa"/>
            <w:shd w:val="clear" w:color="auto" w:fill="CCECFC"/>
          </w:tcPr>
          <w:p>
            <w:pPr>
              <w:pStyle w:val="TableParagraph"/>
              <w:spacing w:line="175" w:lineRule="exact" w:before="0"/>
              <w:rPr>
                <w:sz w:val="16"/>
              </w:rPr>
            </w:pPr>
            <w:r>
              <w:rPr>
                <w:color w:val="231F20"/>
                <w:sz w:val="16"/>
              </w:rPr>
              <w:t>liabilities</w:t>
            </w:r>
          </w:p>
        </w:tc>
        <w:tc>
          <w:tcPr>
            <w:tcW w:w="1140" w:type="dxa"/>
            <w:shd w:val="clear" w:color="auto" w:fill="CCECFC"/>
          </w:tcPr>
          <w:p>
            <w:pPr>
              <w:pStyle w:val="TableParagraph"/>
              <w:tabs>
                <w:tab w:pos="866" w:val="left" w:leader="none"/>
              </w:tabs>
              <w:spacing w:line="175" w:lineRule="exact" w:before="0"/>
              <w:ind w:right="50"/>
              <w:jc w:val="right"/>
              <w:rPr>
                <w:sz w:val="16"/>
              </w:rPr>
            </w:pPr>
            <w:r>
              <w:rPr>
                <w:color w:val="231F20"/>
                <w:sz w:val="16"/>
              </w:rPr>
              <w:t>$</w:t>
              <w:tab/>
              <w:t>61</w:t>
            </w:r>
          </w:p>
        </w:tc>
        <w:tc>
          <w:tcPr>
            <w:tcW w:w="120" w:type="dxa"/>
            <w:shd w:val="clear" w:color="auto" w:fill="CCECFC"/>
          </w:tcPr>
          <w:p>
            <w:pPr/>
          </w:p>
        </w:tc>
        <w:tc>
          <w:tcPr>
            <w:tcW w:w="1140" w:type="dxa"/>
            <w:shd w:val="clear" w:color="auto" w:fill="CCECFC"/>
          </w:tcPr>
          <w:p>
            <w:pPr>
              <w:pStyle w:val="TableParagraph"/>
              <w:tabs>
                <w:tab w:pos="866" w:val="left" w:leader="none"/>
              </w:tabs>
              <w:spacing w:line="175" w:lineRule="exact" w:before="0"/>
              <w:rPr>
                <w:sz w:val="16"/>
              </w:rPr>
            </w:pPr>
            <w:r>
              <w:rPr>
                <w:color w:val="231F20"/>
                <w:sz w:val="16"/>
              </w:rPr>
              <w:t>$</w:t>
              <w:tab/>
              <w:t>—</w:t>
            </w:r>
          </w:p>
        </w:tc>
        <w:tc>
          <w:tcPr>
            <w:tcW w:w="1140" w:type="dxa"/>
            <w:shd w:val="clear" w:color="auto" w:fill="CCECFC"/>
          </w:tcPr>
          <w:p>
            <w:pPr>
              <w:pStyle w:val="TableParagraph"/>
              <w:tabs>
                <w:tab w:pos="749" w:val="left" w:leader="none"/>
              </w:tabs>
              <w:spacing w:line="175" w:lineRule="exact" w:before="0"/>
              <w:ind w:left="59"/>
              <w:rPr>
                <w:sz w:val="16"/>
              </w:rPr>
            </w:pPr>
            <w:r>
              <w:rPr>
                <w:color w:val="231F20"/>
                <w:sz w:val="16"/>
              </w:rPr>
              <w:t>$</w:t>
              <w:tab/>
              <w:t>61</w:t>
            </w:r>
            <w:r>
              <w:rPr>
                <w:color w:val="231F20"/>
                <w:spacing w:val="13"/>
                <w:sz w:val="16"/>
              </w:rPr>
              <w:t> </w:t>
            </w:r>
            <w:r>
              <w:rPr>
                <w:color w:val="231F20"/>
                <w:sz w:val="16"/>
              </w:rPr>
              <w:t>(a)</w:t>
            </w:r>
          </w:p>
        </w:tc>
        <w:tc>
          <w:tcPr>
            <w:tcW w:w="239" w:type="dxa"/>
            <w:shd w:val="clear" w:color="auto" w:fill="CCECFC"/>
          </w:tcPr>
          <w:p>
            <w:pPr/>
          </w:p>
        </w:tc>
        <w:tc>
          <w:tcPr>
            <w:tcW w:w="960" w:type="dxa"/>
            <w:shd w:val="clear" w:color="auto" w:fill="CCECFC"/>
          </w:tcPr>
          <w:p>
            <w:pPr>
              <w:pStyle w:val="TableParagraph"/>
              <w:tabs>
                <w:tab w:pos="746" w:val="left" w:leader="none"/>
              </w:tabs>
              <w:spacing w:line="175" w:lineRule="exact" w:before="0"/>
              <w:ind w:right="50"/>
              <w:jc w:val="center"/>
              <w:rPr>
                <w:sz w:val="16"/>
              </w:rPr>
            </w:pPr>
            <w:r>
              <w:rPr>
                <w:color w:val="231F20"/>
                <w:sz w:val="16"/>
              </w:rPr>
              <w:t>$</w:t>
              <w:tab/>
              <w:t>77</w:t>
            </w:r>
          </w:p>
        </w:tc>
        <w:tc>
          <w:tcPr>
            <w:tcW w:w="120" w:type="dxa"/>
            <w:shd w:val="clear" w:color="auto" w:fill="CCECFC"/>
          </w:tcPr>
          <w:p>
            <w:pPr/>
          </w:p>
        </w:tc>
        <w:tc>
          <w:tcPr>
            <w:tcW w:w="1140" w:type="dxa"/>
            <w:shd w:val="clear" w:color="auto" w:fill="CCECFC"/>
          </w:tcPr>
          <w:p>
            <w:pPr>
              <w:pStyle w:val="TableParagraph"/>
              <w:tabs>
                <w:tab w:pos="813" w:val="left" w:leader="none"/>
              </w:tabs>
              <w:spacing w:line="175" w:lineRule="exact" w:before="0"/>
              <w:rPr>
                <w:sz w:val="16"/>
              </w:rPr>
            </w:pPr>
            <w:r>
              <w:rPr>
                <w:color w:val="231F20"/>
                <w:sz w:val="16"/>
              </w:rPr>
              <w:t>$</w:t>
              <w:tab/>
              <w:t>(32)</w:t>
            </w:r>
          </w:p>
        </w:tc>
        <w:tc>
          <w:tcPr>
            <w:tcW w:w="1140" w:type="dxa"/>
            <w:shd w:val="clear" w:color="auto" w:fill="CCECFC"/>
          </w:tcPr>
          <w:p>
            <w:pPr>
              <w:pStyle w:val="TableParagraph"/>
              <w:tabs>
                <w:tab w:pos="669" w:val="left" w:leader="none"/>
              </w:tabs>
              <w:spacing w:line="175" w:lineRule="exact" w:before="0"/>
              <w:ind w:left="59"/>
              <w:rPr>
                <w:sz w:val="16"/>
              </w:rPr>
            </w:pPr>
            <w:r>
              <w:rPr>
                <w:color w:val="231F20"/>
                <w:sz w:val="16"/>
              </w:rPr>
              <w:t>$</w:t>
              <w:tab/>
              <w:t>45</w:t>
            </w:r>
            <w:r>
              <w:rPr>
                <w:color w:val="231F20"/>
                <w:spacing w:val="13"/>
                <w:sz w:val="16"/>
              </w:rPr>
              <w:t> </w:t>
            </w:r>
            <w:r>
              <w:rPr>
                <w:color w:val="231F20"/>
                <w:sz w:val="16"/>
              </w:rPr>
              <w:t>(a)</w:t>
            </w:r>
          </w:p>
        </w:tc>
      </w:tr>
    </w:tbl>
    <w:p>
      <w:pPr>
        <w:pStyle w:val="BodyText"/>
        <w:spacing w:before="10"/>
        <w:rPr>
          <w:b/>
          <w:sz w:val="18"/>
        </w:rPr>
      </w:pPr>
    </w:p>
    <w:p>
      <w:pPr>
        <w:spacing w:line="249" w:lineRule="auto" w:before="94"/>
        <w:ind w:left="120" w:right="171" w:firstLine="0"/>
        <w:jc w:val="left"/>
        <w:rPr>
          <w:sz w:val="20"/>
        </w:rPr>
      </w:pPr>
      <w:r>
        <w:rPr>
          <w:color w:val="231F20"/>
          <w:sz w:val="20"/>
        </w:rPr>
        <w:t>(a) The net amounts of derivative assets and liabilities are reconciled to the individual line item amounts presented in the Consolidated Balance Sheet in Note 5.</w:t>
      </w:r>
    </w:p>
    <w:p>
      <w:pPr>
        <w:spacing w:after="0" w:line="249" w:lineRule="auto"/>
        <w:jc w:val="left"/>
        <w:rPr>
          <w:sz w:val="20"/>
        </w:rPr>
        <w:sectPr>
          <w:type w:val="continuous"/>
          <w:pgSz w:w="11880" w:h="15480"/>
          <w:pgMar w:top="1260" w:bottom="280" w:left="1260" w:right="1240"/>
        </w:sectPr>
      </w:pPr>
    </w:p>
    <w:p>
      <w:pPr>
        <w:pStyle w:val="BodyText"/>
        <w:spacing w:line="247" w:lineRule="auto" w:before="74"/>
        <w:ind w:left="160" w:firstLine="720"/>
      </w:pPr>
      <w:r>
        <w:rPr>
          <w:color w:val="231F20"/>
        </w:rPr>
        <w:t>The following tables present the impact of derivative instruments and their location within the Consolidated Statement of Income for the year ended December 31, 2014 and 2013:</w:t>
      </w:r>
    </w:p>
    <w:p>
      <w:pPr>
        <w:pStyle w:val="BodyText"/>
        <w:rPr>
          <w:sz w:val="12"/>
        </w:rPr>
      </w:pPr>
    </w:p>
    <w:p>
      <w:pPr>
        <w:spacing w:before="99"/>
        <w:ind w:left="160" w:right="0" w:firstLine="0"/>
        <w:jc w:val="left"/>
        <w:rPr>
          <w:b/>
          <w:sz w:val="20"/>
        </w:rPr>
      </w:pPr>
      <w:r>
        <w:rPr>
          <w:b/>
          <w:color w:val="231F20"/>
          <w:sz w:val="20"/>
          <w:u w:val="single" w:color="231F20"/>
        </w:rPr>
        <w:t>Derivatives in cash flow hedging relationships</w:t>
      </w:r>
    </w:p>
    <w:p>
      <w:pPr>
        <w:pStyle w:val="BodyText"/>
        <w:spacing w:before="11"/>
        <w:rPr>
          <w:b/>
          <w:sz w:val="12"/>
        </w:rPr>
      </w:pPr>
    </w:p>
    <w:p>
      <w:pPr>
        <w:spacing w:after="0"/>
        <w:rPr>
          <w:sz w:val="12"/>
        </w:rPr>
        <w:sectPr>
          <w:pgSz w:w="11880" w:h="15480"/>
          <w:pgMar w:header="0" w:footer="1240" w:top="1240" w:bottom="1420" w:left="1220" w:right="1260"/>
        </w:sectPr>
      </w:pPr>
    </w:p>
    <w:p>
      <w:pPr>
        <w:spacing w:line="252" w:lineRule="auto" w:before="99"/>
        <w:ind w:left="2288" w:right="0" w:firstLine="0"/>
        <w:jc w:val="center"/>
        <w:rPr>
          <w:b/>
          <w:sz w:val="19"/>
        </w:rPr>
      </w:pPr>
      <w:r>
        <w:rPr/>
        <w:pict>
          <v:line style="position:absolute;mso-position-horizontal-relative:page;mso-position-vertical-relative:paragraph;z-index:5488" from="167pt,40.319141pt" to="284pt,40.319141pt" stroked="true" strokeweight="1pt" strokecolor="#231f20">
            <v:stroke dashstyle="solid"/>
            <w10:wrap type="none"/>
          </v:line>
        </w:pict>
      </w:r>
      <w:r>
        <w:rPr>
          <w:b/>
          <w:color w:val="231F20"/>
          <w:sz w:val="19"/>
        </w:rPr>
        <w:t>(Gain) loss recognized in AOCI on derivatives (effective portion)</w:t>
      </w:r>
    </w:p>
    <w:p>
      <w:pPr>
        <w:spacing w:line="252" w:lineRule="auto" w:before="80"/>
        <w:ind w:left="2735" w:right="445" w:firstLine="1"/>
        <w:jc w:val="center"/>
        <w:rPr>
          <w:b/>
          <w:sz w:val="19"/>
        </w:rPr>
      </w:pPr>
      <w:r>
        <w:rPr>
          <w:b/>
          <w:color w:val="231F20"/>
          <w:sz w:val="19"/>
        </w:rPr>
        <w:t>Year ended December 31,</w:t>
      </w:r>
    </w:p>
    <w:p>
      <w:pPr>
        <w:spacing w:line="252" w:lineRule="auto" w:before="99"/>
        <w:ind w:left="420" w:right="0" w:firstLine="0"/>
        <w:jc w:val="center"/>
        <w:rPr>
          <w:b/>
          <w:sz w:val="19"/>
        </w:rPr>
      </w:pPr>
      <w:r>
        <w:rPr/>
        <w:br w:type="column"/>
      </w:r>
      <w:r>
        <w:rPr>
          <w:b/>
          <w:color w:val="231F20"/>
          <w:sz w:val="19"/>
        </w:rPr>
        <w:t>(Gain) loss reclassified from AOCI into income</w:t>
      </w:r>
      <w:r>
        <w:rPr>
          <w:b/>
          <w:color w:val="231F20"/>
          <w:w w:val="100"/>
          <w:sz w:val="19"/>
        </w:rPr>
        <w:t> </w:t>
      </w:r>
      <w:r>
        <w:rPr>
          <w:b/>
          <w:color w:val="231F20"/>
          <w:sz w:val="19"/>
        </w:rPr>
        <w:t>(effective portion)(a)</w:t>
      </w:r>
    </w:p>
    <w:p>
      <w:pPr>
        <w:spacing w:line="252" w:lineRule="auto" w:before="80"/>
        <w:ind w:left="835" w:right="413" w:firstLine="1"/>
        <w:jc w:val="center"/>
        <w:rPr>
          <w:b/>
          <w:sz w:val="19"/>
        </w:rPr>
      </w:pPr>
      <w:r>
        <w:rPr/>
        <w:pict>
          <v:line style="position:absolute;mso-position-horizontal-relative:page;mso-position-vertical-relative:paragraph;z-index:5512" from="292pt,.869141pt" to="402pt,.869141pt" stroked="true" strokeweight="1pt" strokecolor="#231f20">
            <v:stroke dashstyle="solid"/>
            <w10:wrap type="none"/>
          </v:line>
        </w:pict>
      </w:r>
      <w:r>
        <w:rPr>
          <w:b/>
          <w:color w:val="231F20"/>
          <w:sz w:val="19"/>
        </w:rPr>
        <w:t>Year ended December 31,</w:t>
      </w:r>
    </w:p>
    <w:p>
      <w:pPr>
        <w:spacing w:line="252" w:lineRule="auto" w:before="99"/>
        <w:ind w:left="470" w:right="197" w:firstLine="0"/>
        <w:jc w:val="center"/>
        <w:rPr>
          <w:b/>
          <w:sz w:val="19"/>
        </w:rPr>
      </w:pPr>
      <w:r>
        <w:rPr/>
        <w:br w:type="column"/>
      </w:r>
      <w:r>
        <w:rPr>
          <w:b/>
          <w:color w:val="231F20"/>
          <w:sz w:val="19"/>
        </w:rPr>
        <w:t>(Gain) loss recognized in income on derivatives (ineffective portion)(b)</w:t>
      </w:r>
    </w:p>
    <w:p>
      <w:pPr>
        <w:pStyle w:val="BodyText"/>
        <w:spacing w:line="20" w:lineRule="exact"/>
        <w:ind w:left="381"/>
        <w:rPr>
          <w:sz w:val="2"/>
        </w:rPr>
      </w:pPr>
      <w:r>
        <w:rPr>
          <w:sz w:val="2"/>
        </w:rPr>
        <w:pict>
          <v:group style="width:109pt;height:1pt;mso-position-horizontal-relative:char;mso-position-vertical-relative:line" coordorigin="0,0" coordsize="2180,20">
            <v:line style="position:absolute" from="10,10" to="2170,10" stroked="true" strokeweight="1pt" strokecolor="#231f20">
              <v:stroke dashstyle="solid"/>
            </v:line>
          </v:group>
        </w:pict>
      </w:r>
      <w:r>
        <w:rPr>
          <w:sz w:val="2"/>
        </w:rPr>
      </w:r>
    </w:p>
    <w:p>
      <w:pPr>
        <w:spacing w:line="252" w:lineRule="auto" w:before="60"/>
        <w:ind w:left="917" w:right="645" w:firstLine="1"/>
        <w:jc w:val="center"/>
        <w:rPr>
          <w:b/>
          <w:sz w:val="19"/>
        </w:rPr>
      </w:pPr>
      <w:r>
        <w:rPr>
          <w:b/>
          <w:color w:val="231F20"/>
          <w:sz w:val="19"/>
        </w:rPr>
        <w:t>Year ended December 31,</w:t>
      </w:r>
    </w:p>
    <w:p>
      <w:pPr>
        <w:spacing w:after="0" w:line="252" w:lineRule="auto"/>
        <w:jc w:val="center"/>
        <w:rPr>
          <w:sz w:val="19"/>
        </w:rPr>
        <w:sectPr>
          <w:type w:val="continuous"/>
          <w:pgSz w:w="11880" w:h="15480"/>
          <w:pgMar w:top="1260" w:bottom="280" w:left="1220" w:right="1260"/>
          <w:cols w:num="3" w:equalWidth="0">
            <w:col w:w="4291" w:space="40"/>
            <w:col w:w="2359" w:space="40"/>
            <w:col w:w="2670"/>
          </w:cols>
        </w:sectPr>
      </w:pPr>
    </w:p>
    <w:p>
      <w:pPr>
        <w:tabs>
          <w:tab w:pos="7110" w:val="left" w:leader="none"/>
        </w:tabs>
        <w:spacing w:line="20" w:lineRule="exact"/>
        <w:ind w:left="2110" w:right="0" w:firstLine="0"/>
        <w:rPr>
          <w:sz w:val="2"/>
        </w:rPr>
      </w:pPr>
      <w:r>
        <w:rPr>
          <w:sz w:val="2"/>
        </w:rPr>
        <w:pict>
          <v:group style="width:118pt;height:1pt;mso-position-horizontal-relative:char;mso-position-vertical-relative:line" coordorigin="0,0" coordsize="2360,20">
            <v:line style="position:absolute" from="10,10" to="2350,10" stroked="true" strokeweight="1pt" strokecolor="#231f20">
              <v:stroke dashstyle="solid"/>
            </v:line>
          </v:group>
        </w:pict>
      </w:r>
      <w:r>
        <w:rPr>
          <w:sz w:val="2"/>
        </w:rPr>
      </w:r>
      <w:r>
        <w:rPr>
          <w:spacing w:val="125"/>
          <w:sz w:val="2"/>
        </w:rPr>
        <w:t> </w:t>
      </w:r>
      <w:r>
        <w:rPr>
          <w:spacing w:val="125"/>
          <w:sz w:val="2"/>
        </w:rPr>
        <w:pict>
          <v:group style="width:111pt;height:1pt;mso-position-horizontal-relative:char;mso-position-vertical-relative:line" coordorigin="0,0" coordsize="2220,20">
            <v:line style="position:absolute" from="10,10" to="2210,10" stroked="true" strokeweight="1pt" strokecolor="#231f20">
              <v:stroke dashstyle="solid"/>
            </v:line>
          </v:group>
        </w:pict>
      </w:r>
      <w:r>
        <w:rPr>
          <w:spacing w:val="125"/>
          <w:sz w:val="2"/>
        </w:rPr>
      </w:r>
      <w:r>
        <w:rPr>
          <w:spacing w:val="125"/>
          <w:sz w:val="2"/>
        </w:rPr>
        <w:tab/>
      </w:r>
      <w:r>
        <w:rPr>
          <w:spacing w:val="125"/>
          <w:sz w:val="2"/>
        </w:rPr>
        <w:pict>
          <v:group style="width:109pt;height:1pt;mso-position-horizontal-relative:char;mso-position-vertical-relative:line" coordorigin="0,0" coordsize="2180,20">
            <v:line style="position:absolute" from="10,10" to="2170,10" stroked="true" strokeweight="1pt" strokecolor="#231f20">
              <v:stroke dashstyle="solid"/>
            </v:line>
          </v:group>
        </w:pict>
      </w:r>
      <w:r>
        <w:rPr>
          <w:spacing w:val="125"/>
          <w:sz w:val="2"/>
        </w:rPr>
      </w:r>
    </w:p>
    <w:p>
      <w:pPr>
        <w:tabs>
          <w:tab w:pos="2429" w:val="left" w:leader="none"/>
          <w:tab w:pos="3749" w:val="left" w:leader="none"/>
          <w:tab w:pos="4879" w:val="left" w:leader="none"/>
          <w:tab w:pos="6129" w:val="left" w:leader="none"/>
          <w:tab w:pos="7329" w:val="left" w:leader="none"/>
          <w:tab w:pos="8689" w:val="left" w:leader="none"/>
        </w:tabs>
        <w:spacing w:before="60" w:after="18"/>
        <w:ind w:left="160" w:right="0" w:firstLine="0"/>
        <w:jc w:val="left"/>
        <w:rPr>
          <w:b/>
          <w:sz w:val="19"/>
        </w:rPr>
      </w:pPr>
      <w:r>
        <w:rPr>
          <w:b/>
          <w:color w:val="231F20"/>
          <w:sz w:val="19"/>
        </w:rPr>
        <w:t>(in millions)</w:t>
        <w:tab/>
        <w:t>2014</w:t>
        <w:tab/>
        <w:t>2013</w:t>
        <w:tab/>
        <w:t>2014</w:t>
        <w:tab/>
        <w:t>2013</w:t>
        <w:tab/>
        <w:t>2014</w:t>
        <w:tab/>
        <w:t>2013</w:t>
      </w:r>
    </w:p>
    <w:p>
      <w:pPr>
        <w:pStyle w:val="BodyText"/>
        <w:ind w:left="150"/>
        <w:rPr>
          <w:sz w:val="20"/>
        </w:rPr>
      </w:pPr>
      <w:r>
        <w:rPr>
          <w:sz w:val="20"/>
        </w:rPr>
        <w:pict>
          <v:group style="width:457pt;height:28pt;mso-position-horizontal-relative:char;mso-position-vertical-relative:line" coordorigin="0,0" coordsize="9140,560">
            <v:rect style="position:absolute;left:10;top:20;width:9120;height:540" filled="true" fillcolor="#ccecfc" stroked="false">
              <v:fill type="solid"/>
            </v:rect>
            <v:line style="position:absolute" from="10,10" to="988,10" stroked="true" strokeweight="1pt" strokecolor="#231f20">
              <v:stroke dashstyle="solid"/>
            </v:line>
            <v:line style="position:absolute" from="1970,10" to="2970,10" stroked="true" strokeweight="1pt" strokecolor="#231f20">
              <v:stroke dashstyle="solid"/>
            </v:line>
            <v:line style="position:absolute" from="3270,10" to="4310,10" stroked="true" strokeweight="1pt" strokecolor="#231f20">
              <v:stroke dashstyle="solid"/>
            </v:line>
            <v:line style="position:absolute" from="4470,10" to="5370,10" stroked="true" strokeweight="1pt" strokecolor="#231f20">
              <v:stroke dashstyle="solid"/>
            </v:line>
            <v:line style="position:absolute" from="5670,10" to="6670,10" stroked="true" strokeweight="1pt" strokecolor="#231f20">
              <v:stroke dashstyle="solid"/>
            </v:line>
            <v:line style="position:absolute" from="6970,10" to="7770,10" stroked="true" strokeweight="1pt" strokecolor="#231f20">
              <v:stroke dashstyle="solid"/>
            </v:line>
            <v:line style="position:absolute" from="8330,10" to="9130,10" stroked="true" strokeweight="1pt" strokecolor="#231f20">
              <v:stroke dashstyle="solid"/>
            </v:line>
            <v:shape style="position:absolute;left:110;top:80;width:1226;height:464" type="#_x0000_t202" filled="false" stroked="false">
              <v:textbox inset="0,0,0,0">
                <w:txbxContent>
                  <w:p>
                    <w:pPr>
                      <w:spacing w:line="249" w:lineRule="auto" w:before="0"/>
                      <w:ind w:left="100" w:right="0" w:hanging="100"/>
                      <w:jc w:val="left"/>
                      <w:rPr>
                        <w:sz w:val="20"/>
                      </w:rPr>
                    </w:pPr>
                    <w:r>
                      <w:rPr>
                        <w:color w:val="231F20"/>
                        <w:sz w:val="20"/>
                      </w:rPr>
                      <w:t>Fuel derivative contracts</w:t>
                    </w:r>
                  </w:p>
                </w:txbxContent>
              </v:textbox>
              <w10:wrap type="none"/>
            </v:shape>
            <v:shape style="position:absolute;left:1970;top:320;width:1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shape style="position:absolute;left:2570;top:320;width:820;height:224" type="#_x0000_t202" filled="false" stroked="false">
              <v:textbox inset="0,0,0,0">
                <w:txbxContent>
                  <w:p>
                    <w:pPr>
                      <w:spacing w:line="223" w:lineRule="exact" w:before="0"/>
                      <w:ind w:left="0" w:right="0" w:firstLine="0"/>
                      <w:jc w:val="left"/>
                      <w:rPr>
                        <w:sz w:val="20"/>
                      </w:rPr>
                    </w:pPr>
                    <w:r>
                      <w:rPr>
                        <w:color w:val="231F20"/>
                        <w:sz w:val="20"/>
                      </w:rPr>
                      <w:t>749   *   $</w:t>
                    </w:r>
                  </w:p>
                </w:txbxContent>
              </v:textbox>
              <w10:wrap type="none"/>
            </v:shape>
            <v:shape style="position:absolute;left:3970;top:320;width:620;height:224" type="#_x0000_t202" filled="false" stroked="false">
              <v:textbox inset="0,0,0,0">
                <w:txbxContent>
                  <w:p>
                    <w:pPr>
                      <w:spacing w:line="223" w:lineRule="exact" w:before="0"/>
                      <w:ind w:left="0" w:right="0" w:firstLine="0"/>
                      <w:jc w:val="left"/>
                      <w:rPr>
                        <w:sz w:val="20"/>
                      </w:rPr>
                    </w:pPr>
                    <w:r>
                      <w:rPr>
                        <w:color w:val="231F20"/>
                        <w:sz w:val="20"/>
                      </w:rPr>
                      <w:t>52 *   $</w:t>
                    </w:r>
                  </w:p>
                </w:txbxContent>
              </v:textbox>
              <w10:wrap type="none"/>
            </v:shape>
            <v:shape style="position:absolute;left:5070;top:320;width:720;height:224" type="#_x0000_t202" filled="false" stroked="false">
              <v:textbox inset="0,0,0,0">
                <w:txbxContent>
                  <w:p>
                    <w:pPr>
                      <w:spacing w:line="223" w:lineRule="exact" w:before="0"/>
                      <w:ind w:left="0" w:right="0" w:firstLine="0"/>
                      <w:jc w:val="left"/>
                      <w:rPr>
                        <w:sz w:val="20"/>
                      </w:rPr>
                    </w:pPr>
                    <w:r>
                      <w:rPr>
                        <w:color w:val="231F20"/>
                        <w:sz w:val="20"/>
                      </w:rPr>
                      <w:t>22   *   $</w:t>
                    </w:r>
                  </w:p>
                </w:txbxContent>
              </v:textbox>
              <w10:wrap type="none"/>
            </v:shape>
            <v:shape style="position:absolute;left:6270;top:320;width:820;height:224" type="#_x0000_t202" filled="false" stroked="false">
              <v:textbox inset="0,0,0,0">
                <w:txbxContent>
                  <w:p>
                    <w:pPr>
                      <w:spacing w:line="223" w:lineRule="exact" w:before="0"/>
                      <w:ind w:left="0" w:right="0" w:firstLine="0"/>
                      <w:jc w:val="left"/>
                      <w:rPr>
                        <w:sz w:val="20"/>
                      </w:rPr>
                    </w:pPr>
                    <w:r>
                      <w:rPr>
                        <w:color w:val="231F20"/>
                        <w:sz w:val="20"/>
                      </w:rPr>
                      <w:t>103   *   $</w:t>
                    </w:r>
                  </w:p>
                </w:txbxContent>
              </v:textbox>
              <w10:wrap type="none"/>
            </v:shape>
            <v:shape style="position:absolute;left:7570;top:320;width:120;height:224" type="#_x0000_t202" filled="false" stroked="false">
              <v:textbox inset="0,0,0,0">
                <w:txbxContent>
                  <w:p>
                    <w:pPr>
                      <w:spacing w:line="223" w:lineRule="exact" w:before="0"/>
                      <w:ind w:left="0" w:right="0" w:firstLine="0"/>
                      <w:jc w:val="left"/>
                      <w:rPr>
                        <w:sz w:val="20"/>
                      </w:rPr>
                    </w:pPr>
                    <w:r>
                      <w:rPr>
                        <w:color w:val="231F20"/>
                        <w:sz w:val="20"/>
                      </w:rPr>
                      <w:t>7</w:t>
                    </w:r>
                  </w:p>
                </w:txbxContent>
              </v:textbox>
              <w10:wrap type="none"/>
            </v:shape>
            <v:shape style="position:absolute;left:8330;top:320;width:720;height:224" type="#_x0000_t202" filled="false" stroked="false">
              <v:textbox inset="0,0,0,0">
                <w:txbxContent>
                  <w:p>
                    <w:pPr>
                      <w:tabs>
                        <w:tab w:pos="499" w:val="left" w:leader="none"/>
                      </w:tabs>
                      <w:spacing w:line="223" w:lineRule="exact" w:before="0"/>
                      <w:ind w:left="0" w:right="0" w:firstLine="0"/>
                      <w:jc w:val="left"/>
                      <w:rPr>
                        <w:sz w:val="20"/>
                      </w:rPr>
                    </w:pPr>
                    <w:r>
                      <w:rPr>
                        <w:color w:val="231F20"/>
                        <w:sz w:val="20"/>
                      </w:rPr>
                      <w:t>$</w:t>
                      <w:tab/>
                      <w:t>10</w:t>
                    </w:r>
                  </w:p>
                </w:txbxContent>
              </v:textbox>
              <w10:wrap type="none"/>
            </v:shape>
          </v:group>
        </w:pict>
      </w:r>
      <w:r>
        <w:rPr>
          <w:sz w:val="20"/>
        </w:rPr>
      </w:r>
    </w:p>
    <w:p>
      <w:pPr>
        <w:pStyle w:val="BodyText"/>
        <w:rPr>
          <w:b/>
          <w:sz w:val="3"/>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60"/>
        <w:gridCol w:w="1000"/>
        <w:gridCol w:w="1420"/>
        <w:gridCol w:w="980"/>
        <w:gridCol w:w="1300"/>
        <w:gridCol w:w="1100"/>
        <w:gridCol w:w="560"/>
        <w:gridCol w:w="800"/>
      </w:tblGrid>
      <w:tr>
        <w:trPr>
          <w:trHeight w:val="232" w:hRule="exact"/>
        </w:trPr>
        <w:tc>
          <w:tcPr>
            <w:tcW w:w="1960" w:type="dxa"/>
          </w:tcPr>
          <w:p>
            <w:pPr>
              <w:pStyle w:val="TableParagraph"/>
              <w:spacing w:line="223" w:lineRule="exact" w:before="0"/>
              <w:ind w:left="100"/>
              <w:rPr>
                <w:sz w:val="20"/>
              </w:rPr>
            </w:pPr>
            <w:r>
              <w:rPr>
                <w:color w:val="231F20"/>
                <w:sz w:val="20"/>
              </w:rPr>
              <w:t>Interest rate</w:t>
            </w:r>
          </w:p>
        </w:tc>
        <w:tc>
          <w:tcPr>
            <w:tcW w:w="7160" w:type="dxa"/>
            <w:gridSpan w:val="7"/>
          </w:tcPr>
          <w:p>
            <w:pPr/>
          </w:p>
        </w:tc>
      </w:tr>
      <w:tr>
        <w:trPr>
          <w:trHeight w:val="263" w:hRule="exact"/>
        </w:trPr>
        <w:tc>
          <w:tcPr>
            <w:tcW w:w="1960" w:type="dxa"/>
          </w:tcPr>
          <w:p>
            <w:pPr>
              <w:pStyle w:val="TableParagraph"/>
              <w:spacing w:before="1"/>
              <w:ind w:left="200"/>
              <w:rPr>
                <w:sz w:val="20"/>
              </w:rPr>
            </w:pPr>
            <w:r>
              <w:rPr>
                <w:color w:val="231F20"/>
                <w:sz w:val="20"/>
              </w:rPr>
              <w:t>derivatives</w:t>
            </w:r>
          </w:p>
        </w:tc>
        <w:tc>
          <w:tcPr>
            <w:tcW w:w="1000" w:type="dxa"/>
            <w:tcBorders>
              <w:bottom w:val="single" w:sz="4" w:space="0" w:color="231F20"/>
            </w:tcBorders>
          </w:tcPr>
          <w:p>
            <w:pPr>
              <w:pStyle w:val="TableParagraph"/>
              <w:spacing w:before="1"/>
              <w:ind w:right="97"/>
              <w:jc w:val="right"/>
              <w:rPr>
                <w:sz w:val="20"/>
              </w:rPr>
            </w:pPr>
            <w:r>
              <w:rPr>
                <w:color w:val="231F20"/>
                <w:sz w:val="20"/>
              </w:rPr>
              <w:t>6</w:t>
            </w:r>
          </w:p>
        </w:tc>
        <w:tc>
          <w:tcPr>
            <w:tcW w:w="1420" w:type="dxa"/>
            <w:tcBorders>
              <w:bottom w:val="single" w:sz="4" w:space="0" w:color="231F20"/>
            </w:tcBorders>
          </w:tcPr>
          <w:p>
            <w:pPr>
              <w:pStyle w:val="TableParagraph"/>
              <w:tabs>
                <w:tab w:pos="865" w:val="left" w:leader="none"/>
              </w:tabs>
              <w:spacing w:before="1"/>
              <w:ind w:left="40"/>
              <w:rPr>
                <w:sz w:val="20"/>
              </w:rPr>
            </w:pPr>
            <w:r>
              <w:rPr>
                <w:color w:val="231F20"/>
                <w:sz w:val="20"/>
              </w:rPr>
              <w:t>*</w:t>
              <w:tab/>
              <w:t>(14)</w:t>
            </w:r>
            <w:r>
              <w:rPr>
                <w:color w:val="231F20"/>
                <w:spacing w:val="-10"/>
                <w:sz w:val="20"/>
              </w:rPr>
              <w:t> </w:t>
            </w:r>
            <w:r>
              <w:rPr>
                <w:color w:val="231F20"/>
                <w:sz w:val="20"/>
              </w:rPr>
              <w:t>*</w:t>
            </w:r>
          </w:p>
        </w:tc>
        <w:tc>
          <w:tcPr>
            <w:tcW w:w="980" w:type="dxa"/>
            <w:tcBorders>
              <w:bottom w:val="single" w:sz="4" w:space="0" w:color="231F20"/>
            </w:tcBorders>
          </w:tcPr>
          <w:p>
            <w:pPr>
              <w:pStyle w:val="TableParagraph"/>
              <w:spacing w:before="1"/>
              <w:ind w:right="97"/>
              <w:jc w:val="right"/>
              <w:rPr>
                <w:sz w:val="20"/>
              </w:rPr>
            </w:pPr>
            <w:r>
              <w:rPr>
                <w:color w:val="231F20"/>
                <w:sz w:val="20"/>
              </w:rPr>
              <w:t>14</w:t>
            </w:r>
          </w:p>
        </w:tc>
        <w:tc>
          <w:tcPr>
            <w:tcW w:w="1300" w:type="dxa"/>
            <w:tcBorders>
              <w:bottom w:val="single" w:sz="4" w:space="0" w:color="231F20"/>
            </w:tcBorders>
          </w:tcPr>
          <w:p>
            <w:pPr>
              <w:pStyle w:val="TableParagraph"/>
              <w:tabs>
                <w:tab w:pos="959" w:val="left" w:leader="none"/>
              </w:tabs>
              <w:spacing w:before="1"/>
              <w:ind w:right="97"/>
              <w:jc w:val="right"/>
              <w:rPr>
                <w:sz w:val="20"/>
              </w:rPr>
            </w:pPr>
            <w:r>
              <w:rPr>
                <w:color w:val="231F20"/>
                <w:sz w:val="20"/>
              </w:rPr>
              <w:t>*</w:t>
              <w:tab/>
              <w:t>18</w:t>
            </w:r>
          </w:p>
        </w:tc>
        <w:tc>
          <w:tcPr>
            <w:tcW w:w="1100" w:type="dxa"/>
            <w:tcBorders>
              <w:bottom w:val="single" w:sz="4" w:space="0" w:color="231F20"/>
            </w:tcBorders>
          </w:tcPr>
          <w:p>
            <w:pPr>
              <w:pStyle w:val="TableParagraph"/>
              <w:tabs>
                <w:tab w:pos="772" w:val="left" w:leader="none"/>
              </w:tabs>
              <w:spacing w:before="1"/>
              <w:ind w:right="51"/>
              <w:jc w:val="right"/>
              <w:rPr>
                <w:sz w:val="20"/>
              </w:rPr>
            </w:pPr>
            <w:r>
              <w:rPr>
                <w:color w:val="231F20"/>
                <w:sz w:val="20"/>
              </w:rPr>
              <w:t>*</w:t>
              <w:tab/>
              <w:t>(4)</w:t>
            </w:r>
          </w:p>
        </w:tc>
        <w:tc>
          <w:tcPr>
            <w:tcW w:w="560" w:type="dxa"/>
          </w:tcPr>
          <w:p>
            <w:pPr/>
          </w:p>
        </w:tc>
        <w:tc>
          <w:tcPr>
            <w:tcW w:w="800" w:type="dxa"/>
          </w:tcPr>
          <w:p>
            <w:pPr>
              <w:pStyle w:val="TableParagraph"/>
              <w:spacing w:before="1"/>
              <w:ind w:right="97"/>
              <w:jc w:val="right"/>
              <w:rPr>
                <w:sz w:val="20"/>
              </w:rPr>
            </w:pPr>
            <w:r>
              <w:rPr>
                <w:color w:val="231F20"/>
                <w:sz w:val="20"/>
              </w:rPr>
              <w:t>1</w:t>
            </w:r>
          </w:p>
        </w:tc>
      </w:tr>
      <w:tr>
        <w:trPr>
          <w:trHeight w:val="360" w:hRule="exact"/>
        </w:trPr>
        <w:tc>
          <w:tcPr>
            <w:tcW w:w="1960" w:type="dxa"/>
            <w:shd w:val="clear" w:color="auto" w:fill="CCECFC"/>
          </w:tcPr>
          <w:p>
            <w:pPr>
              <w:pStyle w:val="TableParagraph"/>
              <w:spacing w:before="58"/>
              <w:ind w:left="200"/>
              <w:rPr>
                <w:sz w:val="20"/>
              </w:rPr>
            </w:pPr>
            <w:r>
              <w:rPr>
                <w:color w:val="231F20"/>
                <w:sz w:val="20"/>
              </w:rPr>
              <w:t>Total</w:t>
            </w:r>
          </w:p>
        </w:tc>
        <w:tc>
          <w:tcPr>
            <w:tcW w:w="1000" w:type="dxa"/>
            <w:tcBorders>
              <w:top w:val="single" w:sz="4" w:space="0" w:color="231F20"/>
              <w:bottom w:val="single" w:sz="4" w:space="0" w:color="231F20"/>
            </w:tcBorders>
            <w:shd w:val="clear" w:color="auto" w:fill="CCECFC"/>
          </w:tcPr>
          <w:p>
            <w:pPr>
              <w:pStyle w:val="TableParagraph"/>
              <w:tabs>
                <w:tab w:pos="599" w:val="left" w:leader="none"/>
              </w:tabs>
              <w:ind w:right="99"/>
              <w:jc w:val="right"/>
              <w:rPr>
                <w:sz w:val="20"/>
              </w:rPr>
            </w:pPr>
            <w:r>
              <w:rPr>
                <w:color w:val="231F20"/>
                <w:sz w:val="20"/>
              </w:rPr>
              <w:t>$</w:t>
              <w:tab/>
            </w:r>
            <w:r>
              <w:rPr>
                <w:color w:val="231F20"/>
                <w:spacing w:val="-1"/>
                <w:sz w:val="20"/>
              </w:rPr>
              <w:t>755</w:t>
            </w:r>
          </w:p>
        </w:tc>
        <w:tc>
          <w:tcPr>
            <w:tcW w:w="1420" w:type="dxa"/>
            <w:tcBorders>
              <w:top w:val="single" w:sz="4" w:space="0" w:color="231F20"/>
              <w:bottom w:val="single" w:sz="4" w:space="0" w:color="231F20"/>
            </w:tcBorders>
            <w:shd w:val="clear" w:color="auto" w:fill="CCECFC"/>
          </w:tcPr>
          <w:p>
            <w:pPr>
              <w:pStyle w:val="TableParagraph"/>
              <w:tabs>
                <w:tab w:pos="999" w:val="left" w:leader="none"/>
              </w:tabs>
              <w:ind w:left="300"/>
              <w:rPr>
                <w:sz w:val="20"/>
              </w:rPr>
            </w:pPr>
            <w:r>
              <w:rPr>
                <w:color w:val="231F20"/>
                <w:sz w:val="20"/>
              </w:rPr>
              <w:t>$</w:t>
              <w:tab/>
              <w:t>38</w:t>
            </w:r>
          </w:p>
        </w:tc>
        <w:tc>
          <w:tcPr>
            <w:tcW w:w="980" w:type="dxa"/>
            <w:tcBorders>
              <w:top w:val="single" w:sz="4" w:space="0" w:color="231F20"/>
              <w:bottom w:val="single" w:sz="4" w:space="0" w:color="231F20"/>
            </w:tcBorders>
            <w:shd w:val="clear" w:color="auto" w:fill="CCECFC"/>
          </w:tcPr>
          <w:p>
            <w:pPr>
              <w:pStyle w:val="TableParagraph"/>
              <w:tabs>
                <w:tab w:pos="599" w:val="left" w:leader="none"/>
              </w:tabs>
              <w:ind w:right="99"/>
              <w:jc w:val="right"/>
              <w:rPr>
                <w:sz w:val="20"/>
              </w:rPr>
            </w:pPr>
            <w:r>
              <w:rPr>
                <w:color w:val="231F20"/>
                <w:sz w:val="20"/>
              </w:rPr>
              <w:t>$</w:t>
              <w:tab/>
              <w:t>36</w:t>
            </w:r>
          </w:p>
        </w:tc>
        <w:tc>
          <w:tcPr>
            <w:tcW w:w="1300" w:type="dxa"/>
            <w:tcBorders>
              <w:top w:val="single" w:sz="4" w:space="0" w:color="231F20"/>
              <w:bottom w:val="single" w:sz="4" w:space="0" w:color="231F20"/>
            </w:tcBorders>
            <w:shd w:val="clear" w:color="auto" w:fill="CCECFC"/>
          </w:tcPr>
          <w:p>
            <w:pPr>
              <w:pStyle w:val="TableParagraph"/>
              <w:tabs>
                <w:tab w:pos="599" w:val="left" w:leader="none"/>
              </w:tabs>
              <w:ind w:right="99"/>
              <w:jc w:val="right"/>
              <w:rPr>
                <w:sz w:val="20"/>
              </w:rPr>
            </w:pPr>
            <w:r>
              <w:rPr>
                <w:color w:val="231F20"/>
                <w:sz w:val="20"/>
              </w:rPr>
              <w:t>$</w:t>
              <w:tab/>
              <w:t>121</w:t>
            </w:r>
          </w:p>
        </w:tc>
        <w:tc>
          <w:tcPr>
            <w:tcW w:w="1100" w:type="dxa"/>
            <w:tcBorders>
              <w:top w:val="single" w:sz="4" w:space="0" w:color="231F20"/>
              <w:bottom w:val="single" w:sz="4" w:space="0" w:color="231F20"/>
            </w:tcBorders>
            <w:shd w:val="clear" w:color="auto" w:fill="CCECFC"/>
          </w:tcPr>
          <w:p>
            <w:pPr>
              <w:pStyle w:val="TableParagraph"/>
              <w:tabs>
                <w:tab w:pos="599" w:val="left" w:leader="none"/>
              </w:tabs>
              <w:ind w:right="99"/>
              <w:jc w:val="right"/>
              <w:rPr>
                <w:sz w:val="20"/>
              </w:rPr>
            </w:pPr>
            <w:r>
              <w:rPr>
                <w:color w:val="231F20"/>
                <w:sz w:val="20"/>
              </w:rPr>
              <w:t>$</w:t>
              <w:tab/>
              <w:t>3</w:t>
            </w:r>
          </w:p>
        </w:tc>
        <w:tc>
          <w:tcPr>
            <w:tcW w:w="560" w:type="dxa"/>
            <w:shd w:val="clear" w:color="auto" w:fill="CCECFC"/>
          </w:tcPr>
          <w:p>
            <w:pPr/>
          </w:p>
        </w:tc>
        <w:tc>
          <w:tcPr>
            <w:tcW w:w="800" w:type="dxa"/>
            <w:tcBorders>
              <w:bottom w:val="single" w:sz="4" w:space="0" w:color="231F20"/>
            </w:tcBorders>
            <w:shd w:val="clear" w:color="auto" w:fill="CCECFC"/>
          </w:tcPr>
          <w:p>
            <w:pPr>
              <w:pStyle w:val="TableParagraph"/>
              <w:tabs>
                <w:tab w:pos="499" w:val="left" w:leader="none"/>
              </w:tabs>
              <w:spacing w:before="58"/>
              <w:ind w:right="99"/>
              <w:jc w:val="right"/>
              <w:rPr>
                <w:sz w:val="20"/>
              </w:rPr>
            </w:pPr>
            <w:r>
              <w:rPr>
                <w:color w:val="231F20"/>
                <w:sz w:val="20"/>
              </w:rPr>
              <w:t>$</w:t>
              <w:tab/>
            </w:r>
            <w:r>
              <w:rPr>
                <w:color w:val="231F20"/>
                <w:spacing w:val="-1"/>
                <w:sz w:val="20"/>
              </w:rPr>
              <w:t>11</w:t>
            </w:r>
          </w:p>
        </w:tc>
      </w:tr>
    </w:tbl>
    <w:p>
      <w:pPr>
        <w:pStyle w:val="BodyText"/>
        <w:rPr>
          <w:b/>
          <w:sz w:val="17"/>
        </w:rPr>
      </w:pPr>
    </w:p>
    <w:p>
      <w:pPr>
        <w:spacing w:before="93"/>
        <w:ind w:left="160" w:right="0" w:firstLine="0"/>
        <w:jc w:val="left"/>
        <w:rPr>
          <w:sz w:val="20"/>
        </w:rPr>
      </w:pPr>
      <w:r>
        <w:rPr/>
        <w:pict>
          <v:group style="position:absolute;margin-left:69pt;margin-top:-28.514063pt;width:456.25pt;height:16.5pt;mso-position-horizontal-relative:page;mso-position-vertical-relative:paragraph;z-index:-404392" coordorigin="1380,-570" coordsize="9125,330">
            <v:rect style="position:absolute;left:1380;top:-560;width:9120;height:300" filled="true" fillcolor="#ccecfc" stroked="false">
              <v:fill type="solid"/>
            </v:rect>
            <v:line style="position:absolute" from="9700,-565" to="10500,-565" stroked="true" strokeweight=".5pt" strokecolor="#231f20">
              <v:stroke dashstyle="solid"/>
            </v:line>
            <v:line style="position:absolute" from="3340,-245" to="4340,-245" stroked="true" strokeweight=".5pt" strokecolor="#231f20">
              <v:stroke dashstyle="solid"/>
            </v:line>
            <v:line style="position:absolute" from="4640,-245" to="5540,-245" stroked="true" strokeweight=".5pt" strokecolor="#231f20">
              <v:stroke dashstyle="solid"/>
            </v:line>
            <v:line style="position:absolute" from="5840,-245" to="6740,-245" stroked="true" strokeweight=".5pt" strokecolor="#231f20">
              <v:stroke dashstyle="solid"/>
            </v:line>
            <v:line style="position:absolute" from="7040,-245" to="8040,-245" stroked="true" strokeweight=".5pt" strokecolor="#231f20">
              <v:stroke dashstyle="solid"/>
            </v:line>
            <v:line style="position:absolute" from="8340,-245" to="9140,-245" stroked="true" strokeweight=".5pt" strokecolor="#231f20">
              <v:stroke dashstyle="solid"/>
            </v:line>
            <v:line style="position:absolute" from="9700,-245" to="10500,-245" stroked="true" strokeweight=".5pt" strokecolor="#231f20">
              <v:stroke dashstyle="solid"/>
            </v:line>
            <w10:wrap type="none"/>
          </v:group>
        </w:pict>
      </w:r>
      <w:r>
        <w:rPr>
          <w:color w:val="231F20"/>
          <w:sz w:val="20"/>
        </w:rPr>
        <w:t>*Net of tax</w:t>
      </w:r>
    </w:p>
    <w:p>
      <w:pPr>
        <w:pStyle w:val="ListParagraph"/>
        <w:numPr>
          <w:ilvl w:val="0"/>
          <w:numId w:val="17"/>
        </w:numPr>
        <w:tabs>
          <w:tab w:pos="433" w:val="left" w:leader="none"/>
        </w:tabs>
        <w:spacing w:line="249" w:lineRule="auto" w:before="129" w:after="0"/>
        <w:ind w:left="160" w:right="593" w:firstLine="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7"/>
        </w:numPr>
        <w:tabs>
          <w:tab w:pos="560" w:val="left" w:leader="none"/>
        </w:tabs>
        <w:spacing w:line="240" w:lineRule="auto" w:before="120" w:after="0"/>
        <w:ind w:left="560" w:right="0" w:hanging="400"/>
        <w:jc w:val="left"/>
        <w:rPr>
          <w:sz w:val="20"/>
        </w:rPr>
      </w:pPr>
      <w:r>
        <w:rPr>
          <w:color w:val="231F20"/>
          <w:sz w:val="20"/>
        </w:rPr>
        <w:t>Amounts are included in Other (gains) losses,</w:t>
      </w:r>
      <w:r>
        <w:rPr>
          <w:color w:val="231F20"/>
          <w:spacing w:val="3"/>
          <w:sz w:val="20"/>
        </w:rPr>
        <w:t> </w:t>
      </w:r>
      <w:r>
        <w:rPr>
          <w:color w:val="231F20"/>
          <w:sz w:val="20"/>
        </w:rPr>
        <w:t>net.</w:t>
      </w:r>
    </w:p>
    <w:p>
      <w:pPr>
        <w:pStyle w:val="BodyText"/>
        <w:rPr>
          <w:sz w:val="13"/>
        </w:rPr>
      </w:pPr>
    </w:p>
    <w:p>
      <w:pPr>
        <w:spacing w:before="100"/>
        <w:ind w:left="160" w:right="0" w:firstLine="0"/>
        <w:jc w:val="left"/>
        <w:rPr>
          <w:b/>
          <w:sz w:val="20"/>
        </w:rPr>
      </w:pPr>
      <w:r>
        <w:rPr>
          <w:b/>
          <w:color w:val="231F20"/>
          <w:sz w:val="20"/>
          <w:u w:val="single" w:color="231F20"/>
        </w:rPr>
        <w:t>Derivatives not in cash flow hedging relationships</w:t>
      </w:r>
    </w:p>
    <w:p>
      <w:pPr>
        <w:pStyle w:val="BodyText"/>
        <w:spacing w:before="1"/>
        <w:rPr>
          <w:b/>
          <w:sz w:val="13"/>
        </w:rPr>
      </w:pPr>
    </w:p>
    <w:p>
      <w:pPr>
        <w:spacing w:after="0"/>
        <w:rPr>
          <w:sz w:val="13"/>
        </w:rPr>
        <w:sectPr>
          <w:type w:val="continuous"/>
          <w:pgSz w:w="11880" w:h="15480"/>
          <w:pgMar w:top="1260" w:bottom="280" w:left="1220" w:right="1260"/>
        </w:sectPr>
      </w:pPr>
    </w:p>
    <w:p>
      <w:pPr>
        <w:spacing w:line="249" w:lineRule="auto" w:before="99"/>
        <w:ind w:left="4187" w:right="-16" w:firstLine="572"/>
        <w:jc w:val="left"/>
        <w:rPr>
          <w:b/>
          <w:sz w:val="20"/>
        </w:rPr>
      </w:pPr>
      <w:r>
        <w:rPr>
          <w:b/>
          <w:color w:val="231F20"/>
          <w:sz w:val="20"/>
        </w:rPr>
        <w:t>(Gain) loss recognized in income on</w:t>
      </w:r>
    </w:p>
    <w:p>
      <w:pPr>
        <w:spacing w:before="0"/>
        <w:ind w:left="0" w:right="538" w:firstLine="0"/>
        <w:jc w:val="right"/>
        <w:rPr>
          <w:b/>
          <w:sz w:val="20"/>
        </w:rPr>
      </w:pPr>
      <w:r>
        <w:rPr/>
        <w:pict>
          <v:line style="position:absolute;mso-position-horizontal-relative:page;mso-position-vertical-relative:paragraph;z-index:5536" from="257pt,12.835938pt" to="387pt,12.835938pt" stroked="true" strokeweight="1pt" strokecolor="#231f20">
            <v:stroke dashstyle="solid"/>
            <w10:wrap type="none"/>
          </v:line>
        </w:pict>
      </w:r>
      <w:r>
        <w:rPr>
          <w:b/>
          <w:color w:val="231F20"/>
          <w:sz w:val="20"/>
        </w:rPr>
        <w:t>derivatives</w:t>
      </w:r>
    </w:p>
    <w:p>
      <w:pPr>
        <w:spacing w:line="249" w:lineRule="auto" w:before="89"/>
        <w:ind w:left="4635" w:right="430" w:firstLine="92"/>
        <w:jc w:val="left"/>
        <w:rPr>
          <w:b/>
          <w:sz w:val="20"/>
        </w:rPr>
      </w:pPr>
      <w:r>
        <w:rPr>
          <w:b/>
          <w:color w:val="231F20"/>
          <w:sz w:val="20"/>
        </w:rPr>
        <w:t>Year ended December 31,</w:t>
      </w:r>
    </w:p>
    <w:p>
      <w:pPr>
        <w:pStyle w:val="BodyText"/>
        <w:rPr>
          <w:b/>
        </w:rPr>
      </w:pPr>
      <w:r>
        <w:rPr/>
        <w:br w:type="column"/>
      </w:r>
      <w:r>
        <w:rPr>
          <w:b/>
        </w:rPr>
      </w:r>
    </w:p>
    <w:p>
      <w:pPr>
        <w:pStyle w:val="BodyText"/>
        <w:rPr>
          <w:b/>
        </w:rPr>
      </w:pPr>
    </w:p>
    <w:p>
      <w:pPr>
        <w:pStyle w:val="BodyText"/>
        <w:rPr>
          <w:b/>
        </w:rPr>
      </w:pPr>
    </w:p>
    <w:p>
      <w:pPr>
        <w:pStyle w:val="BodyText"/>
        <w:spacing w:before="2"/>
        <w:rPr>
          <w:b/>
          <w:sz w:val="19"/>
        </w:rPr>
      </w:pPr>
    </w:p>
    <w:p>
      <w:pPr>
        <w:spacing w:line="249" w:lineRule="auto" w:before="0"/>
        <w:ind w:left="847" w:right="399" w:hanging="42"/>
        <w:jc w:val="left"/>
        <w:rPr>
          <w:b/>
          <w:sz w:val="20"/>
        </w:rPr>
      </w:pPr>
      <w:r>
        <w:rPr/>
        <w:pict>
          <v:shape style="position:absolute;margin-left:66.5pt;margin-top:20.835938pt;width:447.4pt;height:34.75pt;mso-position-horizontal-relative:page;mso-position-vertical-relative:paragraph;z-index:55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10"/>
                    <w:gridCol w:w="1280"/>
                    <w:gridCol w:w="200"/>
                    <w:gridCol w:w="1120"/>
                    <w:gridCol w:w="2537"/>
                  </w:tblGrid>
                  <w:tr>
                    <w:trPr>
                      <w:trHeight w:val="320" w:hRule="exact"/>
                    </w:trPr>
                    <w:tc>
                      <w:tcPr>
                        <w:tcW w:w="3810" w:type="dxa"/>
                      </w:tcPr>
                      <w:p>
                        <w:pPr>
                          <w:pStyle w:val="TableParagraph"/>
                          <w:spacing w:before="63"/>
                          <w:ind w:left="50"/>
                          <w:rPr>
                            <w:b/>
                            <w:sz w:val="20"/>
                          </w:rPr>
                        </w:pPr>
                        <w:r>
                          <w:rPr>
                            <w:b/>
                            <w:color w:val="231F20"/>
                            <w:sz w:val="20"/>
                          </w:rPr>
                          <w:t>(in millions)</w:t>
                        </w:r>
                      </w:p>
                    </w:tc>
                    <w:tc>
                      <w:tcPr>
                        <w:tcW w:w="1280" w:type="dxa"/>
                        <w:tcBorders>
                          <w:top w:val="single" w:sz="8" w:space="0" w:color="231F20"/>
                          <w:bottom w:val="single" w:sz="8" w:space="0" w:color="231F20"/>
                        </w:tcBorders>
                      </w:tcPr>
                      <w:p>
                        <w:pPr>
                          <w:pStyle w:val="TableParagraph"/>
                          <w:jc w:val="center"/>
                          <w:rPr>
                            <w:b/>
                            <w:sz w:val="20"/>
                          </w:rPr>
                        </w:pPr>
                        <w:r>
                          <w:rPr>
                            <w:b/>
                            <w:color w:val="231F20"/>
                            <w:sz w:val="20"/>
                          </w:rPr>
                          <w:t>2014</w:t>
                        </w:r>
                      </w:p>
                    </w:tc>
                    <w:tc>
                      <w:tcPr>
                        <w:tcW w:w="200" w:type="dxa"/>
                        <w:tcBorders>
                          <w:top w:val="single" w:sz="8" w:space="0" w:color="231F20"/>
                        </w:tcBorders>
                      </w:tcPr>
                      <w:p>
                        <w:pPr/>
                      </w:p>
                    </w:tc>
                    <w:tc>
                      <w:tcPr>
                        <w:tcW w:w="1120" w:type="dxa"/>
                        <w:tcBorders>
                          <w:top w:val="single" w:sz="8" w:space="0" w:color="231F20"/>
                          <w:bottom w:val="single" w:sz="8" w:space="0" w:color="231F20"/>
                        </w:tcBorders>
                      </w:tcPr>
                      <w:p>
                        <w:pPr>
                          <w:pStyle w:val="TableParagraph"/>
                          <w:jc w:val="center"/>
                          <w:rPr>
                            <w:b/>
                            <w:sz w:val="20"/>
                          </w:rPr>
                        </w:pPr>
                        <w:r>
                          <w:rPr>
                            <w:b/>
                            <w:color w:val="231F20"/>
                            <w:sz w:val="20"/>
                          </w:rPr>
                          <w:t>2013</w:t>
                        </w:r>
                      </w:p>
                    </w:tc>
                    <w:tc>
                      <w:tcPr>
                        <w:tcW w:w="2537" w:type="dxa"/>
                      </w:tcPr>
                      <w:p>
                        <w:pPr>
                          <w:pStyle w:val="TableParagraph"/>
                          <w:spacing w:before="63"/>
                          <w:ind w:left="531" w:right="31"/>
                          <w:jc w:val="center"/>
                          <w:rPr>
                            <w:b/>
                            <w:sz w:val="20"/>
                          </w:rPr>
                        </w:pPr>
                        <w:r>
                          <w:rPr>
                            <w:b/>
                            <w:color w:val="231F20"/>
                            <w:sz w:val="20"/>
                          </w:rPr>
                          <w:t>on derivatives</w:t>
                        </w:r>
                      </w:p>
                    </w:tc>
                  </w:tr>
                  <w:tr>
                    <w:trPr>
                      <w:trHeight w:val="365" w:hRule="exact"/>
                    </w:trPr>
                    <w:tc>
                      <w:tcPr>
                        <w:tcW w:w="3810" w:type="dxa"/>
                        <w:shd w:val="clear" w:color="auto" w:fill="CCECFC"/>
                      </w:tcPr>
                      <w:p>
                        <w:pPr>
                          <w:pStyle w:val="TableParagraph"/>
                          <w:spacing w:before="63"/>
                          <w:ind w:left="150"/>
                          <w:rPr>
                            <w:sz w:val="20"/>
                          </w:rPr>
                        </w:pPr>
                        <w:r>
                          <w:rPr>
                            <w:color w:val="231F20"/>
                            <w:sz w:val="20"/>
                          </w:rPr>
                          <w:t>Fuel derivative contracts</w:t>
                        </w:r>
                      </w:p>
                    </w:tc>
                    <w:tc>
                      <w:tcPr>
                        <w:tcW w:w="1280" w:type="dxa"/>
                        <w:tcBorders>
                          <w:top w:val="single" w:sz="8" w:space="0" w:color="231F20"/>
                          <w:bottom w:val="single" w:sz="4" w:space="0" w:color="231F20"/>
                        </w:tcBorders>
                        <w:shd w:val="clear" w:color="auto" w:fill="CCECFC"/>
                      </w:tcPr>
                      <w:p>
                        <w:pPr>
                          <w:pStyle w:val="TableParagraph"/>
                          <w:tabs>
                            <w:tab w:pos="879" w:val="left" w:leader="none"/>
                          </w:tabs>
                          <w:ind w:right="97"/>
                          <w:jc w:val="center"/>
                          <w:rPr>
                            <w:sz w:val="20"/>
                          </w:rPr>
                        </w:pPr>
                        <w:r>
                          <w:rPr>
                            <w:color w:val="231F20"/>
                            <w:sz w:val="20"/>
                          </w:rPr>
                          <w:t>$</w:t>
                          <w:tab/>
                          <w:t>244</w:t>
                        </w:r>
                      </w:p>
                    </w:tc>
                    <w:tc>
                      <w:tcPr>
                        <w:tcW w:w="200" w:type="dxa"/>
                        <w:shd w:val="clear" w:color="auto" w:fill="CCECFC"/>
                      </w:tcPr>
                      <w:p>
                        <w:pPr/>
                      </w:p>
                    </w:tc>
                    <w:tc>
                      <w:tcPr>
                        <w:tcW w:w="1120" w:type="dxa"/>
                        <w:tcBorders>
                          <w:top w:val="single" w:sz="8" w:space="0" w:color="231F20"/>
                          <w:bottom w:val="single" w:sz="4" w:space="0" w:color="231F20"/>
                        </w:tcBorders>
                        <w:shd w:val="clear" w:color="auto" w:fill="CCECFC"/>
                      </w:tcPr>
                      <w:p>
                        <w:pPr>
                          <w:pStyle w:val="TableParagraph"/>
                          <w:tabs>
                            <w:tab w:pos="632" w:val="left" w:leader="none"/>
                          </w:tabs>
                          <w:ind w:right="51"/>
                          <w:jc w:val="center"/>
                          <w:rPr>
                            <w:sz w:val="20"/>
                          </w:rPr>
                        </w:pPr>
                        <w:r>
                          <w:rPr>
                            <w:color w:val="231F20"/>
                            <w:sz w:val="20"/>
                          </w:rPr>
                          <w:t>$</w:t>
                          <w:tab/>
                          <w:t>(100)</w:t>
                        </w:r>
                      </w:p>
                    </w:tc>
                    <w:tc>
                      <w:tcPr>
                        <w:tcW w:w="2537" w:type="dxa"/>
                        <w:shd w:val="clear" w:color="auto" w:fill="CCECFC"/>
                      </w:tcPr>
                      <w:p>
                        <w:pPr>
                          <w:pStyle w:val="TableParagraph"/>
                          <w:spacing w:before="63"/>
                          <w:ind w:left="532" w:right="31"/>
                          <w:jc w:val="center"/>
                          <w:rPr>
                            <w:sz w:val="20"/>
                          </w:rPr>
                        </w:pPr>
                        <w:r>
                          <w:rPr>
                            <w:color w:val="231F20"/>
                            <w:sz w:val="20"/>
                          </w:rPr>
                          <w:t>Other (gains) losses, net</w:t>
                        </w:r>
                      </w:p>
                    </w:tc>
                  </w:tr>
                </w:tbl>
                <w:p>
                  <w:pPr>
                    <w:pStyle w:val="BodyText"/>
                  </w:pPr>
                </w:p>
              </w:txbxContent>
            </v:textbox>
            <w10:wrap type="none"/>
          </v:shape>
        </w:pict>
      </w:r>
      <w:r>
        <w:rPr>
          <w:b/>
          <w:color w:val="231F20"/>
          <w:sz w:val="20"/>
        </w:rPr>
        <w:t>Location of (gain) loss recognized in income</w:t>
      </w:r>
    </w:p>
    <w:p>
      <w:pPr>
        <w:spacing w:after="0" w:line="249" w:lineRule="auto"/>
        <w:jc w:val="left"/>
        <w:rPr>
          <w:sz w:val="20"/>
        </w:rPr>
        <w:sectPr>
          <w:type w:val="continuous"/>
          <w:pgSz w:w="11880" w:h="15480"/>
          <w:pgMar w:top="1260" w:bottom="280" w:left="1220" w:right="1260"/>
          <w:cols w:num="2" w:equalWidth="0">
            <w:col w:w="6252" w:space="40"/>
            <w:col w:w="3108"/>
          </w:cols>
        </w:sectPr>
      </w:pPr>
    </w:p>
    <w:p>
      <w:pPr>
        <w:pStyle w:val="BodyText"/>
        <w:spacing w:before="6"/>
        <w:rPr>
          <w:b/>
          <w:sz w:val="21"/>
        </w:rPr>
      </w:pPr>
    </w:p>
    <w:p>
      <w:pPr>
        <w:pStyle w:val="BodyText"/>
        <w:ind w:left="150"/>
        <w:rPr>
          <w:sz w:val="20"/>
        </w:rPr>
      </w:pPr>
      <w:r>
        <w:rPr>
          <w:sz w:val="20"/>
        </w:rPr>
        <w:pict>
          <v:group style="width:457pt;height:17pt;mso-position-horizontal-relative:char;mso-position-vertical-relative:line" coordorigin="0,0" coordsize="9140,340">
            <v:rect style="position:absolute;left:10;top:20;width:9120;height:300" filled="true" fillcolor="#ccecfc" stroked="false">
              <v:fill type="solid"/>
            </v:rect>
            <v:line style="position:absolute" from="6530,10" to="9130,10" stroked="true" strokeweight="1pt" strokecolor="#231f20">
              <v:stroke dashstyle="solid"/>
            </v:line>
            <v:line style="position:absolute" from="10,10" to="1041,10" stroked="true" strokeweight="1pt" strokecolor="#231f20">
              <v:stroke dashstyle="solid"/>
            </v:line>
            <v:line style="position:absolute" from="3770,335" to="5050,335" stroked="true" strokeweight=".5pt" strokecolor="#231f20">
              <v:stroke dashstyle="solid"/>
            </v:line>
            <v:line style="position:absolute" from="5250,335" to="6370,335" stroked="true" strokeweight=".5pt" strokecolor="#231f20">
              <v:stroke dashstyle="solid"/>
            </v:line>
          </v:group>
        </w:pict>
      </w:r>
      <w:r>
        <w:rPr>
          <w:sz w:val="20"/>
        </w:rPr>
      </w:r>
    </w:p>
    <w:p>
      <w:pPr>
        <w:pStyle w:val="BodyText"/>
        <w:spacing w:before="3"/>
        <w:rPr>
          <w:b/>
          <w:sz w:val="19"/>
        </w:rPr>
      </w:pPr>
    </w:p>
    <w:p>
      <w:pPr>
        <w:pStyle w:val="BodyText"/>
        <w:spacing w:line="247" w:lineRule="auto" w:before="93"/>
        <w:ind w:left="160" w:right="118" w:firstLine="720"/>
        <w:jc w:val="both"/>
      </w:pPr>
      <w:r>
        <w:rPr>
          <w:color w:val="231F20"/>
        </w:rPr>
        <w:t>The Company also recorded expense associated with premiums paid for fuel derivative contracts that settled/expired during 2014, 2013, and 2012 of $62 million, $60 million, and $36  million, respectively. These amounts are excluded from the Company’s measurement of effectiveness for related hedges and are included as a component of Other (gains) losses, net, in the Consolidated Statement of</w:t>
      </w:r>
      <w:r>
        <w:rPr>
          <w:color w:val="231F20"/>
          <w:spacing w:val="-1"/>
        </w:rPr>
        <w:t> </w:t>
      </w:r>
      <w:r>
        <w:rPr>
          <w:color w:val="231F20"/>
        </w:rPr>
        <w:t>Income.</w:t>
      </w:r>
    </w:p>
    <w:p>
      <w:pPr>
        <w:pStyle w:val="BodyText"/>
        <w:spacing w:before="9"/>
        <w:rPr>
          <w:sz w:val="20"/>
        </w:rPr>
      </w:pPr>
    </w:p>
    <w:p>
      <w:pPr>
        <w:pStyle w:val="BodyText"/>
        <w:spacing w:line="247" w:lineRule="auto"/>
        <w:ind w:left="160" w:right="118" w:firstLine="720"/>
        <w:jc w:val="both"/>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2014, recorded in AOCI, were approximately $219 million in unrealized losses, net of taxes, which are expected to be realized in earnings during the twelve months subsequent to December 31, 2014.</w:t>
      </w:r>
    </w:p>
    <w:p>
      <w:pPr>
        <w:spacing w:after="0" w:line="247" w:lineRule="auto"/>
        <w:jc w:val="both"/>
        <w:sectPr>
          <w:type w:val="continuous"/>
          <w:pgSz w:w="11880" w:h="15480"/>
          <w:pgMar w:top="1260" w:bottom="280" w:left="1220" w:right="1260"/>
        </w:sectPr>
      </w:pPr>
    </w:p>
    <w:p>
      <w:pPr>
        <w:pStyle w:val="Heading1"/>
        <w:jc w:val="both"/>
      </w:pPr>
      <w:r>
        <w:rPr>
          <w:color w:val="231F20"/>
        </w:rPr>
        <w:t>Interest rate swaps</w:t>
      </w:r>
    </w:p>
    <w:p>
      <w:pPr>
        <w:pStyle w:val="BodyText"/>
        <w:spacing w:before="4"/>
        <w:rPr>
          <w:b/>
          <w:sz w:val="21"/>
        </w:rPr>
      </w:pPr>
    </w:p>
    <w:p>
      <w:pPr>
        <w:pStyle w:val="BodyText"/>
        <w:spacing w:line="247" w:lineRule="auto" w:before="1"/>
        <w:ind w:left="100" w:right="117" w:firstLine="720"/>
        <w:jc w:val="both"/>
      </w:pPr>
      <w:r>
        <w:rPr>
          <w:color w:val="231F20"/>
        </w:rPr>
        <w:t>The Company is party to certain interest rate swap agreements that are accounted for as either fair value hedges or cash flow hedges, as defined in the applicable accounting guidance for derivative instruments and hedging. Several of the Company’s interest rate swap agreements qualify for the “shortcut” method of accounting for hedges, which dictates that the hedges are assumed to be perfectly effective, and, thus, there is no ineffectiveness to be recorded in earnings. For the Company’s interest rate swap agreements that do not qualify for the “shortcut” method of accounting, ineffectiveness is required to be measured at each reporting period. The ineffectiveness associated with all of the Company’s, including AirTran’s, interest rate swap agreements for all periods presented was not material.</w:t>
      </w:r>
    </w:p>
    <w:p>
      <w:pPr>
        <w:pStyle w:val="BodyText"/>
        <w:spacing w:before="9"/>
        <w:rPr>
          <w:sz w:val="20"/>
        </w:rPr>
      </w:pPr>
    </w:p>
    <w:p>
      <w:pPr>
        <w:pStyle w:val="BodyText"/>
        <w:ind w:left="819"/>
      </w:pPr>
      <w:r>
        <w:rPr>
          <w:color w:val="231F20"/>
        </w:rPr>
        <w:t>The  Company  has  floating-to-fixed  interest  rate  swap  agreements  associated  with  its</w:t>
      </w:r>
    </w:p>
    <w:p>
      <w:pPr>
        <w:pStyle w:val="BodyText"/>
        <w:spacing w:line="247" w:lineRule="auto" w:before="6"/>
        <w:ind w:left="100" w:right="118"/>
        <w:jc w:val="both"/>
      </w:pPr>
      <w:r>
        <w:rPr>
          <w:color w:val="231F20"/>
        </w:rPr>
        <w:t>$600 million floating-rate term loan agreement due 2020 and its $332 million term loan agreement due 2019 that are accounted for as cash flow hedges. These interest rate hedges have fixed the interest rate on the $600 million floating-rate term loan agreement at 5.223 percent until maturity, and for the</w:t>
      </w:r>
    </w:p>
    <w:p>
      <w:pPr>
        <w:pStyle w:val="BodyText"/>
        <w:spacing w:line="253" w:lineRule="exact"/>
        <w:ind w:left="100"/>
        <w:jc w:val="both"/>
      </w:pPr>
      <w:r>
        <w:rPr>
          <w:color w:val="231F20"/>
        </w:rPr>
        <w:t>$332 million term loan agreement at 6.315 percent until maturity.</w:t>
      </w:r>
    </w:p>
    <w:p>
      <w:pPr>
        <w:pStyle w:val="BodyText"/>
        <w:spacing w:before="5"/>
        <w:rPr>
          <w:sz w:val="21"/>
        </w:rPr>
      </w:pPr>
    </w:p>
    <w:p>
      <w:pPr>
        <w:pStyle w:val="BodyText"/>
        <w:spacing w:line="247" w:lineRule="auto"/>
        <w:ind w:left="100" w:right="117" w:firstLine="720"/>
        <w:jc w:val="both"/>
      </w:pPr>
      <w:r>
        <w:rPr>
          <w:color w:val="231F20"/>
        </w:rPr>
        <w:t>The fair values of the interest rate swap agreements, which are adjusted regularly, have been aggregated by counterparty for classification in the Consolidated Balance Sheet. Agreements totaling an asset of $13 million are fair value hedges and are classified as a component of Other assets. The corresponding adjustment related to the net asset associated with the Company’s fair value hedges is to the carrying value of the long-term debt. Agreements totaling a net liability of $61 million are cash flow hedges and are classified as a component of Other noncurrent liabilities. The corresponding adjustment related to the net liability associated with the Company’s cash flow hedges is to AOCI. See Note 12.</w:t>
      </w:r>
    </w:p>
    <w:p>
      <w:pPr>
        <w:pStyle w:val="BodyText"/>
        <w:spacing w:before="8"/>
        <w:rPr>
          <w:sz w:val="20"/>
        </w:rPr>
      </w:pPr>
    </w:p>
    <w:p>
      <w:pPr>
        <w:pStyle w:val="BodyText"/>
        <w:spacing w:line="247" w:lineRule="auto" w:before="1"/>
        <w:ind w:left="100" w:right="117" w:firstLine="720"/>
        <w:jc w:val="both"/>
      </w:pPr>
      <w:r>
        <w:rPr>
          <w:color w:val="231F20"/>
        </w:rPr>
        <w:t>There are also a number of interest rate swap agreements, which convert a portion of AirTran’s floating-rate debt to a fixed-rate basis for the remaining life of the debt, thus reducing the impact of interest rate changes on future interest expense and cash flows. Under these agreements, which expire between 2016 and 2020, it pays fixed rates between 4.35 percent and 6.435 percent and receives either three-month or six-month LIBOR on the notional values. The notional amount of outstanding debt related to interest rate swaps as of December 31, 2014, was $243 million. These interest rate swap arrangements were designated as cash flow hedges as of the acquisition date. The ineffectiveness associated with all of the Company’s interest rate cash flow hedges for all periods presented was not material.</w:t>
      </w:r>
    </w:p>
    <w:p>
      <w:pPr>
        <w:pStyle w:val="BodyText"/>
        <w:spacing w:before="9"/>
        <w:rPr>
          <w:sz w:val="20"/>
        </w:rPr>
      </w:pPr>
    </w:p>
    <w:p>
      <w:pPr>
        <w:pStyle w:val="BodyText"/>
        <w:spacing w:line="247" w:lineRule="auto"/>
        <w:ind w:left="100" w:right="117" w:firstLine="720"/>
        <w:jc w:val="both"/>
      </w:pPr>
      <w:r>
        <w:rPr>
          <w:color w:val="231F20"/>
        </w:rPr>
        <w:t>In June 2012, the Company terminated the AirTran floating-to-fixed interest rate swap agreements related to its Floating-rate 737 Aircraft Notes payable through 2020. These swaps were previously designated as cash flow hedges and the gains and/or losses that had previously been deferred in AOCI, which were not material, are being released to expense/income in accordance with the original debt payment schedule. The release of amounts deferred in AOCI related to these interest rate swap agreements was not material during 2014 and is not expected to have a material effect on the Company’s future results of</w:t>
      </w:r>
      <w:r>
        <w:rPr>
          <w:color w:val="231F20"/>
          <w:spacing w:val="-2"/>
        </w:rPr>
        <w:t> </w:t>
      </w:r>
      <w:r>
        <w:rPr>
          <w:color w:val="231F20"/>
        </w:rPr>
        <w:t>operations.</w:t>
      </w:r>
    </w:p>
    <w:p>
      <w:pPr>
        <w:pStyle w:val="BodyText"/>
        <w:spacing w:before="8"/>
        <w:rPr>
          <w:sz w:val="20"/>
        </w:rPr>
      </w:pPr>
    </w:p>
    <w:p>
      <w:pPr>
        <w:pStyle w:val="BodyText"/>
        <w:spacing w:line="247" w:lineRule="auto" w:before="1"/>
        <w:ind w:left="100" w:right="118" w:firstLine="720"/>
        <w:jc w:val="both"/>
      </w:pPr>
      <w:r>
        <w:rPr>
          <w:color w:val="231F20"/>
        </w:rPr>
        <w:t>In December 2012, the Company terminated the fixed-to-floating interest rate swap agreement related to its $100 million 7.375% debentures due 2027. The effect of this termination is such that the interest associated with the debt prospectively reverts back to its original fixed rate. As a result of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approximate $38 million gain realized on this transaction, which will be amortized over the remaining term of the corresponding debentures, and based on projected interest rates at the date of termination, the Company does not believe its future interest expense associated with these debentures will significantly differ from the expense it would have recorded had the debentures remained at floating rates.</w:t>
      </w:r>
    </w:p>
    <w:p>
      <w:pPr>
        <w:pStyle w:val="BodyText"/>
        <w:spacing w:before="9"/>
        <w:rPr>
          <w:sz w:val="20"/>
        </w:rPr>
      </w:pPr>
    </w:p>
    <w:p>
      <w:pPr>
        <w:pStyle w:val="BodyText"/>
        <w:spacing w:line="247" w:lineRule="auto"/>
        <w:ind w:left="100" w:right="117" w:firstLine="720"/>
        <w:jc w:val="both"/>
      </w:pPr>
      <w:r>
        <w:rPr>
          <w:color w:val="231F20"/>
        </w:rPr>
        <w:t>During fourth quarter 2014, the Company entered into an interest rate swap agreement related to its $300 million 2.75% Notes due 2019. The primary objective for the Company’s use of this interest rate hedge was to reduce the volatility of net interest expense by better matching the repricing of its assets and liabilities. Under this interest rate swap agreement, the Company pays LIBOR plus a margin every six months on the notional amount of the debt, and receives payments based on the fixed stated rate of the notes every six months until the date the notes become due. This interest rate swap agreement qualifies as a fair value hedge, as defined in “Derivatives and Hedging.” As a result of the fixed-to-floating interest rate swap agreement in place, the average floating rate recognized during  2014 was approximately 1.23 percent, based on actual and forward rates as of December 31, 2014.</w:t>
      </w:r>
    </w:p>
    <w:p>
      <w:pPr>
        <w:pStyle w:val="BodyText"/>
        <w:spacing w:before="9"/>
        <w:rPr>
          <w:sz w:val="20"/>
        </w:rPr>
      </w:pPr>
    </w:p>
    <w:p>
      <w:pPr>
        <w:pStyle w:val="BodyText"/>
        <w:spacing w:line="247" w:lineRule="auto"/>
        <w:ind w:left="100" w:right="117" w:firstLine="720"/>
        <w:jc w:val="both"/>
      </w:pPr>
      <w:r>
        <w:rPr>
          <w:color w:val="231F20"/>
        </w:rPr>
        <w:t>As a result of the fixed-to-floating interest rate swap agreement in place, the average floating rate recognized during 2014 for the Company’s $300 million 5.75% Notes due 2016 was  approximately 2.51 percent, based on actual and forward rates as of December 31, 2014.</w:t>
      </w:r>
    </w:p>
    <w:p>
      <w:pPr>
        <w:pStyle w:val="BodyText"/>
        <w:spacing w:before="9"/>
        <w:rPr>
          <w:sz w:val="20"/>
        </w:rPr>
      </w:pPr>
    </w:p>
    <w:p>
      <w:pPr>
        <w:pStyle w:val="Heading1"/>
        <w:spacing w:before="0"/>
        <w:jc w:val="both"/>
      </w:pPr>
      <w:r>
        <w:rPr>
          <w:color w:val="231F20"/>
        </w:rPr>
        <w:t>Credit risk and collateral</w:t>
      </w:r>
    </w:p>
    <w:p>
      <w:pPr>
        <w:pStyle w:val="BodyText"/>
        <w:spacing w:before="5"/>
        <w:rPr>
          <w:b/>
          <w:sz w:val="21"/>
        </w:rPr>
      </w:pPr>
    </w:p>
    <w:p>
      <w:pPr>
        <w:pStyle w:val="BodyText"/>
        <w:spacing w:line="247" w:lineRule="auto"/>
        <w:ind w:left="100" w:right="117" w:firstLine="720"/>
        <w:jc w:val="both"/>
      </w:pPr>
      <w:r>
        <w:rPr>
          <w:color w:val="231F20"/>
        </w:rPr>
        <w:t>Credit exposure related to fuel derivative instruments is represented by the fair value of contracts that are an asset to the Company at the reporting date. At such times, these outstanding instruments expose 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with respect to each counterparty,  and monitors the market position of the fuel hedging program and its relative market position with each counterparty. At December 31, 2014, the Company had agreements with all of its active counterparties containing early termination rights and/or bilateral collateral provisions whereby security is required if market risk exposure exceeds a specified threshold amount based on the counterparty credit rating. The Company also had agreements with counterparties in which cash deposits, letters of credit, and/or pledged aircraft are required to be posted whenever the net fair value of derivatives associated with those</w:t>
      </w:r>
      <w:r>
        <w:rPr>
          <w:color w:val="231F20"/>
          <w:spacing w:val="24"/>
        </w:rPr>
        <w:t> </w:t>
      </w:r>
      <w:r>
        <w:rPr>
          <w:color w:val="231F20"/>
        </w:rPr>
        <w:t>counterparties</w:t>
      </w:r>
      <w:r>
        <w:rPr>
          <w:color w:val="231F20"/>
          <w:spacing w:val="24"/>
        </w:rPr>
        <w:t> </w:t>
      </w:r>
      <w:r>
        <w:rPr>
          <w:color w:val="231F20"/>
        </w:rPr>
        <w:t>exceeds</w:t>
      </w:r>
      <w:r>
        <w:rPr>
          <w:color w:val="231F20"/>
          <w:spacing w:val="25"/>
        </w:rPr>
        <w:t> </w:t>
      </w:r>
      <w:r>
        <w:rPr>
          <w:color w:val="231F20"/>
        </w:rPr>
        <w:t>specific</w:t>
      </w:r>
      <w:r>
        <w:rPr>
          <w:color w:val="231F20"/>
          <w:spacing w:val="24"/>
        </w:rPr>
        <w:t> </w:t>
      </w:r>
      <w:r>
        <w:rPr>
          <w:color w:val="231F20"/>
        </w:rPr>
        <w:t>thresholds.</w:t>
      </w:r>
      <w:r>
        <w:rPr>
          <w:color w:val="231F20"/>
          <w:spacing w:val="24"/>
        </w:rPr>
        <w:t> </w:t>
      </w:r>
      <w:r>
        <w:rPr>
          <w:color w:val="231F20"/>
        </w:rPr>
        <w:t>The</w:t>
      </w:r>
      <w:r>
        <w:rPr>
          <w:color w:val="231F20"/>
          <w:spacing w:val="23"/>
        </w:rPr>
        <w:t> </w:t>
      </w:r>
      <w:r>
        <w:rPr>
          <w:color w:val="231F20"/>
        </w:rPr>
        <w:t>following</w:t>
      </w:r>
      <w:r>
        <w:rPr>
          <w:color w:val="231F20"/>
          <w:spacing w:val="22"/>
        </w:rPr>
        <w:t> </w:t>
      </w:r>
      <w:r>
        <w:rPr>
          <w:color w:val="231F20"/>
        </w:rPr>
        <w:t>table</w:t>
      </w:r>
      <w:r>
        <w:rPr>
          <w:color w:val="231F20"/>
          <w:spacing w:val="23"/>
        </w:rPr>
        <w:t> </w:t>
      </w:r>
      <w:r>
        <w:rPr>
          <w:color w:val="231F20"/>
        </w:rPr>
        <w:t>provides</w:t>
      </w:r>
      <w:r>
        <w:rPr>
          <w:color w:val="231F20"/>
          <w:spacing w:val="23"/>
        </w:rPr>
        <w:t> </w:t>
      </w:r>
      <w:r>
        <w:rPr>
          <w:color w:val="231F20"/>
        </w:rPr>
        <w:t>the</w:t>
      </w:r>
      <w:r>
        <w:rPr>
          <w:color w:val="231F20"/>
          <w:spacing w:val="23"/>
        </w:rPr>
        <w:t> </w:t>
      </w:r>
      <w:r>
        <w:rPr>
          <w:color w:val="231F20"/>
        </w:rPr>
        <w:t>fair</w:t>
      </w:r>
      <w:r>
        <w:rPr>
          <w:color w:val="231F20"/>
          <w:spacing w:val="22"/>
        </w:rPr>
        <w:t> </w:t>
      </w:r>
      <w:r>
        <w:rPr>
          <w:color w:val="231F20"/>
        </w:rPr>
        <w:t>values</w:t>
      </w:r>
      <w:r>
        <w:rPr>
          <w:color w:val="231F20"/>
          <w:spacing w:val="23"/>
        </w:rPr>
        <w:t> </w:t>
      </w:r>
      <w:r>
        <w:rPr>
          <w:color w:val="231F20"/>
        </w:rPr>
        <w:t>of</w:t>
      </w:r>
      <w:r>
        <w:rPr>
          <w:color w:val="231F20"/>
          <w:spacing w:val="22"/>
        </w:rPr>
        <w:t> </w:t>
      </w:r>
      <w:r>
        <w:rPr>
          <w:color w:val="231F20"/>
        </w:rPr>
        <w:t>fuel</w:t>
      </w:r>
    </w:p>
    <w:p>
      <w:pPr>
        <w:spacing w:after="0" w:line="247" w:lineRule="auto"/>
        <w:jc w:val="both"/>
        <w:sectPr>
          <w:pgSz w:w="11880" w:h="15480"/>
          <w:pgMar w:header="0" w:footer="1240" w:top="1240" w:bottom="1420" w:left="1280" w:right="1260"/>
        </w:sectPr>
      </w:pPr>
    </w:p>
    <w:p>
      <w:pPr>
        <w:pStyle w:val="BodyText"/>
        <w:spacing w:line="247" w:lineRule="auto" w:before="74"/>
        <w:ind w:left="120"/>
      </w:pPr>
      <w:r>
        <w:rPr>
          <w:color w:val="231F20"/>
        </w:rPr>
        <w:t>derivatives, amounts posted as collateral, and applicable collateral posting threshold amounts as of December 31, 2014, at which such postings are triggered:</w:t>
      </w:r>
    </w:p>
    <w:p>
      <w:pPr>
        <w:spacing w:before="197" w:after="16"/>
        <w:ind w:left="1243" w:right="0" w:firstLine="0"/>
        <w:jc w:val="center"/>
        <w:rPr>
          <w:b/>
          <w:sz w:val="20"/>
        </w:rPr>
      </w:pPr>
      <w:r>
        <w:rPr>
          <w:b/>
          <w:color w:val="231F20"/>
          <w:sz w:val="20"/>
        </w:rPr>
        <w:t>Counterparty (CP)</w:t>
      </w:r>
    </w:p>
    <w:p>
      <w:pPr>
        <w:pStyle w:val="BodyText"/>
        <w:spacing w:line="20" w:lineRule="exact"/>
        <w:ind w:left="2235"/>
        <w:rPr>
          <w:sz w:val="2"/>
        </w:rPr>
      </w:pPr>
      <w:r>
        <w:rPr>
          <w:sz w:val="2"/>
        </w:rPr>
        <w:pict>
          <v:group style="width:306.75pt;height:1pt;mso-position-horizontal-relative:char;mso-position-vertical-relative:line" coordorigin="0,0" coordsize="6135,20">
            <v:line style="position:absolute" from="10,10" to="6125,10" stroked="true" strokeweight="1pt" strokecolor="#231f20">
              <v:stroke dashstyle="solid"/>
            </v:line>
          </v:group>
        </w:pict>
      </w:r>
      <w:r>
        <w:rPr>
          <w:sz w:val="2"/>
        </w:rPr>
      </w:r>
    </w:p>
    <w:p>
      <w:pPr>
        <w:tabs>
          <w:tab w:pos="2566" w:val="left" w:leader="none"/>
          <w:tab w:pos="3590" w:val="left" w:leader="none"/>
          <w:tab w:pos="4484" w:val="left" w:leader="none"/>
          <w:tab w:pos="5382" w:val="left" w:leader="none"/>
          <w:tab w:pos="6280" w:val="left" w:leader="none"/>
          <w:tab w:pos="7067" w:val="left" w:leader="none"/>
          <w:tab w:pos="7765" w:val="left" w:leader="none"/>
          <w:tab w:pos="8717" w:val="left" w:leader="none"/>
        </w:tabs>
        <w:spacing w:before="10"/>
        <w:ind w:left="120" w:right="0" w:firstLine="0"/>
        <w:jc w:val="left"/>
        <w:rPr>
          <w:b/>
          <w:sz w:val="16"/>
        </w:rPr>
      </w:pPr>
      <w:r>
        <w:rPr/>
        <w:pict>
          <v:line style="position:absolute;mso-position-horizontal-relative:page;mso-position-vertical-relative:paragraph;z-index:5608;mso-wrap-distance-left:0;mso-wrap-distance-right:0" from="69pt,11.71875pt" to="108.6pt,11.71875pt" stroked="true" strokeweight=".5pt" strokecolor="#231f20">
            <v:stroke dashstyle="solid"/>
            <w10:wrap type="topAndBottom"/>
          </v:line>
        </w:pict>
      </w:r>
      <w:r>
        <w:rPr/>
        <w:pict>
          <v:line style="position:absolute;mso-position-horizontal-relative:page;mso-position-vertical-relative:paragraph;z-index:5632;mso-wrap-distance-left:0;mso-wrap-distance-right:0" from="175.25pt,11.46875pt" to="213.25pt,11.46875pt" stroked="true" strokeweight="1pt" strokecolor="#231f20">
            <v:stroke dashstyle="solid"/>
            <w10:wrap type="topAndBottom"/>
          </v:line>
        </w:pict>
      </w:r>
      <w:r>
        <w:rPr/>
        <w:pict>
          <v:line style="position:absolute;mso-position-horizontal-relative:page;mso-position-vertical-relative:paragraph;z-index:5656;mso-wrap-distance-left:0;mso-wrap-distance-right:0" from="225.25pt,11.46875pt" to="265.25pt,11.46875pt" stroked="true" strokeweight="1pt" strokecolor="#231f20">
            <v:stroke dashstyle="solid"/>
            <w10:wrap type="topAndBottom"/>
          </v:line>
        </w:pict>
      </w:r>
      <w:r>
        <w:rPr/>
        <w:pict>
          <v:line style="position:absolute;mso-position-horizontal-relative:page;mso-position-vertical-relative:paragraph;z-index:5680;mso-wrap-distance-left:0;mso-wrap-distance-right:0" from="275.25pt,11.46875pt" to="305.05pt,11.46875pt" stroked="true" strokeweight="1pt" strokecolor="#231f20">
            <v:stroke dashstyle="solid"/>
            <w10:wrap type="topAndBottom"/>
          </v:line>
        </w:pict>
      </w:r>
      <w:r>
        <w:rPr/>
        <w:pict>
          <v:line style="position:absolute;mso-position-horizontal-relative:page;mso-position-vertical-relative:paragraph;z-index:5704;mso-wrap-distance-left:0;mso-wrap-distance-right:0" from="315.049988pt,11.46875pt" to="355.049988pt,11.46875pt" stroked="true" strokeweight="1pt" strokecolor="#231f20">
            <v:stroke dashstyle="solid"/>
            <w10:wrap type="topAndBottom"/>
          </v:line>
        </w:pict>
      </w:r>
      <w:r>
        <w:rPr/>
        <w:pict>
          <v:line style="position:absolute;mso-position-horizontal-relative:page;mso-position-vertical-relative:paragraph;z-index:5728;mso-wrap-distance-left:0;mso-wrap-distance-right:0" from="365.049988pt,11.46875pt" to="394.399988pt,11.46875pt" stroked="true" strokeweight="1pt" strokecolor="#231f20">
            <v:stroke dashstyle="solid"/>
            <w10:wrap type="topAndBottom"/>
          </v:line>
        </w:pict>
      </w:r>
      <w:r>
        <w:rPr/>
        <w:pict>
          <v:line style="position:absolute;mso-position-horizontal-relative:page;mso-position-vertical-relative:paragraph;z-index:5752;mso-wrap-distance-left:0;mso-wrap-distance-right:0" from="404.399994pt,11.46875pt" to="433.299994pt,11.46875pt" stroked="true" strokeweight="1pt" strokecolor="#231f20">
            <v:stroke dashstyle="solid"/>
            <w10:wrap type="topAndBottom"/>
          </v:line>
        </w:pict>
      </w:r>
      <w:r>
        <w:rPr/>
        <w:pict>
          <v:line style="position:absolute;mso-position-horizontal-relative:page;mso-position-vertical-relative:paragraph;z-index:5776;mso-wrap-distance-left:0;mso-wrap-distance-right:0" from="443.299988pt,11.46875pt" to="480.999988pt,11.46875pt" stroked="true" strokeweight="1pt" strokecolor="#231f20">
            <v:stroke dashstyle="solid"/>
            <w10:wrap type="topAndBottom"/>
          </v:line>
        </w:pict>
      </w:r>
      <w:r>
        <w:rPr/>
        <w:pict>
          <v:line style="position:absolute;mso-position-horizontal-relative:page;mso-position-vertical-relative:paragraph;z-index:5800;mso-wrap-distance-left:0;mso-wrap-distance-right:0" from="491pt,11.46875pt" to="525pt,11.46875pt" stroked="true" strokeweight="1pt" strokecolor="#231f20">
            <v:stroke dashstyle="solid"/>
            <w10:wrap type="topAndBottom"/>
          </v:line>
        </w:pict>
      </w:r>
      <w:r>
        <w:rPr>
          <w:color w:val="231F20"/>
          <w:sz w:val="16"/>
        </w:rPr>
        <w:t>(in</w:t>
      </w:r>
      <w:r>
        <w:rPr>
          <w:color w:val="231F20"/>
          <w:spacing w:val="-1"/>
          <w:sz w:val="16"/>
        </w:rPr>
        <w:t> </w:t>
      </w:r>
      <w:r>
        <w:rPr>
          <w:color w:val="231F20"/>
          <w:sz w:val="16"/>
        </w:rPr>
        <w:t>millions)</w:t>
        <w:tab/>
      </w:r>
      <w:r>
        <w:rPr>
          <w:b/>
          <w:color w:val="231F20"/>
          <w:sz w:val="16"/>
        </w:rPr>
        <w:t>A</w:t>
        <w:tab/>
        <w:t>B</w:t>
        <w:tab/>
        <w:t>C</w:t>
        <w:tab/>
        <w:t>D</w:t>
        <w:tab/>
        <w:t>E</w:t>
        <w:tab/>
        <w:t>F</w:t>
        <w:tab/>
        <w:t>Other(a)</w:t>
        <w:tab/>
        <w:t>Total</w:t>
      </w:r>
    </w:p>
    <w:p>
      <w:pPr>
        <w:spacing w:line="203" w:lineRule="exact" w:before="3"/>
        <w:ind w:left="210" w:right="0" w:firstLine="0"/>
        <w:jc w:val="left"/>
        <w:rPr>
          <w:sz w:val="18"/>
        </w:rPr>
      </w:pPr>
      <w:r>
        <w:rPr>
          <w:color w:val="231F20"/>
          <w:sz w:val="18"/>
        </w:rPr>
        <w:t>Fair value of fuel</w:t>
      </w:r>
    </w:p>
    <w:p>
      <w:pPr>
        <w:tabs>
          <w:tab w:pos="2524" w:val="left" w:leader="none"/>
          <w:tab w:pos="3564" w:val="left" w:leader="none"/>
          <w:tab w:pos="4360" w:val="left" w:leader="none"/>
          <w:tab w:pos="5360" w:val="left" w:leader="none"/>
          <w:tab w:pos="6237" w:val="left" w:leader="none"/>
          <w:tab w:pos="7015" w:val="left" w:leader="none"/>
          <w:tab w:pos="7969" w:val="left" w:leader="none"/>
          <w:tab w:pos="8624" w:val="left" w:leader="none"/>
        </w:tabs>
        <w:spacing w:line="203" w:lineRule="exact" w:before="0" w:after="21"/>
        <w:ind w:left="300" w:right="0" w:firstLine="0"/>
        <w:jc w:val="left"/>
        <w:rPr>
          <w:sz w:val="18"/>
        </w:rPr>
      </w:pPr>
      <w:r>
        <w:rPr>
          <w:color w:val="231F20"/>
          <w:sz w:val="18"/>
        </w:rPr>
        <w:t>derivatives</w:t>
        <w:tab/>
        <w:t>$(333)</w:t>
        <w:tab/>
        <w:t>$(136)</w:t>
        <w:tab/>
        <w:t>$(122)</w:t>
        <w:tab/>
        <w:t>$(219)</w:t>
        <w:tab/>
        <w:t>$(66)</w:t>
        <w:tab/>
        <w:t>$(86)</w:t>
        <w:tab/>
        <w:t>$(39)</w:t>
        <w:tab/>
        <w:t>$(1,001)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27"/>
        <w:gridCol w:w="1078"/>
        <w:gridCol w:w="6015"/>
      </w:tblGrid>
      <w:tr>
        <w:trPr>
          <w:trHeight w:val="498" w:hRule="exact"/>
        </w:trPr>
        <w:tc>
          <w:tcPr>
            <w:tcW w:w="9120" w:type="dxa"/>
            <w:gridSpan w:val="3"/>
            <w:shd w:val="clear" w:color="auto" w:fill="CCECFC"/>
          </w:tcPr>
          <w:p>
            <w:pPr>
              <w:pStyle w:val="TableParagraph"/>
              <w:spacing w:line="203" w:lineRule="exact" w:before="32"/>
              <w:ind w:left="90"/>
              <w:rPr>
                <w:sz w:val="18"/>
              </w:rPr>
            </w:pPr>
            <w:r>
              <w:rPr>
                <w:color w:val="231F20"/>
                <w:sz w:val="18"/>
              </w:rPr>
              <w:t>Cash collateral held (by)</w:t>
            </w:r>
          </w:p>
          <w:p>
            <w:pPr>
              <w:pStyle w:val="TableParagraph"/>
              <w:tabs>
                <w:tab w:pos="2584" w:val="left" w:leader="none"/>
                <w:tab w:pos="3624" w:val="left" w:leader="none"/>
                <w:tab w:pos="4420" w:val="left" w:leader="none"/>
                <w:tab w:pos="5540" w:val="left" w:leader="none"/>
                <w:tab w:pos="6207" w:val="left" w:leader="none"/>
                <w:tab w:pos="6985" w:val="left" w:leader="none"/>
                <w:tab w:pos="8059" w:val="left" w:leader="none"/>
                <w:tab w:pos="8729" w:val="left" w:leader="none"/>
              </w:tabs>
              <w:spacing w:line="203" w:lineRule="exact" w:before="0"/>
              <w:ind w:left="180"/>
              <w:rPr>
                <w:sz w:val="18"/>
              </w:rPr>
            </w:pPr>
            <w:r>
              <w:rPr>
                <w:color w:val="231F20"/>
                <w:sz w:val="18"/>
              </w:rPr>
              <w:t>CP</w:t>
              <w:tab/>
              <w:t>(50)</w:t>
              <w:tab/>
              <w:t>(98)</w:t>
              <w:tab/>
              <w:t>(57)</w:t>
              <w:tab/>
              <w:t>—</w:t>
              <w:tab/>
              <w:t>(23)</w:t>
              <w:tab/>
              <w:t>(38)</w:t>
              <w:tab/>
              <w:t>—</w:t>
              <w:tab/>
              <w:t>(266)</w:t>
            </w:r>
          </w:p>
        </w:tc>
      </w:tr>
      <w:tr>
        <w:trPr>
          <w:trHeight w:val="422" w:hRule="exact"/>
        </w:trPr>
        <w:tc>
          <w:tcPr>
            <w:tcW w:w="2027" w:type="dxa"/>
          </w:tcPr>
          <w:p>
            <w:pPr>
              <w:pStyle w:val="TableParagraph"/>
              <w:spacing w:line="200" w:lineRule="exact" w:before="2"/>
              <w:ind w:left="180" w:right="632" w:hanging="90"/>
              <w:rPr>
                <w:sz w:val="18"/>
              </w:rPr>
            </w:pPr>
            <w:r>
              <w:rPr>
                <w:color w:val="231F20"/>
                <w:sz w:val="18"/>
              </w:rPr>
              <w:t>Aircraft collateral pledged to CP</w:t>
            </w:r>
          </w:p>
        </w:tc>
        <w:tc>
          <w:tcPr>
            <w:tcW w:w="1078" w:type="dxa"/>
          </w:tcPr>
          <w:p>
            <w:pPr>
              <w:pStyle w:val="TableParagraph"/>
              <w:spacing w:before="9"/>
              <w:rPr>
                <w:sz w:val="16"/>
              </w:rPr>
            </w:pPr>
          </w:p>
          <w:p>
            <w:pPr>
              <w:pStyle w:val="TableParagraph"/>
              <w:spacing w:before="0"/>
              <w:ind w:right="218"/>
              <w:jc w:val="right"/>
              <w:rPr>
                <w:sz w:val="18"/>
              </w:rPr>
            </w:pPr>
            <w:r>
              <w:rPr>
                <w:color w:val="231F20"/>
                <w:sz w:val="18"/>
              </w:rPr>
              <w:t>(134)</w:t>
            </w:r>
          </w:p>
        </w:tc>
        <w:tc>
          <w:tcPr>
            <w:tcW w:w="6015" w:type="dxa"/>
          </w:tcPr>
          <w:p>
            <w:pPr>
              <w:pStyle w:val="TableParagraph"/>
              <w:spacing w:before="9"/>
              <w:rPr>
                <w:sz w:val="16"/>
              </w:rPr>
            </w:pPr>
          </w:p>
          <w:p>
            <w:pPr>
              <w:pStyle w:val="TableParagraph"/>
              <w:tabs>
                <w:tab w:pos="795" w:val="left" w:leader="none"/>
                <w:tab w:pos="1795" w:val="left" w:leader="none"/>
                <w:tab w:pos="2582" w:val="left" w:leader="none"/>
                <w:tab w:pos="3360" w:val="left" w:leader="none"/>
                <w:tab w:pos="4314" w:val="left" w:leader="none"/>
                <w:tab w:pos="4984" w:val="left" w:leader="none"/>
              </w:tabs>
              <w:spacing w:before="0"/>
              <w:jc w:val="right"/>
              <w:rPr>
                <w:sz w:val="18"/>
              </w:rPr>
            </w:pPr>
            <w:r>
              <w:rPr>
                <w:color w:val="231F20"/>
                <w:sz w:val="18"/>
              </w:rPr>
              <w:t>—</w:t>
              <w:tab/>
              <w:t>—</w:t>
              <w:tab/>
              <w:t>—</w:t>
              <w:tab/>
              <w:t>—</w:t>
              <w:tab/>
              <w:t>—</w:t>
              <w:tab/>
              <w:t>—</w:t>
              <w:tab/>
              <w:t>(134)</w:t>
            </w:r>
          </w:p>
        </w:tc>
      </w:tr>
      <w:tr>
        <w:trPr>
          <w:trHeight w:val="260" w:hRule="exact"/>
        </w:trPr>
        <w:tc>
          <w:tcPr>
            <w:tcW w:w="2027" w:type="dxa"/>
            <w:shd w:val="clear" w:color="auto" w:fill="CCECFC"/>
          </w:tcPr>
          <w:p>
            <w:pPr>
              <w:pStyle w:val="TableParagraph"/>
              <w:spacing w:before="32"/>
              <w:ind w:left="90"/>
              <w:rPr>
                <w:sz w:val="18"/>
              </w:rPr>
            </w:pPr>
            <w:r>
              <w:rPr>
                <w:color w:val="231F20"/>
                <w:sz w:val="18"/>
              </w:rPr>
              <w:t>Letters of credit (LC)</w:t>
            </w:r>
          </w:p>
        </w:tc>
        <w:tc>
          <w:tcPr>
            <w:tcW w:w="1078" w:type="dxa"/>
            <w:shd w:val="clear" w:color="auto" w:fill="CCECFC"/>
          </w:tcPr>
          <w:p>
            <w:pPr>
              <w:pStyle w:val="TableParagraph"/>
              <w:spacing w:before="32"/>
              <w:ind w:right="218"/>
              <w:jc w:val="right"/>
              <w:rPr>
                <w:sz w:val="18"/>
              </w:rPr>
            </w:pPr>
            <w:r>
              <w:rPr>
                <w:color w:val="231F20"/>
                <w:sz w:val="18"/>
              </w:rPr>
              <w:t>(100)</w:t>
            </w:r>
          </w:p>
        </w:tc>
        <w:tc>
          <w:tcPr>
            <w:tcW w:w="6015" w:type="dxa"/>
            <w:shd w:val="clear" w:color="auto" w:fill="CCECFC"/>
          </w:tcPr>
          <w:p>
            <w:pPr>
              <w:pStyle w:val="TableParagraph"/>
              <w:tabs>
                <w:tab w:pos="795" w:val="left" w:leader="none"/>
                <w:tab w:pos="1585" w:val="left" w:leader="none"/>
                <w:tab w:pos="2582" w:val="left" w:leader="none"/>
                <w:tab w:pos="3360" w:val="left" w:leader="none"/>
                <w:tab w:pos="4314" w:val="left" w:leader="none"/>
                <w:tab w:pos="4984" w:val="left" w:leader="none"/>
              </w:tabs>
              <w:spacing w:before="32"/>
              <w:jc w:val="right"/>
              <w:rPr>
                <w:sz w:val="18"/>
              </w:rPr>
            </w:pPr>
            <w:r>
              <w:rPr>
                <w:color w:val="231F20"/>
                <w:sz w:val="18"/>
              </w:rPr>
              <w:t>—</w:t>
              <w:tab/>
              <w:t>—</w:t>
              <w:tab/>
              <w:t>(150)</w:t>
              <w:tab/>
              <w:t>—</w:t>
              <w:tab/>
              <w:t>—</w:t>
              <w:tab/>
              <w:t>—</w:t>
              <w:tab/>
              <w:t>(250)</w:t>
            </w:r>
          </w:p>
        </w:tc>
      </w:tr>
      <w:tr>
        <w:trPr>
          <w:trHeight w:val="460" w:hRule="exact"/>
        </w:trPr>
        <w:tc>
          <w:tcPr>
            <w:tcW w:w="2027" w:type="dxa"/>
          </w:tcPr>
          <w:p>
            <w:pPr>
              <w:pStyle w:val="TableParagraph"/>
              <w:spacing w:line="200" w:lineRule="exact" w:before="40"/>
              <w:ind w:left="270" w:right="131" w:hanging="90"/>
              <w:rPr>
                <w:sz w:val="18"/>
              </w:rPr>
            </w:pPr>
            <w:r>
              <w:rPr>
                <w:color w:val="231F20"/>
                <w:sz w:val="18"/>
              </w:rPr>
              <w:t>Option to substitute LC for aircraft</w:t>
            </w:r>
          </w:p>
        </w:tc>
        <w:tc>
          <w:tcPr>
            <w:tcW w:w="1078" w:type="dxa"/>
          </w:tcPr>
          <w:p>
            <w:pPr>
              <w:pStyle w:val="TableParagraph"/>
              <w:spacing w:before="1"/>
              <w:rPr>
                <w:sz w:val="20"/>
              </w:rPr>
            </w:pPr>
          </w:p>
          <w:p>
            <w:pPr>
              <w:pStyle w:val="TableParagraph"/>
              <w:spacing w:before="1"/>
              <w:ind w:right="218"/>
              <w:jc w:val="right"/>
              <w:rPr>
                <w:sz w:val="18"/>
              </w:rPr>
            </w:pPr>
            <w:r>
              <w:rPr>
                <w:color w:val="231F20"/>
                <w:sz w:val="18"/>
              </w:rPr>
              <w:t>&lt;(400)(g)</w:t>
            </w:r>
          </w:p>
        </w:tc>
        <w:tc>
          <w:tcPr>
            <w:tcW w:w="6015" w:type="dxa"/>
          </w:tcPr>
          <w:p>
            <w:pPr>
              <w:pStyle w:val="TableParagraph"/>
              <w:tabs>
                <w:tab w:pos="2040" w:val="left" w:leader="none"/>
              </w:tabs>
              <w:spacing w:line="203" w:lineRule="exact" w:before="32"/>
              <w:ind w:left="244"/>
              <w:rPr>
                <w:sz w:val="18"/>
              </w:rPr>
            </w:pPr>
            <w:r>
              <w:rPr>
                <w:color w:val="231F20"/>
                <w:sz w:val="18"/>
              </w:rPr>
              <w:t>(100) to</w:t>
              <w:tab/>
              <w:t>(150) to</w:t>
            </w:r>
          </w:p>
          <w:p>
            <w:pPr>
              <w:pStyle w:val="TableParagraph"/>
              <w:tabs>
                <w:tab w:pos="1305" w:val="left" w:leader="none"/>
                <w:tab w:pos="2015" w:val="left" w:leader="none"/>
                <w:tab w:pos="3092" w:val="left" w:leader="none"/>
                <w:tab w:pos="3870" w:val="left" w:leader="none"/>
              </w:tabs>
              <w:spacing w:line="203" w:lineRule="exact" w:before="0"/>
              <w:ind w:left="219"/>
              <w:rPr>
                <w:sz w:val="18"/>
              </w:rPr>
            </w:pPr>
            <w:r>
              <w:rPr>
                <w:color w:val="231F20"/>
                <w:sz w:val="18"/>
              </w:rPr>
              <w:t>(500)(d)</w:t>
              <w:tab/>
              <w:t>N/A</w:t>
              <w:tab/>
              <w:t>(550)(d)</w:t>
              <w:tab/>
              <w:t>N/A</w:t>
              <w:tab/>
              <w:t>N/A</w:t>
            </w:r>
          </w:p>
        </w:tc>
      </w:tr>
      <w:tr>
        <w:trPr>
          <w:trHeight w:val="239" w:hRule="exact"/>
        </w:trPr>
        <w:tc>
          <w:tcPr>
            <w:tcW w:w="2027" w:type="dxa"/>
            <w:shd w:val="clear" w:color="auto" w:fill="CCECFC"/>
          </w:tcPr>
          <w:p>
            <w:pPr>
              <w:pStyle w:val="TableParagraph"/>
              <w:spacing w:before="32"/>
              <w:ind w:left="180"/>
              <w:rPr>
                <w:sz w:val="18"/>
              </w:rPr>
            </w:pPr>
            <w:r>
              <w:rPr>
                <w:color w:val="231F20"/>
                <w:sz w:val="18"/>
              </w:rPr>
              <w:t>Option to substitute LC</w:t>
            </w:r>
          </w:p>
        </w:tc>
        <w:tc>
          <w:tcPr>
            <w:tcW w:w="1078" w:type="dxa"/>
            <w:shd w:val="clear" w:color="auto" w:fill="CCECFC"/>
          </w:tcPr>
          <w:p>
            <w:pPr>
              <w:pStyle w:val="TableParagraph"/>
              <w:spacing w:before="32"/>
              <w:ind w:right="217"/>
              <w:jc w:val="right"/>
              <w:rPr>
                <w:sz w:val="18"/>
              </w:rPr>
            </w:pPr>
            <w:r>
              <w:rPr>
                <w:color w:val="231F20"/>
                <w:sz w:val="18"/>
              </w:rPr>
              <w:t>(50) to</w:t>
            </w:r>
          </w:p>
        </w:tc>
        <w:tc>
          <w:tcPr>
            <w:tcW w:w="6015" w:type="dxa"/>
            <w:shd w:val="clear" w:color="auto" w:fill="CCECFC"/>
          </w:tcPr>
          <w:p>
            <w:pPr>
              <w:pStyle w:val="TableParagraph"/>
              <w:spacing w:before="32"/>
              <w:ind w:left="1040"/>
              <w:rPr>
                <w:sz w:val="18"/>
              </w:rPr>
            </w:pPr>
            <w:r>
              <w:rPr>
                <w:color w:val="231F20"/>
                <w:sz w:val="18"/>
              </w:rPr>
              <w:t>(100) to  (75) to (150)</w:t>
            </w:r>
          </w:p>
        </w:tc>
      </w:tr>
      <w:tr>
        <w:trPr>
          <w:trHeight w:val="221" w:hRule="exact"/>
        </w:trPr>
        <w:tc>
          <w:tcPr>
            <w:tcW w:w="2027" w:type="dxa"/>
            <w:shd w:val="clear" w:color="auto" w:fill="CCECFC"/>
          </w:tcPr>
          <w:p>
            <w:pPr>
              <w:pStyle w:val="TableParagraph"/>
              <w:spacing w:line="200" w:lineRule="exact" w:before="0"/>
              <w:ind w:left="270"/>
              <w:rPr>
                <w:sz w:val="18"/>
              </w:rPr>
            </w:pPr>
            <w:r>
              <w:rPr>
                <w:color w:val="231F20"/>
                <w:sz w:val="18"/>
              </w:rPr>
              <w:t>for cash</w:t>
            </w:r>
          </w:p>
        </w:tc>
        <w:tc>
          <w:tcPr>
            <w:tcW w:w="1078" w:type="dxa"/>
            <w:shd w:val="clear" w:color="auto" w:fill="CCECFC"/>
          </w:tcPr>
          <w:p>
            <w:pPr>
              <w:pStyle w:val="TableParagraph"/>
              <w:spacing w:line="200" w:lineRule="exact" w:before="0"/>
              <w:ind w:right="218"/>
              <w:jc w:val="right"/>
              <w:rPr>
                <w:sz w:val="18"/>
              </w:rPr>
            </w:pPr>
            <w:r>
              <w:rPr>
                <w:color w:val="231F20"/>
                <w:sz w:val="18"/>
              </w:rPr>
              <w:t>(150)(d)</w:t>
            </w:r>
          </w:p>
        </w:tc>
        <w:tc>
          <w:tcPr>
            <w:tcW w:w="6015" w:type="dxa"/>
            <w:shd w:val="clear" w:color="auto" w:fill="CCECFC"/>
          </w:tcPr>
          <w:p>
            <w:pPr>
              <w:pStyle w:val="TableParagraph"/>
              <w:tabs>
                <w:tab w:pos="1025" w:val="left" w:leader="none"/>
                <w:tab w:pos="3092" w:val="left" w:leader="none"/>
                <w:tab w:pos="4000" w:val="left" w:leader="none"/>
              </w:tabs>
              <w:spacing w:line="200" w:lineRule="exact" w:before="0"/>
              <w:ind w:left="323"/>
              <w:rPr>
                <w:sz w:val="18"/>
              </w:rPr>
            </w:pPr>
            <w:r>
              <w:rPr>
                <w:color w:val="231F20"/>
                <w:sz w:val="18"/>
              </w:rPr>
              <w:t>&gt;(500)</w:t>
              <w:tab/>
              <w:t>(150)(e) </w:t>
            </w:r>
            <w:r>
              <w:rPr>
                <w:color w:val="231F20"/>
                <w:spacing w:val="10"/>
                <w:sz w:val="18"/>
              </w:rPr>
              <w:t> </w:t>
            </w:r>
            <w:r>
              <w:rPr>
                <w:color w:val="231F20"/>
                <w:sz w:val="18"/>
              </w:rPr>
              <w:t>or &gt;(550)(d)</w:t>
              <w:tab/>
              <w:t>N/A</w:t>
              <w:tab/>
              <w:t>(f)</w:t>
            </w:r>
          </w:p>
        </w:tc>
      </w:tr>
    </w:tbl>
    <w:p>
      <w:pPr>
        <w:spacing w:after="0" w:line="200" w:lineRule="exact"/>
        <w:rPr>
          <w:sz w:val="18"/>
        </w:rPr>
        <w:sectPr>
          <w:pgSz w:w="11880" w:h="15480"/>
          <w:pgMar w:header="0" w:footer="1240" w:top="1240" w:bottom="1420" w:left="1260" w:right="1260"/>
        </w:sectPr>
      </w:pPr>
    </w:p>
    <w:p>
      <w:pPr>
        <w:spacing w:line="200" w:lineRule="exact" w:before="40"/>
        <w:ind w:left="210" w:right="1020" w:firstLine="0"/>
        <w:jc w:val="left"/>
        <w:rPr>
          <w:b/>
          <w:sz w:val="18"/>
        </w:rPr>
      </w:pPr>
      <w:r>
        <w:rPr/>
        <w:pict>
          <v:rect style="position:absolute;margin-left:69pt;margin-top:43.002106pt;width:456pt;height:23pt;mso-position-horizontal-relative:page;mso-position-vertical-relative:paragraph;z-index:-404032" filled="true" fillcolor="#ccecfc" stroked="false">
            <v:fill type="solid"/>
            <w10:wrap type="none"/>
          </v:rect>
        </w:pict>
      </w:r>
      <w:r>
        <w:rPr>
          <w:b/>
          <w:color w:val="231F20"/>
          <w:sz w:val="18"/>
        </w:rPr>
        <w:t>If credit rating is investment grade, fair value of fuel derivative level at which:</w:t>
      </w:r>
    </w:p>
    <w:p>
      <w:pPr>
        <w:spacing w:line="203" w:lineRule="exact" w:before="52"/>
        <w:ind w:left="300" w:right="0" w:firstLine="0"/>
        <w:jc w:val="left"/>
        <w:rPr>
          <w:sz w:val="18"/>
        </w:rPr>
      </w:pPr>
      <w:r>
        <w:rPr>
          <w:color w:val="231F20"/>
          <w:sz w:val="18"/>
        </w:rPr>
        <w:t>Cash is provided to CP   (50) to</w:t>
      </w:r>
      <w:r>
        <w:rPr>
          <w:color w:val="231F20"/>
          <w:spacing w:val="-14"/>
          <w:sz w:val="18"/>
        </w:rPr>
        <w:t> </w:t>
      </w:r>
      <w:r>
        <w:rPr>
          <w:color w:val="231F20"/>
          <w:sz w:val="18"/>
        </w:rPr>
        <w:t>(200)</w:t>
      </w:r>
    </w:p>
    <w:p>
      <w:pPr>
        <w:spacing w:line="203" w:lineRule="exact" w:before="0"/>
        <w:ind w:left="0" w:right="0" w:firstLine="0"/>
        <w:jc w:val="right"/>
        <w:rPr>
          <w:sz w:val="18"/>
        </w:rPr>
      </w:pPr>
      <w:r>
        <w:rPr>
          <w:color w:val="231F20"/>
          <w:sz w:val="18"/>
        </w:rPr>
        <w:t>or &gt;(600)</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6"/>
        <w:rPr>
          <w:sz w:val="17"/>
        </w:rPr>
      </w:pPr>
    </w:p>
    <w:p>
      <w:pPr>
        <w:spacing w:line="203" w:lineRule="exact" w:before="0"/>
        <w:ind w:left="80" w:right="0" w:firstLine="0"/>
        <w:jc w:val="left"/>
        <w:rPr>
          <w:sz w:val="18"/>
        </w:rPr>
      </w:pPr>
      <w:r>
        <w:rPr>
          <w:color w:val="231F20"/>
          <w:sz w:val="18"/>
        </w:rPr>
        <w:t>(50) to (100)</w:t>
      </w:r>
    </w:p>
    <w:p>
      <w:pPr>
        <w:tabs>
          <w:tab w:pos="1390" w:val="left" w:leader="none"/>
        </w:tabs>
        <w:spacing w:line="203" w:lineRule="exact" w:before="0"/>
        <w:ind w:left="309" w:right="0" w:firstLine="0"/>
        <w:jc w:val="left"/>
        <w:rPr>
          <w:sz w:val="18"/>
        </w:rPr>
      </w:pPr>
      <w:r>
        <w:rPr>
          <w:color w:val="231F20"/>
          <w:sz w:val="18"/>
        </w:rPr>
        <w:t>or</w:t>
      </w:r>
      <w:r>
        <w:rPr>
          <w:color w:val="231F20"/>
          <w:spacing w:val="1"/>
          <w:sz w:val="18"/>
        </w:rPr>
        <w:t> </w:t>
      </w:r>
      <w:r>
        <w:rPr>
          <w:color w:val="231F20"/>
          <w:sz w:val="18"/>
        </w:rPr>
        <w:t>&gt;(500)</w:t>
        <w:tab/>
        <w:t>&gt;(75)</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6"/>
        <w:rPr>
          <w:sz w:val="17"/>
        </w:rPr>
      </w:pPr>
    </w:p>
    <w:p>
      <w:pPr>
        <w:spacing w:line="203" w:lineRule="exact" w:before="0"/>
        <w:ind w:left="40" w:right="0" w:firstLine="0"/>
        <w:jc w:val="left"/>
        <w:rPr>
          <w:sz w:val="18"/>
        </w:rPr>
      </w:pPr>
      <w:r>
        <w:rPr>
          <w:color w:val="231F20"/>
          <w:sz w:val="18"/>
        </w:rPr>
        <w:t>(75) to (150)</w:t>
      </w:r>
    </w:p>
    <w:p>
      <w:pPr>
        <w:tabs>
          <w:tab w:pos="1341" w:val="left" w:leader="none"/>
          <w:tab w:pos="2119" w:val="left" w:leader="none"/>
        </w:tabs>
        <w:spacing w:line="203" w:lineRule="exact" w:before="0"/>
        <w:ind w:left="269" w:right="0" w:firstLine="0"/>
        <w:jc w:val="left"/>
        <w:rPr>
          <w:sz w:val="18"/>
        </w:rPr>
      </w:pPr>
      <w:r>
        <w:rPr>
          <w:color w:val="231F20"/>
          <w:sz w:val="18"/>
        </w:rPr>
        <w:t>or</w:t>
      </w:r>
      <w:r>
        <w:rPr>
          <w:color w:val="231F20"/>
          <w:spacing w:val="1"/>
          <w:sz w:val="18"/>
        </w:rPr>
        <w:t> </w:t>
      </w:r>
      <w:r>
        <w:rPr>
          <w:color w:val="231F20"/>
          <w:sz w:val="18"/>
        </w:rPr>
        <w:t>&gt;(550)</w:t>
        <w:tab/>
        <w:t>&gt;(50)</w:t>
        <w:tab/>
        <w:t>&gt;(50)</w:t>
      </w:r>
    </w:p>
    <w:p>
      <w:pPr>
        <w:spacing w:after="0" w:line="203" w:lineRule="exact"/>
        <w:jc w:val="left"/>
        <w:rPr>
          <w:sz w:val="18"/>
        </w:rPr>
        <w:sectPr>
          <w:type w:val="continuous"/>
          <w:pgSz w:w="11880" w:h="15480"/>
          <w:pgMar w:top="1260" w:bottom="280" w:left="1260" w:right="1260"/>
          <w:cols w:num="3" w:equalWidth="0">
            <w:col w:w="3005" w:space="40"/>
            <w:col w:w="1796" w:space="40"/>
            <w:col w:w="4479"/>
          </w:cols>
        </w:sectPr>
      </w:pPr>
    </w:p>
    <w:p>
      <w:pPr>
        <w:spacing w:line="203" w:lineRule="exact" w:before="53"/>
        <w:ind w:left="300" w:right="0" w:firstLine="0"/>
        <w:jc w:val="left"/>
        <w:rPr>
          <w:sz w:val="18"/>
        </w:rPr>
      </w:pPr>
      <w:r>
        <w:rPr>
          <w:color w:val="231F20"/>
          <w:sz w:val="18"/>
        </w:rPr>
        <w:t>Cash is received</w:t>
      </w:r>
    </w:p>
    <w:p>
      <w:pPr>
        <w:tabs>
          <w:tab w:pos="2718" w:val="left" w:leader="none"/>
          <w:tab w:pos="3668" w:val="left" w:leader="none"/>
          <w:tab w:pos="4264" w:val="left" w:leader="none"/>
          <w:tab w:pos="5464" w:val="left" w:leader="none"/>
          <w:tab w:pos="6341" w:val="left" w:leader="none"/>
          <w:tab w:pos="6999" w:val="left" w:leader="none"/>
        </w:tabs>
        <w:spacing w:line="203" w:lineRule="exact" w:before="0"/>
        <w:ind w:left="390" w:right="0" w:firstLine="0"/>
        <w:jc w:val="left"/>
        <w:rPr>
          <w:sz w:val="18"/>
        </w:rPr>
      </w:pPr>
      <w:r>
        <w:rPr/>
        <w:pict>
          <v:rect style="position:absolute;margin-left:69pt;margin-top:11.231125pt;width:456pt;height:33pt;mso-position-horizontal-relative:page;mso-position-vertical-relative:paragraph;z-index:-404008" filled="true" fillcolor="#ccecfc" stroked="false">
            <v:fill type="solid"/>
            <w10:wrap type="none"/>
          </v:rect>
        </w:pict>
      </w:r>
      <w:r>
        <w:rPr>
          <w:color w:val="231F20"/>
          <w:sz w:val="18"/>
        </w:rPr>
        <w:t>from CP</w:t>
        <w:tab/>
        <w:t>&gt;50</w:t>
        <w:tab/>
        <w:t>&gt;150</w:t>
        <w:tab/>
        <w:t>&gt;175(c)</w:t>
        <w:tab/>
        <w:t>&gt;200</w:t>
        <w:tab/>
        <w:t>&gt;30</w:t>
        <w:tab/>
        <w:t>&gt;(50)</w:t>
      </w:r>
    </w:p>
    <w:p>
      <w:pPr>
        <w:spacing w:line="206" w:lineRule="exact" w:before="53"/>
        <w:ind w:left="300" w:right="0" w:firstLine="0"/>
        <w:jc w:val="left"/>
        <w:rPr>
          <w:sz w:val="18"/>
        </w:rPr>
      </w:pPr>
      <w:r>
        <w:rPr>
          <w:color w:val="231F20"/>
          <w:sz w:val="18"/>
        </w:rPr>
        <w:t>Aircraft or cash can be</w:t>
      </w:r>
    </w:p>
    <w:p>
      <w:pPr>
        <w:spacing w:after="0" w:line="206" w:lineRule="exact"/>
        <w:jc w:val="left"/>
        <w:rPr>
          <w:sz w:val="18"/>
        </w:rPr>
        <w:sectPr>
          <w:type w:val="continuous"/>
          <w:pgSz w:w="11880" w:h="15480"/>
          <w:pgMar w:top="1260" w:bottom="280" w:left="1260" w:right="1260"/>
        </w:sectPr>
      </w:pPr>
    </w:p>
    <w:p>
      <w:pPr>
        <w:spacing w:line="200" w:lineRule="exact" w:before="2"/>
        <w:ind w:left="390" w:right="340" w:firstLine="0"/>
        <w:jc w:val="left"/>
        <w:rPr>
          <w:sz w:val="18"/>
        </w:rPr>
      </w:pPr>
      <w:r>
        <w:rPr>
          <w:color w:val="231F20"/>
          <w:sz w:val="18"/>
        </w:rPr>
        <w:t>pledged to CP as collateral</w:t>
      </w:r>
    </w:p>
    <w:p>
      <w:pPr>
        <w:spacing w:line="200" w:lineRule="exact" w:before="60"/>
        <w:ind w:left="210" w:right="-20" w:firstLine="0"/>
        <w:jc w:val="left"/>
        <w:rPr>
          <w:b/>
          <w:sz w:val="18"/>
        </w:rPr>
      </w:pPr>
      <w:r>
        <w:rPr>
          <w:b/>
          <w:color w:val="231F20"/>
          <w:sz w:val="18"/>
        </w:rPr>
        <w:t>If credit rating is non- investment grade, fair value of fuel derivative</w:t>
      </w:r>
      <w:r>
        <w:rPr>
          <w:b/>
          <w:color w:val="231F20"/>
          <w:w w:val="100"/>
          <w:sz w:val="18"/>
        </w:rPr>
        <w:t> </w:t>
      </w:r>
      <w:r>
        <w:rPr>
          <w:b/>
          <w:color w:val="231F20"/>
          <w:sz w:val="18"/>
        </w:rPr>
        <w:t>level at which:</w:t>
      </w:r>
    </w:p>
    <w:p>
      <w:pPr>
        <w:spacing w:line="200" w:lineRule="exact" w:before="2"/>
        <w:ind w:left="210" w:right="-19" w:firstLine="25"/>
        <w:jc w:val="left"/>
        <w:rPr>
          <w:sz w:val="18"/>
        </w:rPr>
      </w:pPr>
      <w:r>
        <w:rPr/>
        <w:br w:type="column"/>
      </w:r>
      <w:r>
        <w:rPr>
          <w:color w:val="231F20"/>
          <w:sz w:val="18"/>
        </w:rPr>
        <w:t>(200) to</w:t>
      </w:r>
      <w:r>
        <w:rPr>
          <w:color w:val="231F20"/>
          <w:w w:val="100"/>
          <w:sz w:val="18"/>
        </w:rPr>
        <w:t> </w:t>
      </w:r>
      <w:r>
        <w:rPr>
          <w:color w:val="231F20"/>
          <w:sz w:val="18"/>
        </w:rPr>
        <w:t>(600)(d)</w:t>
      </w:r>
    </w:p>
    <w:p>
      <w:pPr>
        <w:spacing w:line="197" w:lineRule="exact" w:before="0"/>
        <w:ind w:left="235" w:right="0" w:firstLine="0"/>
        <w:jc w:val="left"/>
        <w:rPr>
          <w:sz w:val="18"/>
        </w:rPr>
      </w:pPr>
      <w:r>
        <w:rPr/>
        <w:br w:type="column"/>
      </w:r>
      <w:r>
        <w:rPr>
          <w:color w:val="231F20"/>
          <w:sz w:val="18"/>
        </w:rPr>
        <w:t>(100) to</w:t>
      </w:r>
    </w:p>
    <w:p>
      <w:pPr>
        <w:tabs>
          <w:tab w:pos="1295" w:val="left" w:leader="none"/>
        </w:tabs>
        <w:spacing w:line="203" w:lineRule="exact" w:before="0"/>
        <w:ind w:left="210" w:right="0" w:firstLine="0"/>
        <w:jc w:val="left"/>
        <w:rPr>
          <w:sz w:val="18"/>
        </w:rPr>
      </w:pPr>
      <w:r>
        <w:rPr>
          <w:color w:val="231F20"/>
          <w:sz w:val="18"/>
        </w:rPr>
        <w:t>(500)(d)</w:t>
        <w:tab/>
        <w:t>N/A</w:t>
      </w:r>
    </w:p>
    <w:p>
      <w:pPr>
        <w:spacing w:line="197" w:lineRule="exact" w:before="0"/>
        <w:ind w:left="235" w:right="0" w:firstLine="0"/>
        <w:jc w:val="left"/>
        <w:rPr>
          <w:sz w:val="18"/>
        </w:rPr>
      </w:pPr>
      <w:r>
        <w:rPr/>
        <w:br w:type="column"/>
      </w:r>
      <w:r>
        <w:rPr>
          <w:color w:val="231F20"/>
          <w:sz w:val="18"/>
        </w:rPr>
        <w:t>(150) to</w:t>
      </w:r>
    </w:p>
    <w:p>
      <w:pPr>
        <w:tabs>
          <w:tab w:pos="1286" w:val="left" w:leader="none"/>
          <w:tab w:pos="2064" w:val="left" w:leader="none"/>
        </w:tabs>
        <w:spacing w:line="203" w:lineRule="exact" w:before="0"/>
        <w:ind w:left="210" w:right="0" w:firstLine="0"/>
        <w:jc w:val="left"/>
        <w:rPr>
          <w:sz w:val="18"/>
        </w:rPr>
      </w:pPr>
      <w:r>
        <w:rPr>
          <w:color w:val="231F20"/>
          <w:sz w:val="18"/>
        </w:rPr>
        <w:t>(550)(d)</w:t>
        <w:tab/>
        <w:t>N/A</w:t>
        <w:tab/>
        <w:t>N/A</w:t>
      </w:r>
    </w:p>
    <w:p>
      <w:pPr>
        <w:spacing w:after="0" w:line="203" w:lineRule="exact"/>
        <w:jc w:val="left"/>
        <w:rPr>
          <w:sz w:val="18"/>
        </w:rPr>
        <w:sectPr>
          <w:type w:val="continuous"/>
          <w:pgSz w:w="11880" w:h="15480"/>
          <w:pgMar w:top="1260" w:bottom="280" w:left="1260" w:right="1260"/>
          <w:cols w:num="4" w:equalWidth="0">
            <w:col w:w="1965" w:space="230"/>
            <w:col w:w="811" w:space="229"/>
            <w:col w:w="1606" w:space="190"/>
            <w:col w:w="4329"/>
          </w:cols>
        </w:sectPr>
      </w:pPr>
    </w:p>
    <w:p>
      <w:pPr>
        <w:tabs>
          <w:tab w:pos="1874" w:val="left" w:leader="none"/>
        </w:tabs>
        <w:spacing w:line="203" w:lineRule="exact" w:before="51"/>
        <w:ind w:left="0" w:right="0" w:firstLine="0"/>
        <w:jc w:val="right"/>
        <w:rPr>
          <w:sz w:val="18"/>
        </w:rPr>
      </w:pPr>
      <w:r>
        <w:rPr/>
        <w:pict>
          <v:rect style="position:absolute;margin-left:69pt;margin-top:.95744pt;width:456pt;height:23pt;mso-position-horizontal-relative:page;mso-position-vertical-relative:paragraph;z-index:-403984" filled="true" fillcolor="#ccecfc" stroked="false">
            <v:fill type="solid"/>
            <w10:wrap type="none"/>
          </v:rect>
        </w:pict>
      </w:r>
      <w:r>
        <w:rPr>
          <w:color w:val="231F20"/>
          <w:sz w:val="18"/>
        </w:rPr>
        <w:t>Cash is provided</w:t>
      </w:r>
      <w:r>
        <w:rPr>
          <w:color w:val="231F20"/>
          <w:spacing w:val="-1"/>
          <w:sz w:val="18"/>
        </w:rPr>
        <w:t> </w:t>
      </w:r>
      <w:r>
        <w:rPr>
          <w:color w:val="231F20"/>
          <w:sz w:val="18"/>
        </w:rPr>
        <w:t>to</w:t>
      </w:r>
      <w:r>
        <w:rPr>
          <w:color w:val="231F20"/>
          <w:spacing w:val="-1"/>
          <w:sz w:val="18"/>
        </w:rPr>
        <w:t> </w:t>
      </w:r>
      <w:r>
        <w:rPr>
          <w:color w:val="231F20"/>
          <w:sz w:val="18"/>
        </w:rPr>
        <w:t>CP</w:t>
        <w:tab/>
        <w:t>(0) to</w:t>
      </w:r>
      <w:r>
        <w:rPr>
          <w:color w:val="231F20"/>
          <w:spacing w:val="-1"/>
          <w:sz w:val="18"/>
        </w:rPr>
        <w:t> </w:t>
      </w:r>
      <w:r>
        <w:rPr>
          <w:color w:val="231F20"/>
          <w:sz w:val="18"/>
        </w:rPr>
        <w:t>(200)</w:t>
      </w:r>
    </w:p>
    <w:p>
      <w:pPr>
        <w:spacing w:line="203" w:lineRule="exact" w:before="0"/>
        <w:ind w:left="0" w:right="0" w:firstLine="0"/>
        <w:jc w:val="right"/>
        <w:rPr>
          <w:sz w:val="18"/>
        </w:rPr>
      </w:pPr>
      <w:r>
        <w:rPr>
          <w:color w:val="231F20"/>
          <w:sz w:val="18"/>
        </w:rPr>
        <w:t>or &gt;(600)</w:t>
      </w:r>
    </w:p>
    <w:p>
      <w:pPr>
        <w:spacing w:line="203" w:lineRule="exact" w:before="51"/>
        <w:ind w:left="170" w:right="0" w:firstLine="0"/>
        <w:jc w:val="left"/>
        <w:rPr>
          <w:sz w:val="18"/>
        </w:rPr>
      </w:pPr>
      <w:r>
        <w:rPr/>
        <w:br w:type="column"/>
      </w:r>
      <w:r>
        <w:rPr>
          <w:color w:val="231F20"/>
          <w:sz w:val="18"/>
        </w:rPr>
        <w:t>(0) to (100)</w:t>
      </w:r>
    </w:p>
    <w:p>
      <w:pPr>
        <w:tabs>
          <w:tab w:pos="1586" w:val="left" w:leader="none"/>
        </w:tabs>
        <w:spacing w:line="203" w:lineRule="exact" w:before="0"/>
        <w:ind w:left="309" w:right="0" w:firstLine="0"/>
        <w:jc w:val="left"/>
        <w:rPr>
          <w:sz w:val="18"/>
        </w:rPr>
      </w:pPr>
      <w:r>
        <w:rPr>
          <w:color w:val="231F20"/>
          <w:sz w:val="18"/>
        </w:rPr>
        <w:t>or</w:t>
      </w:r>
      <w:r>
        <w:rPr>
          <w:color w:val="231F20"/>
          <w:spacing w:val="1"/>
          <w:sz w:val="18"/>
        </w:rPr>
        <w:t> </w:t>
      </w:r>
      <w:r>
        <w:rPr>
          <w:color w:val="231F20"/>
          <w:sz w:val="18"/>
        </w:rPr>
        <w:t>&gt;(500)</w:t>
        <w:tab/>
        <w:t>(b)</w:t>
      </w:r>
    </w:p>
    <w:p>
      <w:pPr>
        <w:spacing w:line="203" w:lineRule="exact" w:before="51"/>
        <w:ind w:left="130" w:right="0" w:firstLine="0"/>
        <w:jc w:val="left"/>
        <w:rPr>
          <w:sz w:val="18"/>
        </w:rPr>
      </w:pPr>
      <w:r>
        <w:rPr/>
        <w:br w:type="column"/>
      </w:r>
      <w:r>
        <w:rPr>
          <w:color w:val="231F20"/>
          <w:sz w:val="18"/>
        </w:rPr>
        <w:t>(0) to (150)</w:t>
      </w:r>
    </w:p>
    <w:p>
      <w:pPr>
        <w:tabs>
          <w:tab w:pos="1537" w:val="left" w:leader="none"/>
          <w:tab w:pos="2315" w:val="left" w:leader="none"/>
        </w:tabs>
        <w:spacing w:line="203" w:lineRule="exact" w:before="0"/>
        <w:ind w:left="269" w:right="0" w:firstLine="0"/>
        <w:jc w:val="left"/>
        <w:rPr>
          <w:sz w:val="18"/>
        </w:rPr>
      </w:pPr>
      <w:r>
        <w:rPr>
          <w:color w:val="231F20"/>
          <w:sz w:val="18"/>
        </w:rPr>
        <w:t>or</w:t>
      </w:r>
      <w:r>
        <w:rPr>
          <w:color w:val="231F20"/>
          <w:spacing w:val="1"/>
          <w:sz w:val="18"/>
        </w:rPr>
        <w:t> </w:t>
      </w:r>
      <w:r>
        <w:rPr>
          <w:color w:val="231F20"/>
          <w:sz w:val="18"/>
        </w:rPr>
        <w:t>&gt;(550)</w:t>
        <w:tab/>
        <w:t>(b)</w:t>
        <w:tab/>
        <w:t>(b)</w:t>
      </w:r>
    </w:p>
    <w:p>
      <w:pPr>
        <w:spacing w:after="0" w:line="203" w:lineRule="exact"/>
        <w:jc w:val="left"/>
        <w:rPr>
          <w:sz w:val="18"/>
        </w:rPr>
        <w:sectPr>
          <w:type w:val="continuous"/>
          <w:pgSz w:w="11880" w:h="15480"/>
          <w:pgMar w:top="1260" w:bottom="280" w:left="1260" w:right="1260"/>
          <w:cols w:num="3" w:equalWidth="0">
            <w:col w:w="3005" w:space="40"/>
            <w:col w:w="1796" w:space="40"/>
            <w:col w:w="4479"/>
          </w:cols>
        </w:sectPr>
      </w:pPr>
    </w:p>
    <w:p>
      <w:pPr>
        <w:spacing w:line="203" w:lineRule="exact" w:before="53"/>
        <w:ind w:left="300" w:right="0" w:firstLine="0"/>
        <w:jc w:val="left"/>
        <w:rPr>
          <w:sz w:val="18"/>
        </w:rPr>
      </w:pPr>
      <w:r>
        <w:rPr>
          <w:color w:val="231F20"/>
          <w:sz w:val="18"/>
        </w:rPr>
        <w:t>Cash is received</w:t>
      </w:r>
    </w:p>
    <w:p>
      <w:pPr>
        <w:tabs>
          <w:tab w:pos="2794" w:val="left" w:leader="none"/>
          <w:tab w:pos="3834" w:val="left" w:leader="none"/>
          <w:tab w:pos="4630" w:val="left" w:leader="none"/>
          <w:tab w:pos="5630" w:val="left" w:leader="none"/>
          <w:tab w:pos="6417" w:val="left" w:leader="none"/>
          <w:tab w:pos="7195" w:val="left" w:leader="none"/>
        </w:tabs>
        <w:spacing w:line="203" w:lineRule="exact" w:before="0"/>
        <w:ind w:left="390" w:right="0" w:firstLine="0"/>
        <w:jc w:val="left"/>
        <w:rPr>
          <w:sz w:val="18"/>
        </w:rPr>
      </w:pPr>
      <w:r>
        <w:rPr/>
        <w:pict>
          <v:rect style="position:absolute;margin-left:69pt;margin-top:11.233444pt;width:456pt;height:33pt;mso-position-horizontal-relative:page;mso-position-vertical-relative:paragraph;z-index:-403960" filled="true" fillcolor="#ccecfc" stroked="false">
            <v:fill type="solid"/>
            <w10:wrap type="none"/>
          </v:rect>
        </w:pict>
      </w:r>
      <w:r>
        <w:rPr>
          <w:color w:val="231F20"/>
          <w:sz w:val="18"/>
        </w:rPr>
        <w:t>from CP</w:t>
        <w:tab/>
        <w:t>(b)</w:t>
        <w:tab/>
        <w:t>(b)</w:t>
        <w:tab/>
        <w:t>(b)</w:t>
        <w:tab/>
        <w:t>(b)</w:t>
        <w:tab/>
        <w:t>(b)</w:t>
        <w:tab/>
        <w:t>(b)</w:t>
      </w:r>
    </w:p>
    <w:p>
      <w:pPr>
        <w:spacing w:line="206" w:lineRule="exact" w:before="53"/>
        <w:ind w:left="300" w:right="0" w:firstLine="0"/>
        <w:jc w:val="left"/>
        <w:rPr>
          <w:sz w:val="18"/>
        </w:rPr>
      </w:pPr>
      <w:r>
        <w:rPr>
          <w:color w:val="231F20"/>
          <w:sz w:val="18"/>
        </w:rPr>
        <w:t>Aircraft or cash can be</w:t>
      </w:r>
    </w:p>
    <w:p>
      <w:pPr>
        <w:spacing w:after="0" w:line="206" w:lineRule="exact"/>
        <w:jc w:val="left"/>
        <w:rPr>
          <w:sz w:val="18"/>
        </w:rPr>
        <w:sectPr>
          <w:type w:val="continuous"/>
          <w:pgSz w:w="11880" w:h="15480"/>
          <w:pgMar w:top="1260" w:bottom="280" w:left="1260" w:right="1260"/>
        </w:sectPr>
      </w:pPr>
    </w:p>
    <w:p>
      <w:pPr>
        <w:spacing w:line="200" w:lineRule="exact" w:before="1"/>
        <w:ind w:left="390" w:right="-20" w:firstLine="0"/>
        <w:jc w:val="left"/>
        <w:rPr>
          <w:sz w:val="18"/>
        </w:rPr>
      </w:pPr>
      <w:r>
        <w:rPr>
          <w:color w:val="231F20"/>
          <w:sz w:val="18"/>
        </w:rPr>
        <w:t>pledged to CP as collateral</w:t>
      </w:r>
    </w:p>
    <w:p>
      <w:pPr>
        <w:spacing w:line="200" w:lineRule="exact" w:before="1"/>
        <w:ind w:left="575" w:right="-19" w:hanging="185"/>
        <w:jc w:val="left"/>
        <w:rPr>
          <w:sz w:val="18"/>
        </w:rPr>
      </w:pPr>
      <w:r>
        <w:rPr/>
        <w:br w:type="column"/>
      </w:r>
      <w:r>
        <w:rPr>
          <w:color w:val="231F20"/>
          <w:sz w:val="18"/>
        </w:rPr>
        <w:t>(200) to</w:t>
      </w:r>
      <w:r>
        <w:rPr>
          <w:color w:val="231F20"/>
          <w:w w:val="100"/>
          <w:sz w:val="18"/>
        </w:rPr>
        <w:t> </w:t>
      </w:r>
      <w:r>
        <w:rPr>
          <w:color w:val="231F20"/>
          <w:sz w:val="18"/>
        </w:rPr>
        <w:t>(600)</w:t>
      </w:r>
    </w:p>
    <w:p>
      <w:pPr>
        <w:spacing w:line="196" w:lineRule="exact" w:before="0"/>
        <w:ind w:left="390" w:right="0" w:firstLine="0"/>
        <w:jc w:val="left"/>
        <w:rPr>
          <w:sz w:val="18"/>
        </w:rPr>
      </w:pPr>
      <w:r>
        <w:rPr/>
        <w:br w:type="column"/>
      </w:r>
      <w:r>
        <w:rPr>
          <w:color w:val="231F20"/>
          <w:sz w:val="18"/>
        </w:rPr>
        <w:t>(100) to</w:t>
      </w:r>
    </w:p>
    <w:p>
      <w:pPr>
        <w:tabs>
          <w:tab w:pos="1450" w:val="left" w:leader="none"/>
        </w:tabs>
        <w:spacing w:line="203" w:lineRule="exact" w:before="0"/>
        <w:ind w:left="575" w:right="0" w:firstLine="0"/>
        <w:jc w:val="left"/>
        <w:rPr>
          <w:sz w:val="18"/>
        </w:rPr>
      </w:pPr>
      <w:r>
        <w:rPr>
          <w:color w:val="231F20"/>
          <w:sz w:val="18"/>
        </w:rPr>
        <w:t>(500)</w:t>
        <w:tab/>
        <w:t>N/A</w:t>
      </w:r>
    </w:p>
    <w:p>
      <w:pPr>
        <w:spacing w:line="196" w:lineRule="exact" w:before="0"/>
        <w:ind w:left="385" w:right="0" w:firstLine="0"/>
        <w:jc w:val="left"/>
        <w:rPr>
          <w:sz w:val="18"/>
        </w:rPr>
      </w:pPr>
      <w:r>
        <w:rPr/>
        <w:br w:type="column"/>
      </w:r>
      <w:r>
        <w:rPr>
          <w:color w:val="231F20"/>
          <w:sz w:val="18"/>
        </w:rPr>
        <w:t>(150) to</w:t>
      </w:r>
    </w:p>
    <w:p>
      <w:pPr>
        <w:tabs>
          <w:tab w:pos="1436" w:val="left" w:leader="none"/>
          <w:tab w:pos="2214" w:val="left" w:leader="none"/>
        </w:tabs>
        <w:spacing w:line="203" w:lineRule="exact" w:before="0"/>
        <w:ind w:left="570" w:right="0" w:firstLine="0"/>
        <w:jc w:val="left"/>
        <w:rPr>
          <w:sz w:val="18"/>
        </w:rPr>
      </w:pPr>
      <w:r>
        <w:rPr>
          <w:color w:val="231F20"/>
          <w:sz w:val="18"/>
        </w:rPr>
        <w:t>(550)</w:t>
        <w:tab/>
        <w:t>N/A</w:t>
        <w:tab/>
        <w:t>N/A</w:t>
      </w:r>
    </w:p>
    <w:p>
      <w:pPr>
        <w:spacing w:after="0" w:line="203" w:lineRule="exact"/>
        <w:jc w:val="left"/>
        <w:rPr>
          <w:sz w:val="18"/>
        </w:rPr>
        <w:sectPr>
          <w:type w:val="continuous"/>
          <w:pgSz w:w="11880" w:h="15480"/>
          <w:pgMar w:top="1260" w:bottom="280" w:left="1260" w:right="1260"/>
          <w:cols w:num="4" w:equalWidth="0">
            <w:col w:w="1605" w:space="435"/>
            <w:col w:w="966" w:space="74"/>
            <w:col w:w="1761" w:space="40"/>
            <w:col w:w="4479"/>
          </w:cols>
        </w:sectPr>
      </w:pPr>
    </w:p>
    <w:p>
      <w:pPr>
        <w:pStyle w:val="BodyText"/>
        <w:spacing w:before="11"/>
        <w:rPr>
          <w:sz w:val="18"/>
        </w:rPr>
      </w:pPr>
    </w:p>
    <w:p>
      <w:pPr>
        <w:pStyle w:val="ListParagraph"/>
        <w:numPr>
          <w:ilvl w:val="1"/>
          <w:numId w:val="14"/>
        </w:numPr>
        <w:tabs>
          <w:tab w:pos="366" w:val="left" w:leader="none"/>
        </w:tabs>
        <w:spacing w:line="240" w:lineRule="auto" w:before="94" w:after="0"/>
        <w:ind w:left="120" w:right="0" w:firstLine="0"/>
        <w:jc w:val="left"/>
        <w:rPr>
          <w:sz w:val="18"/>
        </w:rPr>
      </w:pPr>
      <w:r>
        <w:rPr>
          <w:color w:val="231F20"/>
          <w:sz w:val="18"/>
        </w:rPr>
        <w:t>Individual counterparties with fair value of fuel derivatives &lt;$25</w:t>
      </w:r>
      <w:r>
        <w:rPr>
          <w:color w:val="231F20"/>
          <w:spacing w:val="3"/>
          <w:sz w:val="18"/>
        </w:rPr>
        <w:t> </w:t>
      </w:r>
      <w:r>
        <w:rPr>
          <w:color w:val="231F20"/>
          <w:sz w:val="18"/>
        </w:rPr>
        <w:t>million.</w:t>
      </w:r>
    </w:p>
    <w:p>
      <w:pPr>
        <w:pStyle w:val="ListParagraph"/>
        <w:numPr>
          <w:ilvl w:val="1"/>
          <w:numId w:val="14"/>
        </w:numPr>
        <w:tabs>
          <w:tab w:pos="376" w:val="left" w:leader="none"/>
        </w:tabs>
        <w:spacing w:line="240" w:lineRule="auto" w:before="53" w:after="0"/>
        <w:ind w:left="375" w:right="0" w:hanging="255"/>
        <w:jc w:val="left"/>
        <w:rPr>
          <w:sz w:val="18"/>
        </w:rPr>
      </w:pPr>
      <w:r>
        <w:rPr>
          <w:color w:val="231F20"/>
          <w:sz w:val="18"/>
        </w:rPr>
        <w:t>Cash collateral is provided at 100 percent of fair value of fuel derivative</w:t>
      </w:r>
      <w:r>
        <w:rPr>
          <w:color w:val="231F20"/>
          <w:spacing w:val="-1"/>
          <w:sz w:val="18"/>
        </w:rPr>
        <w:t> </w:t>
      </w:r>
      <w:r>
        <w:rPr>
          <w:color w:val="231F20"/>
          <w:sz w:val="18"/>
        </w:rPr>
        <w:t>contracts.</w:t>
      </w:r>
    </w:p>
    <w:p>
      <w:pPr>
        <w:pStyle w:val="ListParagraph"/>
        <w:numPr>
          <w:ilvl w:val="1"/>
          <w:numId w:val="14"/>
        </w:numPr>
        <w:tabs>
          <w:tab w:pos="366" w:val="left" w:leader="none"/>
        </w:tabs>
        <w:spacing w:line="240" w:lineRule="auto" w:before="53" w:after="0"/>
        <w:ind w:left="365" w:right="0" w:hanging="245"/>
        <w:jc w:val="left"/>
        <w:rPr>
          <w:sz w:val="18"/>
        </w:rPr>
      </w:pPr>
      <w:r>
        <w:rPr>
          <w:color w:val="231F20"/>
          <w:sz w:val="18"/>
        </w:rPr>
        <w:t>Thresholds may vary based on changes in credit ratings within investment</w:t>
      </w:r>
      <w:r>
        <w:rPr>
          <w:color w:val="231F20"/>
          <w:spacing w:val="-2"/>
          <w:sz w:val="18"/>
        </w:rPr>
        <w:t> </w:t>
      </w:r>
      <w:r>
        <w:rPr>
          <w:color w:val="231F20"/>
          <w:sz w:val="18"/>
        </w:rPr>
        <w:t>grade.</w:t>
      </w:r>
    </w:p>
    <w:p>
      <w:pPr>
        <w:pStyle w:val="ListParagraph"/>
        <w:numPr>
          <w:ilvl w:val="1"/>
          <w:numId w:val="14"/>
        </w:numPr>
        <w:tabs>
          <w:tab w:pos="376" w:val="left" w:leader="none"/>
        </w:tabs>
        <w:spacing w:line="240" w:lineRule="auto" w:before="53" w:after="0"/>
        <w:ind w:left="375" w:right="0" w:hanging="255"/>
        <w:jc w:val="left"/>
        <w:rPr>
          <w:sz w:val="18"/>
        </w:rPr>
      </w:pPr>
      <w:r>
        <w:rPr>
          <w:color w:val="231F20"/>
          <w:sz w:val="18"/>
        </w:rPr>
        <w:t>The Company has the option of providing cash, letters of credit, or pledging aircraft as</w:t>
      </w:r>
      <w:r>
        <w:rPr>
          <w:color w:val="231F20"/>
          <w:spacing w:val="-1"/>
          <w:sz w:val="18"/>
        </w:rPr>
        <w:t> </w:t>
      </w:r>
      <w:r>
        <w:rPr>
          <w:color w:val="231F20"/>
          <w:sz w:val="18"/>
        </w:rPr>
        <w:t>collateral.</w:t>
      </w:r>
    </w:p>
    <w:p>
      <w:pPr>
        <w:pStyle w:val="ListParagraph"/>
        <w:numPr>
          <w:ilvl w:val="1"/>
          <w:numId w:val="14"/>
        </w:numPr>
        <w:tabs>
          <w:tab w:pos="366" w:val="left" w:leader="none"/>
        </w:tabs>
        <w:spacing w:line="240" w:lineRule="auto" w:before="53" w:after="0"/>
        <w:ind w:left="365" w:right="0" w:hanging="245"/>
        <w:jc w:val="left"/>
        <w:rPr>
          <w:sz w:val="18"/>
        </w:rPr>
      </w:pPr>
      <w:r>
        <w:rPr>
          <w:color w:val="231F20"/>
          <w:sz w:val="18"/>
        </w:rPr>
        <w:t>The Company has the option of providing cash or letters of credit as</w:t>
      </w:r>
      <w:r>
        <w:rPr>
          <w:color w:val="231F20"/>
          <w:spacing w:val="-1"/>
          <w:sz w:val="18"/>
        </w:rPr>
        <w:t> </w:t>
      </w:r>
      <w:r>
        <w:rPr>
          <w:color w:val="231F20"/>
          <w:sz w:val="18"/>
        </w:rPr>
        <w:t>collateral.</w:t>
      </w:r>
    </w:p>
    <w:p>
      <w:pPr>
        <w:pStyle w:val="ListParagraph"/>
        <w:numPr>
          <w:ilvl w:val="1"/>
          <w:numId w:val="14"/>
        </w:numPr>
        <w:tabs>
          <w:tab w:pos="301" w:val="left" w:leader="none"/>
        </w:tabs>
        <w:spacing w:line="240" w:lineRule="auto" w:before="53" w:after="0"/>
        <w:ind w:left="300" w:right="0" w:hanging="180"/>
        <w:jc w:val="left"/>
        <w:rPr>
          <w:sz w:val="18"/>
        </w:rPr>
      </w:pPr>
      <w:r>
        <w:rPr>
          <w:color w:val="231F20"/>
          <w:sz w:val="18"/>
        </w:rPr>
        <w:t>The Company has the option to substitute letters of credit for 100 percent of cash collateral</w:t>
      </w:r>
      <w:r>
        <w:rPr>
          <w:color w:val="231F20"/>
          <w:spacing w:val="-2"/>
          <w:sz w:val="18"/>
        </w:rPr>
        <w:t> </w:t>
      </w:r>
      <w:r>
        <w:rPr>
          <w:color w:val="231F20"/>
          <w:sz w:val="18"/>
        </w:rPr>
        <w:t>requirement.</w:t>
      </w:r>
    </w:p>
    <w:p>
      <w:pPr>
        <w:pStyle w:val="ListParagraph"/>
        <w:numPr>
          <w:ilvl w:val="1"/>
          <w:numId w:val="14"/>
        </w:numPr>
        <w:tabs>
          <w:tab w:pos="394" w:val="left" w:leader="none"/>
        </w:tabs>
        <w:spacing w:line="254" w:lineRule="auto" w:before="53" w:after="0"/>
        <w:ind w:left="120" w:right="118" w:firstLine="0"/>
        <w:jc w:val="left"/>
        <w:rPr>
          <w:sz w:val="18"/>
        </w:rPr>
      </w:pPr>
      <w:r>
        <w:rPr>
          <w:color w:val="231F20"/>
          <w:sz w:val="18"/>
        </w:rPr>
        <w:t>The Company has the option of providing letters of credit in addition to aircraft collateral if the appraised value of the aircraft does not meet the collateral</w:t>
      </w:r>
      <w:r>
        <w:rPr>
          <w:color w:val="231F20"/>
          <w:spacing w:val="-1"/>
          <w:sz w:val="18"/>
        </w:rPr>
        <w:t> </w:t>
      </w:r>
      <w:r>
        <w:rPr>
          <w:color w:val="231F20"/>
          <w:sz w:val="18"/>
        </w:rPr>
        <w:t>requirements.</w:t>
      </w:r>
    </w:p>
    <w:p>
      <w:pPr>
        <w:spacing w:after="0" w:line="254" w:lineRule="auto"/>
        <w:jc w:val="left"/>
        <w:rPr>
          <w:sz w:val="18"/>
        </w:rPr>
        <w:sectPr>
          <w:type w:val="continuous"/>
          <w:pgSz w:w="11880" w:h="15480"/>
          <w:pgMar w:top="1260" w:bottom="280" w:left="1260" w:right="1260"/>
        </w:sectPr>
      </w:pPr>
    </w:p>
    <w:p>
      <w:pPr>
        <w:pStyle w:val="Heading1"/>
        <w:numPr>
          <w:ilvl w:val="0"/>
          <w:numId w:val="15"/>
        </w:numPr>
        <w:tabs>
          <w:tab w:pos="430" w:val="left" w:leader="none"/>
        </w:tabs>
        <w:spacing w:line="240" w:lineRule="auto" w:before="74" w:after="0"/>
        <w:ind w:left="430" w:right="0" w:hanging="330"/>
        <w:jc w:val="left"/>
      </w:pPr>
      <w:r>
        <w:rPr>
          <w:color w:val="231F20"/>
        </w:rPr>
        <w:t>FAIR VALUE MEASUREMENTS</w:t>
      </w:r>
    </w:p>
    <w:p>
      <w:pPr>
        <w:pStyle w:val="BodyText"/>
        <w:spacing w:before="4"/>
        <w:rPr>
          <w:b/>
          <w:sz w:val="21"/>
        </w:rPr>
      </w:pPr>
    </w:p>
    <w:p>
      <w:pPr>
        <w:pStyle w:val="BodyText"/>
        <w:spacing w:line="247" w:lineRule="auto" w:before="1"/>
        <w:ind w:left="100" w:right="117" w:firstLine="720"/>
        <w:jc w:val="both"/>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9"/>
        <w:rPr>
          <w:sz w:val="20"/>
        </w:rPr>
      </w:pPr>
    </w:p>
    <w:p>
      <w:pPr>
        <w:pStyle w:val="BodyText"/>
        <w:spacing w:line="247" w:lineRule="auto"/>
        <w:ind w:left="100" w:right="116" w:firstLine="720"/>
        <w:jc w:val="both"/>
      </w:pPr>
      <w:r>
        <w:rPr>
          <w:color w:val="231F20"/>
        </w:rPr>
        <w:t>As of December 31, 2014, the Company held certain items that are required to be measured at fair value on a recurring basis. These included cash equivalents, short-term investments (primarily treasury bills, commercial paper, and certificates of deposit), certain noncurrent investments,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Noncurrent investments consist of certain auction rate securities, primarily those collateralized by student loan portfolios, which are guaranteed by the U.S.  Government. Other available-for-sale securities primarily consist of investments associated with the Company’s excess benefit</w:t>
      </w:r>
      <w:r>
        <w:rPr>
          <w:color w:val="231F20"/>
          <w:spacing w:val="1"/>
        </w:rPr>
        <w:t> </w:t>
      </w:r>
      <w:r>
        <w:rPr>
          <w:color w:val="231F20"/>
        </w:rPr>
        <w:t>plan.</w:t>
      </w:r>
    </w:p>
    <w:p>
      <w:pPr>
        <w:pStyle w:val="BodyText"/>
        <w:spacing w:before="8"/>
        <w:rPr>
          <w:sz w:val="20"/>
        </w:rPr>
      </w:pPr>
    </w:p>
    <w:p>
      <w:pPr>
        <w:pStyle w:val="BodyText"/>
        <w:spacing w:line="247" w:lineRule="auto" w:before="1"/>
        <w:ind w:left="100" w:right="117" w:firstLine="720"/>
        <w:jc w:val="both"/>
      </w:pPr>
      <w:r>
        <w:rPr>
          <w:color w:val="231F20"/>
        </w:rPr>
        <w:t>The Company’s fuel and interest rate derivative instruments consist of over-the-counter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 to 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w:t>
      </w:r>
      <w:r>
        <w:rPr>
          <w:color w:val="231F20"/>
          <w:spacing w:val="-3"/>
        </w:rPr>
        <w:t> </w:t>
      </w:r>
      <w:r>
        <w:rPr>
          <w:color w:val="231F20"/>
        </w:rPr>
        <w:t>holds.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firstLine="720"/>
        <w:jc w:val="both"/>
      </w:pPr>
      <w:r>
        <w:rPr>
          <w:color w:val="231F20"/>
        </w:rPr>
        <w:t>Included in Other available-for-sale securities are the Company’s investments associated with its excess benefit plan which consist of mutual funds that are publicly traded and for which market prices are readily available. This plan is a non-qualified deferred compensation plan designed to hold Employee contributions in excess of limits established by Section 415 of the Internal Revenue Code of 1986, as amended. Payments under this plan are made based on the participant’s distribution election and plan balance. Assets related to the funded portion of the deferred compensation plan are held in a rabbi trust, and the Company remains liable to these participants for the unfunded portion of the plan. The Company records changes in the fair value of the asset in the Company’s earnings.</w:t>
      </w:r>
    </w:p>
    <w:p>
      <w:pPr>
        <w:pStyle w:val="BodyText"/>
        <w:spacing w:before="9"/>
        <w:rPr>
          <w:sz w:val="20"/>
        </w:rPr>
      </w:pPr>
    </w:p>
    <w:p>
      <w:pPr>
        <w:pStyle w:val="BodyText"/>
        <w:spacing w:line="247" w:lineRule="auto"/>
        <w:ind w:left="100" w:right="117" w:firstLine="720"/>
        <w:jc w:val="both"/>
      </w:pPr>
      <w:r>
        <w:rPr>
          <w:color w:val="231F20"/>
        </w:rPr>
        <w:t>All of the Company’s auction rate security instruments, totaling $27 million (net)  at  December 31, 2014, are classified as available-for-sale securities and are reflected at their estimated fair value in the Consolidated Balance Sheet. The Company’s Treasury Department determines the estimated fair values of these securities utilizing a discounted cash flow analysis. The Company has performed,  and  routinely  updates,  a  valuation  for  each   of   its   auction   rate   security instruments, considering,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LIBOR or the issuer’s net loan rate, and a counterparty credit spread. To validate the reasonableness of the Company’s discounted cash flow analyses, the Company compares its valuations to third party valuations on a quarterly</w:t>
      </w:r>
      <w:r>
        <w:rPr>
          <w:color w:val="231F20"/>
          <w:spacing w:val="-4"/>
        </w:rPr>
        <w:t> </w:t>
      </w:r>
      <w:r>
        <w:rPr>
          <w:color w:val="231F20"/>
        </w:rPr>
        <w:t>basis.</w:t>
      </w:r>
    </w:p>
    <w:p>
      <w:pPr>
        <w:spacing w:after="0" w:line="247" w:lineRule="auto"/>
        <w:jc w:val="both"/>
        <w:sectPr>
          <w:pgSz w:w="11880" w:h="15480"/>
          <w:pgMar w:header="0" w:footer="1240" w:top="1240" w:bottom="1420" w:left="1280" w:right="1260"/>
        </w:sectPr>
      </w:pPr>
    </w:p>
    <w:p>
      <w:pPr>
        <w:pStyle w:val="BodyText"/>
        <w:spacing w:line="247" w:lineRule="auto" w:before="74"/>
        <w:ind w:left="100" w:right="97"/>
      </w:pPr>
      <w:r>
        <w:rPr>
          <w:color w:val="231F20"/>
        </w:rPr>
        <w:t>The following tables present the Company’s assets and liabilities that are measured at fair value on a recurring basis at December 31, 2014, and December 31, 2013:</w:t>
      </w:r>
    </w:p>
    <w:p>
      <w:pPr>
        <w:pStyle w:val="BodyText"/>
        <w:rPr>
          <w:sz w:val="12"/>
        </w:rPr>
      </w:pPr>
    </w:p>
    <w:p>
      <w:pPr>
        <w:spacing w:before="99"/>
        <w:ind w:left="4859" w:right="0" w:firstLine="0"/>
        <w:jc w:val="left"/>
        <w:rPr>
          <w:b/>
          <w:sz w:val="20"/>
        </w:rPr>
      </w:pPr>
      <w:r>
        <w:rPr/>
        <w:pict>
          <v:line style="position:absolute;mso-position-horizontal-relative:page;mso-position-vertical-relative:paragraph;z-index:6088" from="300.25pt,17.785938pt" to="525pt,17.785938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80" w:right="1260"/>
        </w:sectPr>
      </w:pPr>
    </w:p>
    <w:p>
      <w:pPr>
        <w:pStyle w:val="BodyText"/>
        <w:rPr>
          <w:b/>
        </w:rPr>
      </w:pPr>
    </w:p>
    <w:p>
      <w:pPr>
        <w:pStyle w:val="BodyText"/>
        <w:rPr>
          <w:b/>
        </w:rPr>
      </w:pPr>
    </w:p>
    <w:p>
      <w:pPr>
        <w:pStyle w:val="BodyText"/>
        <w:spacing w:before="4"/>
        <w:rPr>
          <w:b/>
          <w:sz w:val="26"/>
        </w:rPr>
      </w:pPr>
    </w:p>
    <w:p>
      <w:pPr>
        <w:tabs>
          <w:tab w:pos="2937" w:val="left" w:leader="none"/>
        </w:tabs>
        <w:spacing w:before="0"/>
        <w:ind w:left="180" w:right="0" w:firstLine="0"/>
        <w:jc w:val="left"/>
        <w:rPr>
          <w:b/>
          <w:sz w:val="20"/>
        </w:rPr>
      </w:pPr>
      <w:r>
        <w:rPr>
          <w:b/>
          <w:color w:val="231F20"/>
          <w:sz w:val="20"/>
        </w:rPr>
        <w:t>Description</w:t>
        <w:tab/>
        <w:t>December 31, 2014</w:t>
      </w:r>
    </w:p>
    <w:p>
      <w:pPr>
        <w:spacing w:line="249" w:lineRule="auto" w:before="89"/>
        <w:ind w:left="132" w:right="0" w:firstLine="0"/>
        <w:jc w:val="center"/>
        <w:rPr>
          <w:b/>
          <w:sz w:val="20"/>
        </w:rPr>
      </w:pPr>
      <w:r>
        <w:rPr/>
        <w:br w:type="column"/>
      </w:r>
      <w:r>
        <w:rPr>
          <w:b/>
          <w:color w:val="231F20"/>
          <w:sz w:val="20"/>
        </w:rPr>
        <w:t>Quoted prices in active markets</w:t>
      </w:r>
    </w:p>
    <w:p>
      <w:pPr>
        <w:spacing w:line="249" w:lineRule="auto" w:before="1"/>
        <w:ind w:left="129" w:right="0" w:firstLine="0"/>
        <w:jc w:val="center"/>
        <w:rPr>
          <w:b/>
          <w:sz w:val="20"/>
        </w:rPr>
      </w:pPr>
      <w:r>
        <w:rPr/>
        <w:pict>
          <v:line style="position:absolute;mso-position-horizontal-relative:page;mso-position-vertical-relative:paragraph;z-index:-403744" from="300.25pt,24.885937pt" to="379.3pt,24.885937pt" stroked="true" strokeweight="1pt" strokecolor="#231f20">
            <v:stroke dashstyle="solid"/>
            <w10:wrap type="none"/>
          </v:line>
        </w:pict>
      </w:r>
      <w:r>
        <w:rPr>
          <w:b/>
          <w:color w:val="231F20"/>
          <w:sz w:val="20"/>
        </w:rPr>
        <w:t>for identical assets</w:t>
      </w:r>
      <w:r>
        <w:rPr>
          <w:b/>
          <w:color w:val="231F20"/>
          <w:w w:val="99"/>
          <w:sz w:val="20"/>
        </w:rPr>
        <w:t> </w:t>
      </w:r>
      <w:r>
        <w:rPr>
          <w:b/>
          <w:color w:val="231F20"/>
          <w:sz w:val="20"/>
        </w:rPr>
        <w:t>(Level 1)</w:t>
      </w:r>
    </w:p>
    <w:p>
      <w:pPr>
        <w:spacing w:line="249" w:lineRule="auto" w:before="89"/>
        <w:ind w:left="81" w:right="-19" w:firstLine="252"/>
        <w:jc w:val="left"/>
        <w:rPr>
          <w:b/>
          <w:sz w:val="20"/>
        </w:rPr>
      </w:pPr>
      <w:r>
        <w:rPr/>
        <w:br w:type="column"/>
      </w:r>
      <w:r>
        <w:rPr>
          <w:b/>
          <w:color w:val="231F20"/>
          <w:sz w:val="20"/>
        </w:rPr>
        <w:t>Significant other observable</w:t>
      </w:r>
    </w:p>
    <w:p>
      <w:pPr>
        <w:spacing w:line="249" w:lineRule="auto" w:before="1"/>
        <w:ind w:left="420" w:right="320" w:firstLine="108"/>
        <w:jc w:val="left"/>
        <w:rPr>
          <w:b/>
          <w:sz w:val="20"/>
        </w:rPr>
      </w:pPr>
      <w:r>
        <w:rPr>
          <w:b/>
          <w:color w:val="231F20"/>
          <w:sz w:val="20"/>
        </w:rPr>
        <w:t>inputs (Level 2)</w:t>
      </w:r>
    </w:p>
    <w:p>
      <w:pPr>
        <w:spacing w:line="249" w:lineRule="auto" w:before="89"/>
        <w:ind w:left="80" w:right="218" w:firstLine="97"/>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before="1"/>
        <w:ind w:left="308" w:right="345" w:firstLine="0"/>
        <w:jc w:val="center"/>
        <w:rPr>
          <w:b/>
          <w:sz w:val="20"/>
        </w:rPr>
      </w:pPr>
      <w:r>
        <w:rPr>
          <w:b/>
          <w:color w:val="231F20"/>
          <w:sz w:val="20"/>
        </w:rPr>
        <w:t>(Level 3)</w:t>
      </w:r>
    </w:p>
    <w:p>
      <w:pPr>
        <w:spacing w:after="0"/>
        <w:jc w:val="center"/>
        <w:rPr>
          <w:sz w:val="20"/>
        </w:rPr>
        <w:sectPr>
          <w:type w:val="continuous"/>
          <w:pgSz w:w="11880" w:h="15480"/>
          <w:pgMar w:top="1260" w:bottom="280" w:left="1280" w:right="1260"/>
          <w:cols w:num="4" w:equalWidth="0">
            <w:col w:w="4556" w:space="40"/>
            <w:col w:w="1710" w:space="40"/>
            <w:col w:w="1510" w:space="40"/>
            <w:col w:w="1444"/>
          </w:cols>
        </w:sect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68"/>
        <w:gridCol w:w="120"/>
        <w:gridCol w:w="1717"/>
        <w:gridCol w:w="120"/>
        <w:gridCol w:w="2106"/>
        <w:gridCol w:w="1024"/>
        <w:gridCol w:w="120"/>
        <w:gridCol w:w="1245"/>
      </w:tblGrid>
      <w:tr>
        <w:trPr>
          <w:trHeight w:val="610" w:hRule="exact"/>
        </w:trPr>
        <w:tc>
          <w:tcPr>
            <w:tcW w:w="2668" w:type="dxa"/>
            <w:tcBorders>
              <w:top w:val="single" w:sz="8" w:space="0" w:color="231F20"/>
            </w:tcBorders>
          </w:tcPr>
          <w:p>
            <w:pPr>
              <w:pStyle w:val="TableParagraph"/>
              <w:ind w:left="80"/>
              <w:rPr>
                <w:b/>
                <w:sz w:val="20"/>
              </w:rPr>
            </w:pPr>
            <w:r>
              <w:rPr>
                <w:b/>
                <w:color w:val="231F20"/>
                <w:sz w:val="20"/>
              </w:rPr>
              <w:t>Assets</w:t>
            </w:r>
          </w:p>
          <w:p>
            <w:pPr>
              <w:pStyle w:val="TableParagraph"/>
              <w:spacing w:before="69"/>
              <w:ind w:left="80"/>
              <w:rPr>
                <w:sz w:val="20"/>
              </w:rPr>
            </w:pPr>
            <w:r>
              <w:rPr>
                <w:color w:val="231F20"/>
                <w:sz w:val="20"/>
              </w:rPr>
              <w:t>Cash equivalents</w:t>
            </w:r>
          </w:p>
        </w:tc>
        <w:tc>
          <w:tcPr>
            <w:tcW w:w="120" w:type="dxa"/>
          </w:tcPr>
          <w:p>
            <w:pPr/>
          </w:p>
        </w:tc>
        <w:tc>
          <w:tcPr>
            <w:tcW w:w="1717" w:type="dxa"/>
            <w:tcBorders>
              <w:top w:val="single" w:sz="8" w:space="0" w:color="231F20"/>
            </w:tcBorders>
          </w:tcPr>
          <w:p>
            <w:pPr/>
          </w:p>
        </w:tc>
        <w:tc>
          <w:tcPr>
            <w:tcW w:w="120" w:type="dxa"/>
          </w:tcPr>
          <w:p>
            <w:pPr/>
          </w:p>
        </w:tc>
        <w:tc>
          <w:tcPr>
            <w:tcW w:w="3130" w:type="dxa"/>
            <w:gridSpan w:val="2"/>
          </w:tcPr>
          <w:p>
            <w:pPr>
              <w:pStyle w:val="TableParagraph"/>
              <w:spacing w:before="63"/>
              <w:ind w:left="891"/>
              <w:rPr>
                <w:sz w:val="20"/>
              </w:rPr>
            </w:pPr>
            <w:r>
              <w:rPr>
                <w:color w:val="231F20"/>
                <w:sz w:val="20"/>
              </w:rPr>
              <w:t>(in millions)</w:t>
            </w:r>
          </w:p>
        </w:tc>
        <w:tc>
          <w:tcPr>
            <w:tcW w:w="1365" w:type="dxa"/>
            <w:gridSpan w:val="2"/>
          </w:tcPr>
          <w:p>
            <w:pPr/>
          </w:p>
        </w:tc>
      </w:tr>
      <w:tr>
        <w:trPr>
          <w:trHeight w:val="300" w:hRule="exact"/>
        </w:trPr>
        <w:tc>
          <w:tcPr>
            <w:tcW w:w="2668" w:type="dxa"/>
            <w:shd w:val="clear" w:color="auto" w:fill="CCECFC"/>
          </w:tcPr>
          <w:p>
            <w:pPr>
              <w:pStyle w:val="TableParagraph"/>
              <w:ind w:left="280"/>
              <w:rPr>
                <w:sz w:val="20"/>
              </w:rPr>
            </w:pPr>
            <w:r>
              <w:rPr>
                <w:color w:val="231F20"/>
                <w:sz w:val="20"/>
              </w:rPr>
              <w:t>Cash equivalents (a)</w:t>
            </w:r>
          </w:p>
        </w:tc>
        <w:tc>
          <w:tcPr>
            <w:tcW w:w="120" w:type="dxa"/>
            <w:shd w:val="clear" w:color="auto" w:fill="CCECFC"/>
          </w:tcPr>
          <w:p>
            <w:pPr/>
          </w:p>
        </w:tc>
        <w:tc>
          <w:tcPr>
            <w:tcW w:w="1717" w:type="dxa"/>
            <w:shd w:val="clear" w:color="auto" w:fill="CCECFC"/>
          </w:tcPr>
          <w:p>
            <w:pPr>
              <w:pStyle w:val="TableParagraph"/>
              <w:tabs>
                <w:tab w:pos="1158" w:val="left" w:leader="none"/>
              </w:tabs>
              <w:ind w:right="105"/>
              <w:jc w:val="right"/>
              <w:rPr>
                <w:sz w:val="20"/>
              </w:rPr>
            </w:pPr>
            <w:r>
              <w:rPr>
                <w:color w:val="231F20"/>
                <w:sz w:val="20"/>
              </w:rPr>
              <w:t>$</w:t>
              <w:tab/>
            </w:r>
            <w:r>
              <w:rPr>
                <w:color w:val="231F20"/>
                <w:spacing w:val="-1"/>
                <w:sz w:val="20"/>
              </w:rPr>
              <w:t>1,110</w:t>
            </w:r>
          </w:p>
        </w:tc>
        <w:tc>
          <w:tcPr>
            <w:tcW w:w="120" w:type="dxa"/>
            <w:shd w:val="clear" w:color="auto" w:fill="CCECFC"/>
          </w:tcPr>
          <w:p>
            <w:pPr/>
          </w:p>
        </w:tc>
        <w:tc>
          <w:tcPr>
            <w:tcW w:w="3130" w:type="dxa"/>
            <w:gridSpan w:val="2"/>
            <w:shd w:val="clear" w:color="auto" w:fill="CCECFC"/>
          </w:tcPr>
          <w:p>
            <w:pPr>
              <w:pStyle w:val="TableParagraph"/>
              <w:tabs>
                <w:tab w:pos="1030" w:val="left" w:leader="none"/>
                <w:tab w:pos="1700" w:val="left" w:leader="none"/>
                <w:tab w:pos="2829" w:val="left" w:leader="none"/>
              </w:tabs>
              <w:rPr>
                <w:sz w:val="20"/>
              </w:rPr>
            </w:pPr>
            <w:r>
              <w:rPr>
                <w:color w:val="231F20"/>
                <w:sz w:val="20"/>
              </w:rPr>
              <w:t>$</w:t>
              <w:tab/>
              <w:t>1,110</w:t>
              <w:tab/>
              <w:t>$</w:t>
              <w:tab/>
              <w:t>—</w:t>
            </w:r>
          </w:p>
        </w:tc>
        <w:tc>
          <w:tcPr>
            <w:tcW w:w="120" w:type="dxa"/>
            <w:shd w:val="clear" w:color="auto" w:fill="CCECFC"/>
          </w:tcPr>
          <w:p>
            <w:pPr/>
          </w:p>
        </w:tc>
        <w:tc>
          <w:tcPr>
            <w:tcW w:w="1245" w:type="dxa"/>
            <w:shd w:val="clear" w:color="auto" w:fill="CCECFC"/>
          </w:tcPr>
          <w:p>
            <w:pPr>
              <w:pStyle w:val="TableParagraph"/>
              <w:tabs>
                <w:tab w:pos="944" w:val="left" w:leader="none"/>
              </w:tabs>
              <w:ind w:right="97"/>
              <w:jc w:val="right"/>
              <w:rPr>
                <w:sz w:val="20"/>
              </w:rPr>
            </w:pPr>
            <w:r>
              <w:rPr>
                <w:color w:val="231F20"/>
                <w:sz w:val="20"/>
              </w:rPr>
              <w:t>$</w:t>
              <w:tab/>
              <w:t>—</w:t>
            </w:r>
          </w:p>
        </w:tc>
      </w:tr>
      <w:tr>
        <w:trPr>
          <w:trHeight w:val="300" w:hRule="exact"/>
        </w:trPr>
        <w:tc>
          <w:tcPr>
            <w:tcW w:w="2668" w:type="dxa"/>
          </w:tcPr>
          <w:p>
            <w:pPr>
              <w:pStyle w:val="TableParagraph"/>
              <w:ind w:left="280"/>
              <w:rPr>
                <w:sz w:val="20"/>
              </w:rPr>
            </w:pPr>
            <w:r>
              <w:rPr>
                <w:color w:val="231F20"/>
                <w:sz w:val="20"/>
              </w:rPr>
              <w:t>Commercial paper</w:t>
            </w:r>
          </w:p>
        </w:tc>
        <w:tc>
          <w:tcPr>
            <w:tcW w:w="120" w:type="dxa"/>
          </w:tcPr>
          <w:p>
            <w:pPr/>
          </w:p>
        </w:tc>
        <w:tc>
          <w:tcPr>
            <w:tcW w:w="1717" w:type="dxa"/>
          </w:tcPr>
          <w:p>
            <w:pPr>
              <w:pStyle w:val="TableParagraph"/>
              <w:ind w:right="105"/>
              <w:jc w:val="right"/>
              <w:rPr>
                <w:sz w:val="20"/>
              </w:rPr>
            </w:pPr>
            <w:r>
              <w:rPr>
                <w:color w:val="231F20"/>
                <w:sz w:val="20"/>
              </w:rPr>
              <w:t>70</w:t>
            </w:r>
          </w:p>
        </w:tc>
        <w:tc>
          <w:tcPr>
            <w:tcW w:w="120" w:type="dxa"/>
          </w:tcPr>
          <w:p>
            <w:pPr/>
          </w:p>
        </w:tc>
        <w:tc>
          <w:tcPr>
            <w:tcW w:w="3130" w:type="dxa"/>
            <w:gridSpan w:val="2"/>
          </w:tcPr>
          <w:p>
            <w:pPr>
              <w:pStyle w:val="TableParagraph"/>
              <w:tabs>
                <w:tab w:pos="2829" w:val="left" w:leader="none"/>
              </w:tabs>
              <w:ind w:left="1281"/>
              <w:rPr>
                <w:sz w:val="20"/>
              </w:rPr>
            </w:pPr>
            <w:r>
              <w:rPr>
                <w:color w:val="231F20"/>
                <w:sz w:val="20"/>
              </w:rPr>
              <w:t>—</w:t>
              <w:tab/>
              <w:t>70</w:t>
            </w:r>
          </w:p>
        </w:tc>
        <w:tc>
          <w:tcPr>
            <w:tcW w:w="120" w:type="dxa"/>
          </w:tcPr>
          <w:p>
            <w:pPr/>
          </w:p>
        </w:tc>
        <w:tc>
          <w:tcPr>
            <w:tcW w:w="1245" w:type="dxa"/>
          </w:tcPr>
          <w:p>
            <w:pPr>
              <w:pStyle w:val="TableParagraph"/>
              <w:ind w:right="97"/>
              <w:jc w:val="right"/>
              <w:rPr>
                <w:sz w:val="20"/>
              </w:rPr>
            </w:pPr>
            <w:r>
              <w:rPr>
                <w:color w:val="231F20"/>
                <w:sz w:val="20"/>
              </w:rPr>
              <w:t>—</w:t>
            </w:r>
          </w:p>
        </w:tc>
      </w:tr>
      <w:tr>
        <w:trPr>
          <w:trHeight w:val="300" w:hRule="exact"/>
        </w:trPr>
        <w:tc>
          <w:tcPr>
            <w:tcW w:w="2668" w:type="dxa"/>
            <w:shd w:val="clear" w:color="auto" w:fill="CCECFC"/>
          </w:tcPr>
          <w:p>
            <w:pPr>
              <w:pStyle w:val="TableParagraph"/>
              <w:ind w:left="280"/>
              <w:rPr>
                <w:sz w:val="20"/>
              </w:rPr>
            </w:pPr>
            <w:r>
              <w:rPr>
                <w:color w:val="231F20"/>
                <w:sz w:val="20"/>
              </w:rPr>
              <w:t>Certificates of deposit</w:t>
            </w:r>
          </w:p>
        </w:tc>
        <w:tc>
          <w:tcPr>
            <w:tcW w:w="120" w:type="dxa"/>
            <w:shd w:val="clear" w:color="auto" w:fill="CCECFC"/>
          </w:tcPr>
          <w:p>
            <w:pPr/>
          </w:p>
        </w:tc>
        <w:tc>
          <w:tcPr>
            <w:tcW w:w="1717" w:type="dxa"/>
            <w:shd w:val="clear" w:color="auto" w:fill="CCECFC"/>
          </w:tcPr>
          <w:p>
            <w:pPr>
              <w:pStyle w:val="TableParagraph"/>
              <w:ind w:right="105"/>
              <w:jc w:val="right"/>
              <w:rPr>
                <w:sz w:val="20"/>
              </w:rPr>
            </w:pPr>
            <w:r>
              <w:rPr>
                <w:color w:val="231F20"/>
                <w:sz w:val="20"/>
              </w:rPr>
              <w:t>4</w:t>
            </w:r>
          </w:p>
        </w:tc>
        <w:tc>
          <w:tcPr>
            <w:tcW w:w="120" w:type="dxa"/>
            <w:shd w:val="clear" w:color="auto" w:fill="CCECFC"/>
          </w:tcPr>
          <w:p>
            <w:pPr/>
          </w:p>
        </w:tc>
        <w:tc>
          <w:tcPr>
            <w:tcW w:w="3130" w:type="dxa"/>
            <w:gridSpan w:val="2"/>
            <w:shd w:val="clear" w:color="auto" w:fill="CCECFC"/>
          </w:tcPr>
          <w:p>
            <w:pPr>
              <w:pStyle w:val="TableParagraph"/>
              <w:tabs>
                <w:tab w:pos="2929" w:val="left" w:leader="none"/>
              </w:tabs>
              <w:ind w:left="1281"/>
              <w:rPr>
                <w:sz w:val="20"/>
              </w:rPr>
            </w:pPr>
            <w:r>
              <w:rPr>
                <w:color w:val="231F20"/>
                <w:sz w:val="20"/>
              </w:rPr>
              <w:t>—</w:t>
              <w:tab/>
              <w:t>4</w:t>
            </w:r>
          </w:p>
        </w:tc>
        <w:tc>
          <w:tcPr>
            <w:tcW w:w="120" w:type="dxa"/>
            <w:shd w:val="clear" w:color="auto" w:fill="CCECFC"/>
          </w:tcPr>
          <w:p>
            <w:pPr/>
          </w:p>
        </w:tc>
        <w:tc>
          <w:tcPr>
            <w:tcW w:w="1245" w:type="dxa"/>
            <w:shd w:val="clear" w:color="auto" w:fill="CCECFC"/>
          </w:tcPr>
          <w:p>
            <w:pPr>
              <w:pStyle w:val="TableParagraph"/>
              <w:ind w:right="97"/>
              <w:jc w:val="right"/>
              <w:rPr>
                <w:sz w:val="20"/>
              </w:rPr>
            </w:pPr>
            <w:r>
              <w:rPr>
                <w:color w:val="231F20"/>
                <w:sz w:val="20"/>
              </w:rPr>
              <w:t>—</w:t>
            </w:r>
          </w:p>
        </w:tc>
      </w:tr>
      <w:tr>
        <w:trPr>
          <w:trHeight w:val="284" w:hRule="exact"/>
        </w:trPr>
        <w:tc>
          <w:tcPr>
            <w:tcW w:w="2668" w:type="dxa"/>
          </w:tcPr>
          <w:p>
            <w:pPr>
              <w:pStyle w:val="TableParagraph"/>
              <w:ind w:left="280"/>
              <w:rPr>
                <w:sz w:val="20"/>
              </w:rPr>
            </w:pPr>
            <w:r>
              <w:rPr>
                <w:color w:val="231F20"/>
                <w:sz w:val="20"/>
              </w:rPr>
              <w:t>Eurodollar Time Deposits</w:t>
            </w:r>
          </w:p>
        </w:tc>
        <w:tc>
          <w:tcPr>
            <w:tcW w:w="120" w:type="dxa"/>
          </w:tcPr>
          <w:p>
            <w:pPr/>
          </w:p>
        </w:tc>
        <w:tc>
          <w:tcPr>
            <w:tcW w:w="1717" w:type="dxa"/>
          </w:tcPr>
          <w:p>
            <w:pPr>
              <w:pStyle w:val="TableParagraph"/>
              <w:ind w:right="105"/>
              <w:jc w:val="right"/>
              <w:rPr>
                <w:sz w:val="20"/>
              </w:rPr>
            </w:pPr>
            <w:r>
              <w:rPr>
                <w:color w:val="231F20"/>
                <w:sz w:val="20"/>
              </w:rPr>
              <w:t>98</w:t>
            </w:r>
          </w:p>
        </w:tc>
        <w:tc>
          <w:tcPr>
            <w:tcW w:w="120" w:type="dxa"/>
          </w:tcPr>
          <w:p>
            <w:pPr/>
          </w:p>
        </w:tc>
        <w:tc>
          <w:tcPr>
            <w:tcW w:w="3130" w:type="dxa"/>
            <w:gridSpan w:val="2"/>
          </w:tcPr>
          <w:p>
            <w:pPr>
              <w:pStyle w:val="TableParagraph"/>
              <w:tabs>
                <w:tab w:pos="2829" w:val="left" w:leader="none"/>
              </w:tabs>
              <w:ind w:left="1281"/>
              <w:rPr>
                <w:sz w:val="20"/>
              </w:rPr>
            </w:pPr>
            <w:r>
              <w:rPr>
                <w:color w:val="231F20"/>
                <w:sz w:val="20"/>
              </w:rPr>
              <w:t>—</w:t>
              <w:tab/>
              <w:t>98</w:t>
            </w:r>
          </w:p>
        </w:tc>
        <w:tc>
          <w:tcPr>
            <w:tcW w:w="120" w:type="dxa"/>
          </w:tcPr>
          <w:p>
            <w:pPr/>
          </w:p>
        </w:tc>
        <w:tc>
          <w:tcPr>
            <w:tcW w:w="1245" w:type="dxa"/>
          </w:tcPr>
          <w:p>
            <w:pPr>
              <w:pStyle w:val="TableParagraph"/>
              <w:ind w:right="97"/>
              <w:jc w:val="right"/>
              <w:rPr>
                <w:sz w:val="20"/>
              </w:rPr>
            </w:pPr>
            <w:r>
              <w:rPr>
                <w:color w:val="231F20"/>
                <w:sz w:val="20"/>
              </w:rPr>
              <w:t>—</w:t>
            </w:r>
          </w:p>
        </w:tc>
      </w:tr>
      <w:tr>
        <w:trPr>
          <w:trHeight w:val="316" w:hRule="exact"/>
        </w:trPr>
        <w:tc>
          <w:tcPr>
            <w:tcW w:w="9120" w:type="dxa"/>
            <w:gridSpan w:val="8"/>
            <w:shd w:val="clear" w:color="auto" w:fill="CCECFC"/>
          </w:tcPr>
          <w:p>
            <w:pPr>
              <w:pStyle w:val="TableParagraph"/>
              <w:ind w:left="80"/>
              <w:rPr>
                <w:sz w:val="20"/>
              </w:rPr>
            </w:pPr>
            <w:r>
              <w:rPr>
                <w:color w:val="231F20"/>
                <w:sz w:val="20"/>
              </w:rPr>
              <w:t>Short-term investments:</w:t>
            </w:r>
          </w:p>
        </w:tc>
      </w:tr>
      <w:tr>
        <w:trPr>
          <w:trHeight w:val="300" w:hRule="exact"/>
        </w:trPr>
        <w:tc>
          <w:tcPr>
            <w:tcW w:w="2668" w:type="dxa"/>
          </w:tcPr>
          <w:p>
            <w:pPr>
              <w:pStyle w:val="TableParagraph"/>
              <w:ind w:left="280"/>
              <w:rPr>
                <w:sz w:val="20"/>
              </w:rPr>
            </w:pPr>
            <w:r>
              <w:rPr>
                <w:color w:val="231F20"/>
                <w:sz w:val="20"/>
              </w:rPr>
              <w:t>Treasury bills</w:t>
            </w:r>
          </w:p>
        </w:tc>
        <w:tc>
          <w:tcPr>
            <w:tcW w:w="1837" w:type="dxa"/>
            <w:gridSpan w:val="2"/>
          </w:tcPr>
          <w:p>
            <w:pPr>
              <w:pStyle w:val="TableParagraph"/>
              <w:ind w:right="107"/>
              <w:jc w:val="right"/>
              <w:rPr>
                <w:sz w:val="20"/>
              </w:rPr>
            </w:pPr>
            <w:r>
              <w:rPr>
                <w:color w:val="231F20"/>
                <w:sz w:val="20"/>
              </w:rPr>
              <w:t>1,450</w:t>
            </w:r>
          </w:p>
        </w:tc>
        <w:tc>
          <w:tcPr>
            <w:tcW w:w="2226" w:type="dxa"/>
            <w:gridSpan w:val="2"/>
          </w:tcPr>
          <w:p>
            <w:pPr>
              <w:pStyle w:val="TableParagraph"/>
              <w:ind w:left="1151"/>
              <w:rPr>
                <w:sz w:val="20"/>
              </w:rPr>
            </w:pPr>
            <w:r>
              <w:rPr>
                <w:color w:val="231F20"/>
                <w:sz w:val="20"/>
              </w:rPr>
              <w:t>1,450</w:t>
            </w:r>
          </w:p>
        </w:tc>
        <w:tc>
          <w:tcPr>
            <w:tcW w:w="1024" w:type="dxa"/>
          </w:tcPr>
          <w:p>
            <w:pPr>
              <w:pStyle w:val="TableParagraph"/>
              <w:ind w:right="99"/>
              <w:jc w:val="right"/>
              <w:rPr>
                <w:sz w:val="20"/>
              </w:rPr>
            </w:pPr>
            <w:r>
              <w:rPr>
                <w:color w:val="231F20"/>
                <w:sz w:val="20"/>
              </w:rPr>
              <w:t>—</w:t>
            </w:r>
          </w:p>
        </w:tc>
        <w:tc>
          <w:tcPr>
            <w:tcW w:w="1365" w:type="dxa"/>
            <w:gridSpan w:val="2"/>
          </w:tcPr>
          <w:p>
            <w:pPr>
              <w:pStyle w:val="TableParagraph"/>
              <w:ind w:right="99"/>
              <w:jc w:val="right"/>
              <w:rPr>
                <w:sz w:val="20"/>
              </w:rPr>
            </w:pPr>
            <w:r>
              <w:rPr>
                <w:color w:val="231F20"/>
                <w:sz w:val="20"/>
              </w:rPr>
              <w:t>—</w:t>
            </w:r>
          </w:p>
        </w:tc>
      </w:tr>
      <w:tr>
        <w:trPr>
          <w:trHeight w:val="300" w:hRule="exact"/>
        </w:trPr>
        <w:tc>
          <w:tcPr>
            <w:tcW w:w="2668" w:type="dxa"/>
            <w:shd w:val="clear" w:color="auto" w:fill="CCECFC"/>
          </w:tcPr>
          <w:p>
            <w:pPr>
              <w:pStyle w:val="TableParagraph"/>
              <w:ind w:left="280"/>
              <w:rPr>
                <w:sz w:val="20"/>
              </w:rPr>
            </w:pPr>
            <w:r>
              <w:rPr>
                <w:color w:val="231F20"/>
                <w:sz w:val="20"/>
              </w:rPr>
              <w:t>Certificates of deposit</w:t>
            </w:r>
          </w:p>
        </w:tc>
        <w:tc>
          <w:tcPr>
            <w:tcW w:w="1837" w:type="dxa"/>
            <w:gridSpan w:val="2"/>
            <w:shd w:val="clear" w:color="auto" w:fill="CCECFC"/>
          </w:tcPr>
          <w:p>
            <w:pPr>
              <w:pStyle w:val="TableParagraph"/>
              <w:ind w:right="105"/>
              <w:jc w:val="right"/>
              <w:rPr>
                <w:sz w:val="20"/>
              </w:rPr>
            </w:pPr>
            <w:r>
              <w:rPr>
                <w:color w:val="231F20"/>
                <w:sz w:val="20"/>
              </w:rPr>
              <w:t>256</w:t>
            </w:r>
          </w:p>
        </w:tc>
        <w:tc>
          <w:tcPr>
            <w:tcW w:w="2226" w:type="dxa"/>
            <w:gridSpan w:val="2"/>
            <w:shd w:val="clear" w:color="auto" w:fill="CCECFC"/>
          </w:tcPr>
          <w:p>
            <w:pPr>
              <w:pStyle w:val="TableParagraph"/>
              <w:ind w:left="1401"/>
              <w:rPr>
                <w:sz w:val="20"/>
              </w:rPr>
            </w:pPr>
            <w:r>
              <w:rPr>
                <w:color w:val="231F20"/>
                <w:sz w:val="20"/>
              </w:rPr>
              <w:t>—</w:t>
            </w:r>
          </w:p>
        </w:tc>
        <w:tc>
          <w:tcPr>
            <w:tcW w:w="1024" w:type="dxa"/>
            <w:shd w:val="clear" w:color="auto" w:fill="CCECFC"/>
          </w:tcPr>
          <w:p>
            <w:pPr>
              <w:pStyle w:val="TableParagraph"/>
              <w:ind w:right="97"/>
              <w:jc w:val="right"/>
              <w:rPr>
                <w:sz w:val="20"/>
              </w:rPr>
            </w:pPr>
            <w:r>
              <w:rPr>
                <w:color w:val="231F20"/>
                <w:sz w:val="20"/>
              </w:rPr>
              <w:t>256</w:t>
            </w:r>
          </w:p>
        </w:tc>
        <w:tc>
          <w:tcPr>
            <w:tcW w:w="1365" w:type="dxa"/>
            <w:gridSpan w:val="2"/>
            <w:shd w:val="clear" w:color="auto" w:fill="CCECFC"/>
          </w:tcPr>
          <w:p>
            <w:pPr>
              <w:pStyle w:val="TableParagraph"/>
              <w:ind w:right="97"/>
              <w:jc w:val="right"/>
              <w:rPr>
                <w:sz w:val="20"/>
              </w:rPr>
            </w:pPr>
            <w:r>
              <w:rPr>
                <w:color w:val="231F20"/>
                <w:sz w:val="20"/>
              </w:rPr>
              <w:t>—</w:t>
            </w:r>
          </w:p>
        </w:tc>
      </w:tr>
    </w:tbl>
    <w:p>
      <w:pPr>
        <w:spacing w:before="71"/>
        <w:ind w:left="180" w:right="0" w:firstLine="0"/>
        <w:jc w:val="left"/>
        <w:rPr>
          <w:sz w:val="20"/>
        </w:rPr>
      </w:pPr>
      <w:r>
        <w:rPr/>
        <w:pict>
          <v:rect style="position:absolute;margin-left:69pt;margin-top:15.885938pt;width:456pt;height:15pt;mso-position-horizontal-relative:page;mso-position-vertical-relative:paragraph;z-index:-403840" filled="true" fillcolor="#ccecfc" stroked="false">
            <v:fill type="solid"/>
            <w10:wrap type="none"/>
          </v:rect>
        </w:pict>
      </w:r>
      <w:r>
        <w:rPr>
          <w:color w:val="231F20"/>
          <w:sz w:val="20"/>
        </w:rPr>
        <w:t>Noncurrent investments (b)</w:t>
      </w:r>
    </w:p>
    <w:p>
      <w:pPr>
        <w:tabs>
          <w:tab w:pos="4296" w:val="left" w:leader="none"/>
          <w:tab w:pos="6005" w:val="left" w:leader="none"/>
          <w:tab w:pos="7554" w:val="left" w:leader="none"/>
          <w:tab w:pos="9119" w:val="right" w:leader="none"/>
        </w:tabs>
        <w:spacing w:before="69"/>
        <w:ind w:left="380" w:right="0" w:firstLine="0"/>
        <w:jc w:val="left"/>
        <w:rPr>
          <w:sz w:val="20"/>
        </w:rPr>
      </w:pPr>
      <w:r>
        <w:rPr>
          <w:color w:val="231F20"/>
          <w:sz w:val="20"/>
        </w:rPr>
        <w:t>Auction rate</w:t>
      </w:r>
      <w:r>
        <w:rPr>
          <w:color w:val="231F20"/>
          <w:spacing w:val="1"/>
          <w:sz w:val="20"/>
        </w:rPr>
        <w:t> </w:t>
      </w:r>
      <w:r>
        <w:rPr>
          <w:color w:val="231F20"/>
          <w:sz w:val="20"/>
        </w:rPr>
        <w:t>securities</w:t>
        <w:tab/>
        <w:t>27</w:t>
        <w:tab/>
        <w:t>—</w:t>
        <w:tab/>
        <w:t>—</w:t>
        <w:tab/>
        <w:t>27</w:t>
      </w:r>
    </w:p>
    <w:p>
      <w:pPr>
        <w:spacing w:before="69"/>
        <w:ind w:left="180" w:right="0" w:firstLine="0"/>
        <w:jc w:val="left"/>
        <w:rPr>
          <w:sz w:val="20"/>
        </w:rPr>
      </w:pPr>
      <w:r>
        <w:rPr>
          <w:color w:val="231F20"/>
          <w:sz w:val="20"/>
        </w:rPr>
        <w:t>Interest rate derivatives (see</w:t>
      </w:r>
    </w:p>
    <w:p>
      <w:pPr>
        <w:tabs>
          <w:tab w:pos="4076" w:val="left" w:leader="none"/>
          <w:tab w:pos="5785" w:val="left" w:leader="none"/>
          <w:tab w:pos="7334" w:val="left" w:leader="none"/>
          <w:tab w:pos="8699" w:val="left" w:leader="none"/>
        </w:tabs>
        <w:spacing w:before="9"/>
        <w:ind w:left="160" w:right="0" w:firstLine="0"/>
        <w:jc w:val="center"/>
        <w:rPr>
          <w:sz w:val="20"/>
        </w:rPr>
      </w:pPr>
      <w:r>
        <w:rPr/>
        <w:pict>
          <v:rect style="position:absolute;margin-left:69pt;margin-top:12.785937pt;width:456pt;height:15pt;mso-position-horizontal-relative:page;mso-position-vertical-relative:paragraph;z-index:-403816" filled="true" fillcolor="#ccecfc" stroked="false">
            <v:fill type="solid"/>
            <w10:wrap type="none"/>
          </v:rect>
        </w:pict>
      </w:r>
      <w:r>
        <w:rPr>
          <w:color w:val="231F20"/>
          <w:sz w:val="20"/>
        </w:rPr>
        <w:t>Note 10)</w:t>
        <w:tab/>
        <w:t>13</w:t>
        <w:tab/>
        <w:t>—</w:t>
        <w:tab/>
        <w:t>13</w:t>
        <w:tab/>
        <w:t>—</w:t>
      </w:r>
    </w:p>
    <w:p>
      <w:pPr>
        <w:spacing w:before="69"/>
        <w:ind w:left="180" w:right="0" w:firstLine="0"/>
        <w:jc w:val="left"/>
        <w:rPr>
          <w:sz w:val="20"/>
        </w:rPr>
      </w:pPr>
      <w:r>
        <w:rPr>
          <w:color w:val="231F20"/>
          <w:sz w:val="20"/>
        </w:rPr>
        <w:t>Fuel derivatives:</w:t>
      </w:r>
    </w:p>
    <w:p>
      <w:pPr>
        <w:pStyle w:val="BodyText"/>
        <w:spacing w:before="7"/>
        <w:rPr>
          <w:sz w:val="6"/>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88"/>
        <w:gridCol w:w="1777"/>
        <w:gridCol w:w="4555"/>
      </w:tblGrid>
      <w:tr>
        <w:trPr>
          <w:trHeight w:val="240" w:hRule="exact"/>
        </w:trPr>
        <w:tc>
          <w:tcPr>
            <w:tcW w:w="2788" w:type="dxa"/>
          </w:tcPr>
          <w:p>
            <w:pPr>
              <w:pStyle w:val="TableParagraph"/>
              <w:spacing w:line="223" w:lineRule="exact" w:before="0"/>
              <w:ind w:left="280"/>
              <w:rPr>
                <w:sz w:val="20"/>
              </w:rPr>
            </w:pPr>
            <w:r>
              <w:rPr>
                <w:color w:val="231F20"/>
                <w:sz w:val="20"/>
              </w:rPr>
              <w:t>Swap contracts (c)</w:t>
            </w:r>
          </w:p>
        </w:tc>
        <w:tc>
          <w:tcPr>
            <w:tcW w:w="1777" w:type="dxa"/>
          </w:tcPr>
          <w:p>
            <w:pPr>
              <w:pStyle w:val="TableParagraph"/>
              <w:spacing w:line="223" w:lineRule="exact" w:before="0"/>
              <w:ind w:right="167"/>
              <w:jc w:val="right"/>
              <w:rPr>
                <w:sz w:val="20"/>
              </w:rPr>
            </w:pPr>
            <w:r>
              <w:rPr>
                <w:color w:val="231F20"/>
                <w:sz w:val="20"/>
              </w:rPr>
              <w:t>455</w:t>
            </w:r>
          </w:p>
        </w:tc>
        <w:tc>
          <w:tcPr>
            <w:tcW w:w="4555" w:type="dxa"/>
          </w:tcPr>
          <w:p>
            <w:pPr>
              <w:pStyle w:val="TableParagraph"/>
              <w:tabs>
                <w:tab w:pos="1448" w:val="left" w:leader="none"/>
                <w:tab w:pos="2913" w:val="left" w:leader="none"/>
              </w:tabs>
              <w:spacing w:line="223" w:lineRule="exact" w:before="0"/>
              <w:ind w:right="99"/>
              <w:jc w:val="right"/>
              <w:rPr>
                <w:sz w:val="20"/>
              </w:rPr>
            </w:pPr>
            <w:r>
              <w:rPr>
                <w:color w:val="231F20"/>
                <w:sz w:val="20"/>
              </w:rPr>
              <w:t>—</w:t>
              <w:tab/>
              <w:t>455</w:t>
              <w:tab/>
              <w:t>—</w:t>
            </w:r>
          </w:p>
        </w:tc>
      </w:tr>
      <w:tr>
        <w:trPr>
          <w:trHeight w:val="300" w:hRule="exact"/>
        </w:trPr>
        <w:tc>
          <w:tcPr>
            <w:tcW w:w="2788" w:type="dxa"/>
            <w:shd w:val="clear" w:color="auto" w:fill="CCECFC"/>
          </w:tcPr>
          <w:p>
            <w:pPr>
              <w:pStyle w:val="TableParagraph"/>
              <w:ind w:right="905"/>
              <w:jc w:val="right"/>
              <w:rPr>
                <w:sz w:val="20"/>
              </w:rPr>
            </w:pPr>
            <w:r>
              <w:rPr>
                <w:color w:val="231F20"/>
                <w:sz w:val="20"/>
              </w:rPr>
              <w:t>Option contracts (c)</w:t>
            </w:r>
          </w:p>
        </w:tc>
        <w:tc>
          <w:tcPr>
            <w:tcW w:w="1777" w:type="dxa"/>
            <w:shd w:val="clear" w:color="auto" w:fill="CCECFC"/>
          </w:tcPr>
          <w:p>
            <w:pPr>
              <w:pStyle w:val="TableParagraph"/>
              <w:ind w:right="167"/>
              <w:jc w:val="right"/>
              <w:rPr>
                <w:sz w:val="20"/>
              </w:rPr>
            </w:pPr>
            <w:r>
              <w:rPr>
                <w:color w:val="231F20"/>
                <w:sz w:val="20"/>
              </w:rPr>
              <w:t>892</w:t>
            </w:r>
          </w:p>
        </w:tc>
        <w:tc>
          <w:tcPr>
            <w:tcW w:w="4555" w:type="dxa"/>
            <w:shd w:val="clear" w:color="auto" w:fill="CCECFC"/>
          </w:tcPr>
          <w:p>
            <w:pPr>
              <w:pStyle w:val="TableParagraph"/>
              <w:tabs>
                <w:tab w:pos="1548" w:val="left" w:leader="none"/>
                <w:tab w:pos="2813" w:val="left" w:leader="none"/>
              </w:tabs>
              <w:ind w:right="99"/>
              <w:jc w:val="right"/>
              <w:rPr>
                <w:sz w:val="20"/>
              </w:rPr>
            </w:pPr>
            <w:r>
              <w:rPr>
                <w:color w:val="231F20"/>
                <w:sz w:val="20"/>
              </w:rPr>
              <w:t>—</w:t>
              <w:tab/>
              <w:t>—</w:t>
              <w:tab/>
              <w:t>892</w:t>
            </w:r>
          </w:p>
        </w:tc>
      </w:tr>
      <w:tr>
        <w:trPr>
          <w:trHeight w:val="555" w:hRule="exact"/>
        </w:trPr>
        <w:tc>
          <w:tcPr>
            <w:tcW w:w="2788" w:type="dxa"/>
          </w:tcPr>
          <w:p>
            <w:pPr>
              <w:pStyle w:val="TableParagraph"/>
              <w:spacing w:line="249" w:lineRule="auto"/>
              <w:ind w:left="280" w:right="783" w:hanging="200"/>
              <w:rPr>
                <w:sz w:val="20"/>
              </w:rPr>
            </w:pPr>
            <w:r>
              <w:rPr>
                <w:color w:val="231F20"/>
                <w:sz w:val="20"/>
              </w:rPr>
              <w:t>Other available-for-sale securities</w:t>
            </w:r>
          </w:p>
        </w:tc>
        <w:tc>
          <w:tcPr>
            <w:tcW w:w="1777" w:type="dxa"/>
            <w:tcBorders>
              <w:bottom w:val="single" w:sz="4" w:space="0" w:color="231F20"/>
            </w:tcBorders>
          </w:tcPr>
          <w:p>
            <w:pPr>
              <w:pStyle w:val="TableParagraph"/>
              <w:spacing w:before="5"/>
              <w:rPr>
                <w:sz w:val="25"/>
              </w:rPr>
            </w:pPr>
          </w:p>
          <w:p>
            <w:pPr>
              <w:pStyle w:val="TableParagraph"/>
              <w:spacing w:before="1"/>
              <w:ind w:right="165"/>
              <w:jc w:val="right"/>
              <w:rPr>
                <w:sz w:val="20"/>
              </w:rPr>
            </w:pPr>
            <w:r>
              <w:rPr>
                <w:color w:val="231F20"/>
                <w:sz w:val="20"/>
              </w:rPr>
              <w:t>68</w:t>
            </w:r>
          </w:p>
        </w:tc>
        <w:tc>
          <w:tcPr>
            <w:tcW w:w="4555" w:type="dxa"/>
            <w:tcBorders>
              <w:bottom w:val="single" w:sz="4" w:space="0" w:color="231F20"/>
            </w:tcBorders>
          </w:tcPr>
          <w:p>
            <w:pPr>
              <w:pStyle w:val="TableParagraph"/>
              <w:spacing w:before="5"/>
              <w:rPr>
                <w:sz w:val="25"/>
              </w:rPr>
            </w:pPr>
          </w:p>
          <w:p>
            <w:pPr>
              <w:pStyle w:val="TableParagraph"/>
              <w:tabs>
                <w:tab w:pos="1548" w:val="left" w:leader="none"/>
                <w:tab w:pos="3013" w:val="left" w:leader="none"/>
              </w:tabs>
              <w:spacing w:before="1"/>
              <w:ind w:right="97"/>
              <w:jc w:val="right"/>
              <w:rPr>
                <w:sz w:val="20"/>
              </w:rPr>
            </w:pPr>
            <w:r>
              <w:rPr>
                <w:color w:val="231F20"/>
                <w:sz w:val="20"/>
              </w:rPr>
              <w:t>63</w:t>
              <w:tab/>
              <w:t>—</w:t>
              <w:tab/>
              <w:t>5</w:t>
            </w:r>
          </w:p>
        </w:tc>
      </w:tr>
      <w:tr>
        <w:trPr>
          <w:trHeight w:val="340" w:hRule="exact"/>
        </w:trPr>
        <w:tc>
          <w:tcPr>
            <w:tcW w:w="2788" w:type="dxa"/>
            <w:shd w:val="clear" w:color="auto" w:fill="CCECFC"/>
          </w:tcPr>
          <w:p>
            <w:pPr>
              <w:pStyle w:val="TableParagraph"/>
              <w:ind w:left="80"/>
              <w:rPr>
                <w:b/>
                <w:sz w:val="20"/>
              </w:rPr>
            </w:pPr>
            <w:r>
              <w:rPr>
                <w:b/>
                <w:color w:val="231F20"/>
                <w:sz w:val="20"/>
              </w:rPr>
              <w:t>Total assets</w:t>
            </w:r>
          </w:p>
        </w:tc>
        <w:tc>
          <w:tcPr>
            <w:tcW w:w="1777" w:type="dxa"/>
            <w:tcBorders>
              <w:top w:val="single" w:sz="4" w:space="0" w:color="231F20"/>
              <w:bottom w:val="single" w:sz="4" w:space="0" w:color="231F20"/>
            </w:tcBorders>
            <w:shd w:val="clear" w:color="auto" w:fill="CCECFC"/>
          </w:tcPr>
          <w:p>
            <w:pPr>
              <w:pStyle w:val="TableParagraph"/>
              <w:tabs>
                <w:tab w:pos="1158" w:val="left" w:leader="none"/>
              </w:tabs>
              <w:ind w:right="58"/>
              <w:jc w:val="right"/>
              <w:rPr>
                <w:sz w:val="20"/>
              </w:rPr>
            </w:pPr>
            <w:r>
              <w:rPr>
                <w:color w:val="231F20"/>
                <w:sz w:val="20"/>
                <w:u w:val="single" w:color="231F20"/>
              </w:rPr>
              <w:t>$</w:t>
              <w:tab/>
            </w:r>
            <w:r>
              <w:rPr>
                <w:color w:val="231F20"/>
                <w:spacing w:val="-1"/>
                <w:sz w:val="20"/>
                <w:u w:val="single" w:color="231F20"/>
              </w:rPr>
              <w:t>4,443</w:t>
            </w:r>
            <w:r>
              <w:rPr>
                <w:color w:val="231F20"/>
                <w:spacing w:val="8"/>
                <w:sz w:val="20"/>
                <w:u w:val="single" w:color="231F20"/>
              </w:rPr>
              <w:t> </w:t>
            </w:r>
          </w:p>
        </w:tc>
        <w:tc>
          <w:tcPr>
            <w:tcW w:w="4555" w:type="dxa"/>
            <w:tcBorders>
              <w:top w:val="single" w:sz="4" w:space="0" w:color="231F20"/>
              <w:bottom w:val="single" w:sz="4" w:space="0" w:color="231F20"/>
            </w:tcBorders>
            <w:shd w:val="clear" w:color="auto" w:fill="CCECFC"/>
          </w:tcPr>
          <w:p>
            <w:pPr>
              <w:pStyle w:val="TableParagraph"/>
              <w:spacing w:line="20" w:lineRule="exact" w:before="0"/>
              <w:ind w:left="55"/>
              <w:rPr>
                <w:sz w:val="2"/>
              </w:rPr>
            </w:pPr>
            <w:r>
              <w:rPr>
                <w:sz w:val="2"/>
              </w:rPr>
              <w:pict>
                <v:group style="width:79.55pt;height:.5pt;mso-position-horizontal-relative:char;mso-position-vertical-relative:line" coordorigin="0,0" coordsize="1591,10">
                  <v:line style="position:absolute" from="5,5" to="1586,5" stroked="true" strokeweight=".5pt" strokecolor="#231f20">
                    <v:stroke dashstyle="solid"/>
                  </v:line>
                </v:group>
              </w:pict>
            </w:r>
            <w:r>
              <w:rPr>
                <w:sz w:val="2"/>
              </w:rPr>
            </w:r>
            <w:r>
              <w:rPr>
                <w:spacing w:val="83"/>
                <w:sz w:val="2"/>
              </w:rPr>
              <w:t> </w:t>
            </w:r>
            <w:r>
              <w:rPr>
                <w:spacing w:val="83"/>
                <w:sz w:val="2"/>
              </w:rPr>
              <w:pict>
                <v:group style="width:71.95pt;height:.5pt;mso-position-horizontal-relative:char;mso-position-vertical-relative:line" coordorigin="0,0" coordsize="1439,10">
                  <v:line style="position:absolute" from="5,5" to="1434,5" stroked="true" strokeweight=".5pt" strokecolor="#231f20">
                    <v:stroke dashstyle="solid"/>
                  </v:line>
                </v:group>
              </w:pict>
            </w:r>
            <w:r>
              <w:rPr>
                <w:spacing w:val="83"/>
                <w:sz w:val="2"/>
              </w:rPr>
            </w:r>
          </w:p>
          <w:p>
            <w:pPr>
              <w:pStyle w:val="TableParagraph"/>
              <w:tabs>
                <w:tab w:pos="1030" w:val="left" w:leader="none"/>
                <w:tab w:pos="2729" w:val="left" w:leader="none"/>
                <w:tab w:pos="4094" w:val="left" w:leader="none"/>
              </w:tabs>
              <w:spacing w:before="33"/>
              <w:jc w:val="right"/>
              <w:rPr>
                <w:sz w:val="20"/>
              </w:rPr>
            </w:pPr>
            <w:r>
              <w:rPr>
                <w:color w:val="231F20"/>
                <w:sz w:val="20"/>
                <w:u w:val="single" w:color="231F20"/>
              </w:rPr>
              <w:t>$</w:t>
              <w:tab/>
              <w:t>2,623   </w:t>
            </w:r>
            <w:r>
              <w:rPr>
                <w:color w:val="231F20"/>
                <w:spacing w:val="20"/>
                <w:sz w:val="20"/>
                <w:u w:val="single" w:color="231F20"/>
              </w:rPr>
              <w:t> </w:t>
            </w:r>
            <w:r>
              <w:rPr>
                <w:color w:val="231F20"/>
                <w:sz w:val="20"/>
                <w:u w:val="single" w:color="231F20"/>
              </w:rPr>
              <w:t>$</w:t>
              <w:tab/>
              <w:t>896   </w:t>
            </w:r>
            <w:r>
              <w:rPr>
                <w:color w:val="231F20"/>
                <w:spacing w:val="20"/>
                <w:sz w:val="20"/>
                <w:u w:val="single" w:color="231F20"/>
              </w:rPr>
              <w:t> </w:t>
            </w:r>
            <w:r>
              <w:rPr>
                <w:color w:val="231F20"/>
                <w:sz w:val="20"/>
                <w:u w:val="single" w:color="231F20"/>
              </w:rPr>
              <w:t>$</w:t>
              <w:tab/>
              <w:t>924</w:t>
            </w:r>
          </w:p>
        </w:tc>
      </w:tr>
      <w:tr>
        <w:trPr>
          <w:trHeight w:val="305" w:hRule="exact"/>
        </w:trPr>
        <w:tc>
          <w:tcPr>
            <w:tcW w:w="2788" w:type="dxa"/>
          </w:tcPr>
          <w:p>
            <w:pPr>
              <w:pStyle w:val="TableParagraph"/>
              <w:spacing w:before="113"/>
              <w:ind w:left="80"/>
              <w:rPr>
                <w:b/>
                <w:sz w:val="20"/>
              </w:rPr>
            </w:pPr>
            <w:r>
              <w:rPr>
                <w:b/>
                <w:color w:val="231F20"/>
                <w:sz w:val="20"/>
              </w:rPr>
              <w:t>Liabilities</w:t>
            </w:r>
          </w:p>
        </w:tc>
        <w:tc>
          <w:tcPr>
            <w:tcW w:w="1777" w:type="dxa"/>
            <w:tcBorders>
              <w:top w:val="single" w:sz="4" w:space="0" w:color="231F20"/>
            </w:tcBorders>
          </w:tcPr>
          <w:p>
            <w:pPr/>
          </w:p>
        </w:tc>
        <w:tc>
          <w:tcPr>
            <w:tcW w:w="4555" w:type="dxa"/>
            <w:tcBorders>
              <w:top w:val="single" w:sz="4" w:space="0" w:color="231F20"/>
            </w:tcBorders>
          </w:tcPr>
          <w:p>
            <w:pPr>
              <w:pStyle w:val="TableParagraph"/>
              <w:spacing w:line="20" w:lineRule="exact" w:before="0"/>
              <w:ind w:left="55"/>
              <w:rPr>
                <w:sz w:val="2"/>
              </w:rPr>
            </w:pPr>
            <w:r>
              <w:rPr>
                <w:sz w:val="2"/>
              </w:rPr>
              <w:pict>
                <v:group style="width:79.55pt;height:.5pt;mso-position-horizontal-relative:char;mso-position-vertical-relative:line" coordorigin="0,0" coordsize="1591,10">
                  <v:line style="position:absolute" from="5,5" to="1586,5" stroked="true" strokeweight=".5pt" strokecolor="#231f20">
                    <v:stroke dashstyle="solid"/>
                  </v:line>
                </v:group>
              </w:pict>
            </w:r>
            <w:r>
              <w:rPr>
                <w:sz w:val="2"/>
              </w:rPr>
            </w:r>
            <w:r>
              <w:rPr>
                <w:spacing w:val="83"/>
                <w:sz w:val="2"/>
              </w:rPr>
              <w:t> </w:t>
            </w:r>
            <w:r>
              <w:rPr>
                <w:spacing w:val="83"/>
                <w:sz w:val="2"/>
              </w:rPr>
              <w:pict>
                <v:group style="width:71.95pt;height:.5pt;mso-position-horizontal-relative:char;mso-position-vertical-relative:line" coordorigin="0,0" coordsize="1439,10">
                  <v:line style="position:absolute" from="5,5" to="1434,5" stroked="true" strokeweight=".5pt" strokecolor="#231f20">
                    <v:stroke dashstyle="solid"/>
                  </v:line>
                </v:group>
              </w:pict>
            </w:r>
            <w:r>
              <w:rPr>
                <w:spacing w:val="83"/>
                <w:sz w:val="2"/>
              </w:rPr>
            </w:r>
          </w:p>
          <w:p>
            <w:pPr>
              <w:pStyle w:val="TableParagraph"/>
              <w:spacing w:before="4"/>
              <w:rPr>
                <w:sz w:val="24"/>
              </w:rPr>
            </w:pPr>
          </w:p>
        </w:tc>
      </w:tr>
      <w:tr>
        <w:trPr>
          <w:trHeight w:val="300" w:hRule="exact"/>
        </w:trPr>
        <w:tc>
          <w:tcPr>
            <w:tcW w:w="2788" w:type="dxa"/>
            <w:shd w:val="clear" w:color="auto" w:fill="CCECFC"/>
          </w:tcPr>
          <w:p>
            <w:pPr>
              <w:pStyle w:val="TableParagraph"/>
              <w:ind w:left="80"/>
              <w:rPr>
                <w:sz w:val="20"/>
              </w:rPr>
            </w:pPr>
            <w:r>
              <w:rPr>
                <w:color w:val="231F20"/>
                <w:sz w:val="20"/>
              </w:rPr>
              <w:t>Fuel derivatives:</w:t>
            </w:r>
          </w:p>
        </w:tc>
        <w:tc>
          <w:tcPr>
            <w:tcW w:w="1777" w:type="dxa"/>
            <w:shd w:val="clear" w:color="auto" w:fill="CCECFC"/>
          </w:tcPr>
          <w:p>
            <w:pPr/>
          </w:p>
        </w:tc>
        <w:tc>
          <w:tcPr>
            <w:tcW w:w="4555" w:type="dxa"/>
            <w:shd w:val="clear" w:color="auto" w:fill="CCECFC"/>
          </w:tcPr>
          <w:p>
            <w:pPr/>
          </w:p>
        </w:tc>
      </w:tr>
      <w:tr>
        <w:trPr>
          <w:trHeight w:val="300" w:hRule="exact"/>
        </w:trPr>
        <w:tc>
          <w:tcPr>
            <w:tcW w:w="2788" w:type="dxa"/>
          </w:tcPr>
          <w:p>
            <w:pPr>
              <w:pStyle w:val="TableParagraph"/>
              <w:ind w:left="280"/>
              <w:rPr>
                <w:sz w:val="20"/>
              </w:rPr>
            </w:pPr>
            <w:r>
              <w:rPr>
                <w:color w:val="231F20"/>
                <w:sz w:val="20"/>
              </w:rPr>
              <w:t>Swap contracts (c)</w:t>
            </w:r>
          </w:p>
        </w:tc>
        <w:tc>
          <w:tcPr>
            <w:tcW w:w="1777" w:type="dxa"/>
          </w:tcPr>
          <w:p>
            <w:pPr>
              <w:pStyle w:val="TableParagraph"/>
              <w:tabs>
                <w:tab w:pos="1274" w:val="left" w:leader="none"/>
              </w:tabs>
              <w:ind w:right="66"/>
              <w:jc w:val="right"/>
              <w:rPr>
                <w:sz w:val="20"/>
              </w:rPr>
            </w:pPr>
            <w:r>
              <w:rPr>
                <w:color w:val="231F20"/>
                <w:sz w:val="20"/>
              </w:rPr>
              <w:t>$</w:t>
              <w:tab/>
              <w:t>(365)</w:t>
            </w:r>
          </w:p>
        </w:tc>
        <w:tc>
          <w:tcPr>
            <w:tcW w:w="4555" w:type="dxa"/>
          </w:tcPr>
          <w:p>
            <w:pPr>
              <w:pStyle w:val="TableParagraph"/>
              <w:tabs>
                <w:tab w:pos="1340" w:val="left" w:leader="none"/>
                <w:tab w:pos="1760" w:val="left" w:leader="none"/>
                <w:tab w:pos="2755" w:val="left" w:leader="none"/>
                <w:tab w:pos="4254" w:val="left" w:leader="none"/>
              </w:tabs>
              <w:ind w:left="60"/>
              <w:rPr>
                <w:sz w:val="20"/>
              </w:rPr>
            </w:pPr>
            <w:r>
              <w:rPr>
                <w:color w:val="231F20"/>
                <w:sz w:val="20"/>
              </w:rPr>
              <w:t>$</w:t>
              <w:tab/>
              <w:t>—</w:t>
              <w:tab/>
              <w:t>$</w:t>
              <w:tab/>
              <w:t>(365) </w:t>
            </w:r>
            <w:r>
              <w:rPr>
                <w:color w:val="231F20"/>
                <w:spacing w:val="20"/>
                <w:sz w:val="20"/>
              </w:rPr>
              <w:t> </w:t>
            </w:r>
            <w:r>
              <w:rPr>
                <w:color w:val="231F20"/>
                <w:sz w:val="20"/>
              </w:rPr>
              <w:t>$</w:t>
              <w:tab/>
              <w:t>—</w:t>
            </w:r>
          </w:p>
        </w:tc>
      </w:tr>
      <w:tr>
        <w:trPr>
          <w:trHeight w:val="300" w:hRule="exact"/>
        </w:trPr>
        <w:tc>
          <w:tcPr>
            <w:tcW w:w="2788" w:type="dxa"/>
            <w:shd w:val="clear" w:color="auto" w:fill="CCECFC"/>
          </w:tcPr>
          <w:p>
            <w:pPr>
              <w:pStyle w:val="TableParagraph"/>
              <w:ind w:right="905"/>
              <w:jc w:val="right"/>
              <w:rPr>
                <w:sz w:val="20"/>
              </w:rPr>
            </w:pPr>
            <w:r>
              <w:rPr>
                <w:color w:val="231F20"/>
                <w:sz w:val="20"/>
              </w:rPr>
              <w:t>Option contracts (c)</w:t>
            </w:r>
          </w:p>
        </w:tc>
        <w:tc>
          <w:tcPr>
            <w:tcW w:w="1777" w:type="dxa"/>
            <w:shd w:val="clear" w:color="auto" w:fill="CCECFC"/>
          </w:tcPr>
          <w:p>
            <w:pPr>
              <w:pStyle w:val="TableParagraph"/>
              <w:ind w:right="66"/>
              <w:jc w:val="right"/>
              <w:rPr>
                <w:sz w:val="20"/>
              </w:rPr>
            </w:pPr>
            <w:r>
              <w:rPr>
                <w:color w:val="231F20"/>
                <w:sz w:val="20"/>
              </w:rPr>
              <w:t>(1,983)</w:t>
            </w:r>
          </w:p>
        </w:tc>
        <w:tc>
          <w:tcPr>
            <w:tcW w:w="4555" w:type="dxa"/>
            <w:shd w:val="clear" w:color="auto" w:fill="CCECFC"/>
          </w:tcPr>
          <w:p>
            <w:pPr>
              <w:pStyle w:val="TableParagraph"/>
              <w:tabs>
                <w:tab w:pos="1548" w:val="left" w:leader="none"/>
                <w:tab w:pos="2629" w:val="left" w:leader="none"/>
              </w:tabs>
              <w:jc w:val="right"/>
              <w:rPr>
                <w:sz w:val="20"/>
              </w:rPr>
            </w:pPr>
            <w:r>
              <w:rPr>
                <w:color w:val="231F20"/>
                <w:sz w:val="20"/>
              </w:rPr>
              <w:t>—</w:t>
              <w:tab/>
              <w:t>—</w:t>
              <w:tab/>
              <w:t>(1,983)</w:t>
            </w:r>
          </w:p>
        </w:tc>
      </w:tr>
    </w:tbl>
    <w:p>
      <w:pPr>
        <w:spacing w:before="54"/>
        <w:ind w:left="180" w:right="0" w:firstLine="0"/>
        <w:jc w:val="left"/>
        <w:rPr>
          <w:sz w:val="20"/>
        </w:rPr>
      </w:pPr>
      <w:r>
        <w:rPr>
          <w:color w:val="231F20"/>
          <w:sz w:val="20"/>
        </w:rPr>
        <w:t>Interest rate derivatives (see</w:t>
      </w:r>
    </w:p>
    <w:p>
      <w:pPr>
        <w:tabs>
          <w:tab w:pos="4042" w:val="left" w:leader="none"/>
          <w:tab w:pos="5785" w:val="left" w:leader="none"/>
          <w:tab w:pos="7300" w:val="left" w:leader="none"/>
          <w:tab w:pos="8699" w:val="left" w:leader="none"/>
        </w:tabs>
        <w:spacing w:before="10"/>
        <w:ind w:left="160" w:right="0" w:firstLine="0"/>
        <w:jc w:val="center"/>
        <w:rPr>
          <w:sz w:val="20"/>
        </w:rPr>
      </w:pPr>
      <w:r>
        <w:rPr/>
        <w:pict>
          <v:group style="position:absolute;margin-left:69pt;margin-top:13.335938pt;width:456.25pt;height:18.5pt;mso-position-horizontal-relative:page;mso-position-vertical-relative:paragraph;z-index:-403792" coordorigin="1380,267" coordsize="9125,370">
            <v:rect style="position:absolute;left:1380;top:277;width:9120;height:300" filled="true" fillcolor="#ccecfc" stroked="false">
              <v:fill type="solid"/>
            </v:rect>
            <v:line style="position:absolute" from="4168,272" to="5885,272" stroked="true" strokeweight=".5pt" strokecolor="#231f20">
              <v:stroke dashstyle="solid"/>
            </v:line>
            <v:line style="position:absolute" from="6005,272" to="7586,272" stroked="true" strokeweight=".5pt" strokecolor="#231f20">
              <v:stroke dashstyle="solid"/>
            </v:line>
            <v:line style="position:absolute" from="7706,272" to="9135,272" stroked="true" strokeweight=".5pt" strokecolor="#231f20">
              <v:stroke dashstyle="solid"/>
            </v:line>
            <v:line style="position:absolute" from="9255,272" to="10500,272" stroked="true" strokeweight=".5pt" strokecolor="#231f20">
              <v:stroke dashstyle="solid"/>
            </v:line>
            <v:line style="position:absolute" from="4168,592" to="5885,592" stroked="true" strokeweight=".5pt" strokecolor="#231f20">
              <v:stroke dashstyle="solid"/>
            </v:line>
            <v:line style="position:absolute" from="4168,632" to="5885,632" stroked="true" strokeweight=".5pt" strokecolor="#231f20">
              <v:stroke dashstyle="solid"/>
            </v:line>
            <v:line style="position:absolute" from="6005,592" to="7586,592" stroked="true" strokeweight=".5pt" strokecolor="#231f20">
              <v:stroke dashstyle="solid"/>
            </v:line>
            <v:line style="position:absolute" from="6005,632" to="7586,632" stroked="true" strokeweight=".5pt" strokecolor="#231f20">
              <v:stroke dashstyle="solid"/>
            </v:line>
            <v:line style="position:absolute" from="7706,592" to="9135,592" stroked="true" strokeweight=".5pt" strokecolor="#231f20">
              <v:stroke dashstyle="solid"/>
            </v:line>
            <v:line style="position:absolute" from="7706,632" to="9135,632" stroked="true" strokeweight=".5pt" strokecolor="#231f20">
              <v:stroke dashstyle="solid"/>
            </v:line>
            <v:line style="position:absolute" from="9255,592" to="10500,592" stroked="true" strokeweight=".5pt" strokecolor="#231f20">
              <v:stroke dashstyle="solid"/>
            </v:line>
            <v:line style="position:absolute" from="9255,632" to="10500,632" stroked="true" strokeweight=".5pt" strokecolor="#231f20">
              <v:stroke dashstyle="solid"/>
            </v:line>
            <w10:wrap type="none"/>
          </v:group>
        </w:pict>
      </w:r>
      <w:r>
        <w:rPr>
          <w:color w:val="231F20"/>
          <w:sz w:val="20"/>
        </w:rPr>
        <w:t>Note 10)</w:t>
        <w:tab/>
        <w:t>(61)</w:t>
        <w:tab/>
        <w:t>—</w:t>
        <w:tab/>
        <w:t>(61)</w:t>
        <w:tab/>
        <w:t>—</w:t>
      </w:r>
    </w:p>
    <w:p>
      <w:pPr>
        <w:tabs>
          <w:tab w:pos="2887" w:val="left" w:leader="none"/>
          <w:tab w:pos="4012" w:val="left" w:leader="none"/>
          <w:tab w:pos="6005" w:val="left" w:leader="none"/>
          <w:tab w:pos="6425" w:val="left" w:leader="none"/>
          <w:tab w:pos="7420" w:val="left" w:leader="none"/>
          <w:tab w:pos="8635" w:val="left" w:leader="none"/>
        </w:tabs>
        <w:spacing w:before="90"/>
        <w:ind w:left="180" w:right="0" w:firstLine="0"/>
        <w:jc w:val="left"/>
        <w:rPr>
          <w:sz w:val="20"/>
        </w:rPr>
      </w:pPr>
      <w:r>
        <w:rPr>
          <w:b/>
          <w:color w:val="231F20"/>
          <w:sz w:val="20"/>
        </w:rPr>
        <w:t>Total liabilities</w:t>
        <w:tab/>
      </w:r>
      <w:r>
        <w:rPr>
          <w:color w:val="231F20"/>
          <w:sz w:val="20"/>
        </w:rPr>
        <w:t>$</w:t>
        <w:tab/>
        <w:t>(2,409) </w:t>
      </w:r>
      <w:r>
        <w:rPr>
          <w:color w:val="231F20"/>
          <w:spacing w:val="28"/>
          <w:sz w:val="20"/>
        </w:rPr>
        <w:t> </w:t>
      </w:r>
      <w:r>
        <w:rPr>
          <w:color w:val="231F20"/>
          <w:sz w:val="20"/>
        </w:rPr>
        <w:t>$</w:t>
        <w:tab/>
        <w:t>—</w:t>
        <w:tab/>
        <w:t>$</w:t>
        <w:tab/>
        <w:t>(426) </w:t>
      </w:r>
      <w:r>
        <w:rPr>
          <w:color w:val="231F20"/>
          <w:spacing w:val="20"/>
          <w:sz w:val="20"/>
        </w:rPr>
        <w:t> </w:t>
      </w:r>
      <w:r>
        <w:rPr>
          <w:color w:val="231F20"/>
          <w:sz w:val="20"/>
        </w:rPr>
        <w:t>$</w:t>
        <w:tab/>
        <w:t>(1,983)</w:t>
      </w:r>
    </w:p>
    <w:p>
      <w:pPr>
        <w:pStyle w:val="BodyText"/>
        <w:rPr>
          <w:sz w:val="24"/>
        </w:rPr>
      </w:pPr>
    </w:p>
    <w:p>
      <w:pPr>
        <w:pStyle w:val="ListParagraph"/>
        <w:numPr>
          <w:ilvl w:val="0"/>
          <w:numId w:val="18"/>
        </w:numPr>
        <w:tabs>
          <w:tab w:pos="373" w:val="left" w:leader="none"/>
        </w:tabs>
        <w:spacing w:line="240" w:lineRule="auto" w:before="94" w:after="0"/>
        <w:ind w:left="373" w:right="0" w:hanging="273"/>
        <w:jc w:val="left"/>
        <w:rPr>
          <w:sz w:val="20"/>
        </w:rPr>
      </w:pP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18"/>
        </w:numPr>
        <w:tabs>
          <w:tab w:pos="384" w:val="left" w:leader="none"/>
        </w:tabs>
        <w:spacing w:line="240" w:lineRule="auto" w:before="50" w:after="0"/>
        <w:ind w:left="384" w:right="0" w:hanging="284"/>
        <w:jc w:val="left"/>
        <w:rPr>
          <w:sz w:val="20"/>
        </w:rPr>
      </w:pPr>
      <w:r>
        <w:rPr>
          <w:color w:val="231F20"/>
          <w:sz w:val="20"/>
        </w:rPr>
        <w:t>Noncurrent investments are included in Other assets in the Consolidated Balance</w:t>
      </w:r>
      <w:r>
        <w:rPr>
          <w:color w:val="231F20"/>
          <w:spacing w:val="6"/>
          <w:sz w:val="20"/>
        </w:rPr>
        <w:t> </w:t>
      </w:r>
      <w:r>
        <w:rPr>
          <w:color w:val="231F20"/>
          <w:sz w:val="20"/>
        </w:rPr>
        <w:t>Sheet.</w:t>
      </w:r>
    </w:p>
    <w:p>
      <w:pPr>
        <w:pStyle w:val="ListParagraph"/>
        <w:numPr>
          <w:ilvl w:val="0"/>
          <w:numId w:val="18"/>
        </w:numPr>
        <w:tabs>
          <w:tab w:pos="373" w:val="left" w:leader="none"/>
        </w:tabs>
        <w:spacing w:line="240" w:lineRule="auto" w:before="50" w:after="0"/>
        <w:ind w:left="373" w:right="0" w:hanging="273"/>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spacing w:after="0" w:line="240" w:lineRule="auto"/>
        <w:jc w:val="left"/>
        <w:rPr>
          <w:sz w:val="20"/>
        </w:rPr>
        <w:sectPr>
          <w:type w:val="continuous"/>
          <w:pgSz w:w="11880" w:h="15480"/>
          <w:pgMar w:top="1260" w:bottom="280" w:left="1280" w:right="1260"/>
        </w:sectPr>
      </w:pPr>
    </w:p>
    <w:p>
      <w:pPr>
        <w:spacing w:before="73"/>
        <w:ind w:left="4849" w:right="0" w:firstLine="0"/>
        <w:jc w:val="left"/>
        <w:rPr>
          <w:b/>
          <w:sz w:val="20"/>
        </w:rPr>
      </w:pPr>
      <w:r>
        <w:rPr/>
        <w:pict>
          <v:line style="position:absolute;mso-position-horizontal-relative:page;mso-position-vertical-relative:paragraph;z-index:6280" from="297.25pt,16.485937pt" to="525pt,16.485937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60" w:right="1260"/>
        </w:sectPr>
      </w:pPr>
    </w:p>
    <w:p>
      <w:pPr>
        <w:pStyle w:val="BodyText"/>
        <w:rPr>
          <w:b/>
        </w:rPr>
      </w:pPr>
    </w:p>
    <w:p>
      <w:pPr>
        <w:pStyle w:val="BodyText"/>
        <w:rPr>
          <w:b/>
        </w:rPr>
      </w:pPr>
    </w:p>
    <w:p>
      <w:pPr>
        <w:pStyle w:val="BodyText"/>
        <w:spacing w:before="4"/>
        <w:rPr>
          <w:b/>
          <w:sz w:val="26"/>
        </w:rPr>
      </w:pPr>
    </w:p>
    <w:p>
      <w:pPr>
        <w:tabs>
          <w:tab w:pos="2727" w:val="left" w:leader="none"/>
        </w:tabs>
        <w:spacing w:before="1"/>
        <w:ind w:left="200" w:right="0" w:firstLine="0"/>
        <w:jc w:val="left"/>
        <w:rPr>
          <w:b/>
          <w:sz w:val="20"/>
        </w:rPr>
      </w:pPr>
      <w:r>
        <w:rPr>
          <w:b/>
          <w:color w:val="231F20"/>
          <w:sz w:val="20"/>
        </w:rPr>
        <w:t>Description</w:t>
        <w:tab/>
        <w:t>December 31, 2013</w:t>
      </w:r>
    </w:p>
    <w:p>
      <w:pPr>
        <w:spacing w:line="249" w:lineRule="auto" w:before="89"/>
        <w:ind w:left="203" w:right="0" w:firstLine="0"/>
        <w:jc w:val="center"/>
        <w:rPr>
          <w:b/>
          <w:sz w:val="20"/>
        </w:rPr>
      </w:pPr>
      <w:r>
        <w:rPr/>
        <w:br w:type="column"/>
      </w:r>
      <w:r>
        <w:rPr>
          <w:b/>
          <w:color w:val="231F20"/>
          <w:sz w:val="20"/>
        </w:rPr>
        <w:t>Quoted prices in active markets</w:t>
      </w:r>
    </w:p>
    <w:p>
      <w:pPr>
        <w:spacing w:line="249" w:lineRule="auto" w:before="0"/>
        <w:ind w:left="199" w:right="0" w:firstLine="0"/>
        <w:jc w:val="center"/>
        <w:rPr>
          <w:b/>
          <w:sz w:val="20"/>
        </w:rPr>
      </w:pPr>
      <w:r>
        <w:rPr>
          <w:b/>
          <w:color w:val="231F20"/>
          <w:sz w:val="20"/>
        </w:rPr>
        <w:t>for identical assets</w:t>
      </w:r>
      <w:r>
        <w:rPr>
          <w:b/>
          <w:color w:val="231F20"/>
          <w:w w:val="99"/>
          <w:sz w:val="20"/>
        </w:rPr>
        <w:t> </w:t>
      </w:r>
      <w:r>
        <w:rPr>
          <w:b/>
          <w:color w:val="231F20"/>
          <w:sz w:val="20"/>
        </w:rPr>
        <w:t>(Level 1)</w:t>
      </w:r>
    </w:p>
    <w:p>
      <w:pPr>
        <w:spacing w:line="249" w:lineRule="auto" w:before="89"/>
        <w:ind w:left="161" w:right="-19" w:firstLine="252"/>
        <w:jc w:val="left"/>
        <w:rPr>
          <w:b/>
          <w:sz w:val="20"/>
        </w:rPr>
      </w:pPr>
      <w:r>
        <w:rPr/>
        <w:br w:type="column"/>
      </w:r>
      <w:r>
        <w:rPr>
          <w:b/>
          <w:color w:val="231F20"/>
          <w:sz w:val="20"/>
        </w:rPr>
        <w:t>Significant other observable</w:t>
      </w:r>
    </w:p>
    <w:p>
      <w:pPr>
        <w:spacing w:line="249" w:lineRule="auto" w:before="0"/>
        <w:ind w:left="500" w:right="320" w:firstLine="108"/>
        <w:jc w:val="left"/>
        <w:rPr>
          <w:b/>
          <w:sz w:val="20"/>
        </w:rPr>
      </w:pPr>
      <w:r>
        <w:rPr>
          <w:b/>
          <w:color w:val="231F20"/>
          <w:sz w:val="20"/>
        </w:rPr>
        <w:t>inputs (Level 2)</w:t>
      </w:r>
    </w:p>
    <w:p>
      <w:pPr>
        <w:spacing w:line="249" w:lineRule="auto" w:before="89"/>
        <w:ind w:left="160" w:right="118" w:hanging="3"/>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before="0"/>
        <w:ind w:left="337" w:right="297" w:firstLine="0"/>
        <w:jc w:val="center"/>
        <w:rPr>
          <w:b/>
          <w:sz w:val="20"/>
        </w:rPr>
      </w:pPr>
      <w:r>
        <w:rPr>
          <w:b/>
          <w:color w:val="231F20"/>
          <w:sz w:val="20"/>
        </w:rPr>
        <w:t>(Level 3)</w:t>
      </w:r>
    </w:p>
    <w:p>
      <w:pPr>
        <w:spacing w:after="0"/>
        <w:jc w:val="center"/>
        <w:rPr>
          <w:sz w:val="20"/>
        </w:rPr>
        <w:sectPr>
          <w:type w:val="continuous"/>
          <w:pgSz w:w="11880" w:h="15480"/>
          <w:pgMar w:top="1260" w:bottom="280" w:left="1260" w:right="1260"/>
          <w:cols w:num="4" w:equalWidth="0">
            <w:col w:w="4346" w:space="139"/>
            <w:col w:w="1780" w:space="40"/>
            <w:col w:w="1590" w:space="40"/>
            <w:col w:w="1425"/>
          </w:cols>
        </w:sectPr>
      </w:pPr>
    </w:p>
    <w:p>
      <w:pPr>
        <w:tabs>
          <w:tab w:pos="4675" w:val="left" w:leader="none"/>
        </w:tabs>
        <w:spacing w:line="20" w:lineRule="exact"/>
        <w:ind w:left="110" w:right="0" w:firstLine="0"/>
        <w:rPr>
          <w:sz w:val="2"/>
        </w:rPr>
      </w:pPr>
      <w:r>
        <w:rPr>
          <w:sz w:val="2"/>
        </w:rPr>
        <w:pict>
          <v:group style="width:116.4pt;height:1pt;mso-position-horizontal-relative:char;mso-position-vertical-relative:line" coordorigin="0,0" coordsize="2328,20">
            <v:line style="position:absolute" from="10,10" to="2318,10" stroked="true" strokeweight="1pt" strokecolor="#231f20">
              <v:stroke dashstyle="solid"/>
            </v:line>
          </v:group>
        </w:pict>
      </w:r>
      <w:r>
        <w:rPr>
          <w:sz w:val="2"/>
        </w:rPr>
      </w:r>
      <w:r>
        <w:rPr>
          <w:spacing w:val="163"/>
          <w:sz w:val="2"/>
        </w:rPr>
        <w:t> </w:t>
      </w:r>
      <w:r>
        <w:rPr>
          <w:spacing w:val="163"/>
          <w:sz w:val="2"/>
        </w:rPr>
        <w:pict>
          <v:group style="width:91.85pt;height:1pt;mso-position-horizontal-relative:char;mso-position-vertical-relative:line" coordorigin="0,0" coordsize="1837,20">
            <v:line style="position:absolute" from="10,10" to="1827,10" stroked="true" strokeweight="1pt" strokecolor="#231f20">
              <v:stroke dashstyle="solid"/>
            </v:line>
          </v:group>
        </w:pict>
      </w:r>
      <w:r>
        <w:rPr>
          <w:spacing w:val="163"/>
          <w:sz w:val="2"/>
        </w:rPr>
      </w:r>
      <w:r>
        <w:rPr>
          <w:spacing w:val="163"/>
          <w:sz w:val="2"/>
        </w:rPr>
        <w:tab/>
      </w:r>
      <w:r>
        <w:rPr>
          <w:spacing w:val="163"/>
          <w:sz w:val="2"/>
        </w:rPr>
        <w:pict>
          <v:group style="width:80.05pt;height:1pt;mso-position-horizontal-relative:char;mso-position-vertical-relative:line" coordorigin="0,0" coordsize="1601,20">
            <v:line style="position:absolute" from="10,10" to="1591,10" stroked="true" strokeweight="1pt" strokecolor="#231f20">
              <v:stroke dashstyle="solid"/>
            </v:line>
          </v:group>
        </w:pict>
      </w:r>
      <w:r>
        <w:rPr>
          <w:spacing w:val="163"/>
          <w:sz w:val="2"/>
        </w:rPr>
      </w:r>
      <w:r>
        <w:rPr>
          <w:spacing w:val="171"/>
          <w:sz w:val="2"/>
        </w:rPr>
        <w:t> </w:t>
      </w:r>
      <w:r>
        <w:rPr>
          <w:spacing w:val="171"/>
          <w:sz w:val="2"/>
        </w:rPr>
        <w:pict>
          <v:group style="width:72.45pt;height:1pt;mso-position-horizontal-relative:char;mso-position-vertical-relative:line" coordorigin="0,0" coordsize="1449,20">
            <v:line style="position:absolute" from="10,10" to="1439,10" stroked="true" strokeweight="1pt" strokecolor="#231f20">
              <v:stroke dashstyle="solid"/>
            </v:line>
          </v:group>
        </w:pict>
      </w:r>
      <w:r>
        <w:rPr>
          <w:spacing w:val="171"/>
          <w:sz w:val="2"/>
        </w:rPr>
      </w:r>
      <w:r>
        <w:rPr>
          <w:spacing w:val="169"/>
          <w:sz w:val="2"/>
        </w:rPr>
        <w:t> </w:t>
      </w:r>
      <w:r>
        <w:rPr>
          <w:spacing w:val="169"/>
          <w:sz w:val="2"/>
        </w:rPr>
        <w:pict>
          <v:group style="width:58.25pt;height:1pt;mso-position-horizontal-relative:char;mso-position-vertical-relative:line" coordorigin="0,0" coordsize="1165,20">
            <v:line style="position:absolute" from="10,10" to="1155,10" stroked="true" strokeweight="1pt" strokecolor="#231f20">
              <v:stroke dashstyle="solid"/>
            </v:line>
          </v:group>
        </w:pict>
      </w:r>
      <w:r>
        <w:rPr>
          <w:spacing w:val="169"/>
          <w:sz w:val="2"/>
        </w:rPr>
      </w:r>
    </w:p>
    <w:p>
      <w:pPr>
        <w:tabs>
          <w:tab w:pos="6076" w:val="left" w:leader="none"/>
        </w:tabs>
        <w:spacing w:before="48"/>
        <w:ind w:left="200" w:right="0" w:firstLine="0"/>
        <w:jc w:val="left"/>
        <w:rPr>
          <w:sz w:val="20"/>
        </w:rPr>
      </w:pPr>
      <w:r>
        <w:rPr>
          <w:b/>
          <w:color w:val="231F20"/>
          <w:sz w:val="20"/>
        </w:rPr>
        <w:t>Assets</w:t>
        <w:tab/>
      </w:r>
      <w:r>
        <w:rPr>
          <w:color w:val="231F20"/>
          <w:sz w:val="20"/>
        </w:rPr>
        <w:t>(in millions)</w:t>
      </w:r>
    </w:p>
    <w:p>
      <w:pPr>
        <w:pStyle w:val="BodyText"/>
        <w:spacing w:before="6"/>
        <w:rPr>
          <w:sz w:val="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08"/>
        <w:gridCol w:w="1817"/>
        <w:gridCol w:w="240"/>
        <w:gridCol w:w="1631"/>
        <w:gridCol w:w="1579"/>
        <w:gridCol w:w="200"/>
        <w:gridCol w:w="1145"/>
      </w:tblGrid>
      <w:tr>
        <w:trPr>
          <w:trHeight w:val="240" w:hRule="exact"/>
        </w:trPr>
        <w:tc>
          <w:tcPr>
            <w:tcW w:w="2508" w:type="dxa"/>
          </w:tcPr>
          <w:p>
            <w:pPr>
              <w:pStyle w:val="TableParagraph"/>
              <w:spacing w:line="223" w:lineRule="exact" w:before="0"/>
              <w:ind w:left="80"/>
              <w:rPr>
                <w:sz w:val="20"/>
              </w:rPr>
            </w:pPr>
            <w:r>
              <w:rPr>
                <w:color w:val="231F20"/>
                <w:sz w:val="20"/>
              </w:rPr>
              <w:t>Cash equivalents</w:t>
            </w:r>
          </w:p>
        </w:tc>
        <w:tc>
          <w:tcPr>
            <w:tcW w:w="6612" w:type="dxa"/>
            <w:gridSpan w:val="6"/>
          </w:tcPr>
          <w:p>
            <w:pPr/>
          </w:p>
        </w:tc>
      </w:tr>
      <w:tr>
        <w:trPr>
          <w:trHeight w:val="288" w:hRule="exact"/>
        </w:trPr>
        <w:tc>
          <w:tcPr>
            <w:tcW w:w="2508" w:type="dxa"/>
            <w:shd w:val="clear" w:color="auto" w:fill="CCECFC"/>
          </w:tcPr>
          <w:p>
            <w:pPr>
              <w:pStyle w:val="TableParagraph"/>
              <w:spacing w:before="41"/>
              <w:ind w:left="280"/>
              <w:rPr>
                <w:sz w:val="20"/>
              </w:rPr>
            </w:pPr>
            <w:r>
              <w:rPr>
                <w:color w:val="231F20"/>
                <w:sz w:val="20"/>
              </w:rPr>
              <w:t>Cash equivalents (a)</w:t>
            </w:r>
          </w:p>
        </w:tc>
        <w:tc>
          <w:tcPr>
            <w:tcW w:w="1817" w:type="dxa"/>
            <w:shd w:val="clear" w:color="auto" w:fill="CCECFC"/>
          </w:tcPr>
          <w:p>
            <w:pPr>
              <w:pStyle w:val="TableParagraph"/>
              <w:tabs>
                <w:tab w:pos="1416" w:val="left" w:leader="none"/>
              </w:tabs>
              <w:spacing w:before="41"/>
              <w:ind w:right="97"/>
              <w:jc w:val="right"/>
              <w:rPr>
                <w:sz w:val="20"/>
              </w:rPr>
            </w:pPr>
            <w:r>
              <w:rPr>
                <w:color w:val="231F20"/>
                <w:sz w:val="20"/>
              </w:rPr>
              <w:t>$</w:t>
              <w:tab/>
              <w:t>992</w:t>
            </w:r>
          </w:p>
        </w:tc>
        <w:tc>
          <w:tcPr>
            <w:tcW w:w="1871" w:type="dxa"/>
            <w:gridSpan w:val="2"/>
            <w:shd w:val="clear" w:color="auto" w:fill="CCECFC"/>
          </w:tcPr>
          <w:p>
            <w:pPr>
              <w:pStyle w:val="TableParagraph"/>
              <w:tabs>
                <w:tab w:pos="1420" w:val="left" w:leader="none"/>
              </w:tabs>
              <w:spacing w:before="41"/>
              <w:ind w:left="240"/>
              <w:rPr>
                <w:sz w:val="20"/>
              </w:rPr>
            </w:pPr>
            <w:r>
              <w:rPr>
                <w:color w:val="231F20"/>
                <w:sz w:val="20"/>
              </w:rPr>
              <w:t>$</w:t>
              <w:tab/>
              <w:t>992</w:t>
            </w:r>
          </w:p>
        </w:tc>
        <w:tc>
          <w:tcPr>
            <w:tcW w:w="1579" w:type="dxa"/>
            <w:shd w:val="clear" w:color="auto" w:fill="CCECFC"/>
          </w:tcPr>
          <w:p>
            <w:pPr>
              <w:pStyle w:val="TableParagraph"/>
              <w:tabs>
                <w:tab w:pos="1128" w:val="left" w:leader="none"/>
              </w:tabs>
              <w:spacing w:before="41"/>
              <w:ind w:right="97"/>
              <w:jc w:val="right"/>
              <w:rPr>
                <w:sz w:val="20"/>
              </w:rPr>
            </w:pPr>
            <w:r>
              <w:rPr>
                <w:color w:val="231F20"/>
                <w:sz w:val="20"/>
              </w:rPr>
              <w:t>$</w:t>
              <w:tab/>
              <w:t>—</w:t>
            </w:r>
          </w:p>
        </w:tc>
        <w:tc>
          <w:tcPr>
            <w:tcW w:w="1345" w:type="dxa"/>
            <w:gridSpan w:val="2"/>
            <w:shd w:val="clear" w:color="auto" w:fill="CCECFC"/>
          </w:tcPr>
          <w:p>
            <w:pPr>
              <w:pStyle w:val="TableParagraph"/>
              <w:tabs>
                <w:tab w:pos="1044" w:val="left" w:leader="none"/>
              </w:tabs>
              <w:spacing w:before="41"/>
              <w:ind w:left="200"/>
              <w:rPr>
                <w:sz w:val="20"/>
              </w:rPr>
            </w:pPr>
            <w:r>
              <w:rPr>
                <w:color w:val="231F20"/>
                <w:sz w:val="20"/>
              </w:rPr>
              <w:t>$</w:t>
              <w:tab/>
              <w:t>—</w:t>
            </w:r>
          </w:p>
        </w:tc>
      </w:tr>
      <w:tr>
        <w:trPr>
          <w:trHeight w:val="288" w:hRule="exact"/>
        </w:trPr>
        <w:tc>
          <w:tcPr>
            <w:tcW w:w="2508" w:type="dxa"/>
          </w:tcPr>
          <w:p>
            <w:pPr>
              <w:pStyle w:val="TableParagraph"/>
              <w:spacing w:before="41"/>
              <w:ind w:left="280"/>
              <w:rPr>
                <w:sz w:val="20"/>
              </w:rPr>
            </w:pPr>
            <w:r>
              <w:rPr>
                <w:color w:val="231F20"/>
                <w:sz w:val="20"/>
              </w:rPr>
              <w:t>Commercial paper</w:t>
            </w:r>
          </w:p>
        </w:tc>
        <w:tc>
          <w:tcPr>
            <w:tcW w:w="1817" w:type="dxa"/>
          </w:tcPr>
          <w:p>
            <w:pPr>
              <w:pStyle w:val="TableParagraph"/>
              <w:spacing w:before="41"/>
              <w:ind w:right="97"/>
              <w:jc w:val="right"/>
              <w:rPr>
                <w:sz w:val="20"/>
              </w:rPr>
            </w:pPr>
            <w:r>
              <w:rPr>
                <w:color w:val="231F20"/>
                <w:sz w:val="20"/>
              </w:rPr>
              <w:t>280</w:t>
            </w:r>
          </w:p>
        </w:tc>
        <w:tc>
          <w:tcPr>
            <w:tcW w:w="1871" w:type="dxa"/>
            <w:gridSpan w:val="2"/>
          </w:tcPr>
          <w:p>
            <w:pPr>
              <w:pStyle w:val="TableParagraph"/>
              <w:spacing w:before="41"/>
              <w:ind w:right="148"/>
              <w:jc w:val="right"/>
              <w:rPr>
                <w:sz w:val="20"/>
              </w:rPr>
            </w:pPr>
            <w:r>
              <w:rPr>
                <w:color w:val="231F20"/>
                <w:sz w:val="20"/>
              </w:rPr>
              <w:t>—</w:t>
            </w:r>
          </w:p>
        </w:tc>
        <w:tc>
          <w:tcPr>
            <w:tcW w:w="1579" w:type="dxa"/>
          </w:tcPr>
          <w:p>
            <w:pPr>
              <w:pStyle w:val="TableParagraph"/>
              <w:spacing w:before="41"/>
              <w:ind w:right="97"/>
              <w:jc w:val="right"/>
              <w:rPr>
                <w:sz w:val="20"/>
              </w:rPr>
            </w:pPr>
            <w:r>
              <w:rPr>
                <w:color w:val="231F20"/>
                <w:sz w:val="20"/>
              </w:rPr>
              <w:t>280</w:t>
            </w:r>
          </w:p>
        </w:tc>
        <w:tc>
          <w:tcPr>
            <w:tcW w:w="1345" w:type="dxa"/>
            <w:gridSpan w:val="2"/>
          </w:tcPr>
          <w:p>
            <w:pPr>
              <w:pStyle w:val="TableParagraph"/>
              <w:spacing w:before="41"/>
              <w:ind w:right="97"/>
              <w:jc w:val="right"/>
              <w:rPr>
                <w:sz w:val="20"/>
              </w:rPr>
            </w:pPr>
            <w:r>
              <w:rPr>
                <w:color w:val="231F20"/>
                <w:sz w:val="20"/>
              </w:rPr>
              <w:t>—</w:t>
            </w:r>
          </w:p>
        </w:tc>
      </w:tr>
      <w:tr>
        <w:trPr>
          <w:trHeight w:val="288" w:hRule="exact"/>
        </w:trPr>
        <w:tc>
          <w:tcPr>
            <w:tcW w:w="2508" w:type="dxa"/>
            <w:shd w:val="clear" w:color="auto" w:fill="CCECFC"/>
          </w:tcPr>
          <w:p>
            <w:pPr>
              <w:pStyle w:val="TableParagraph"/>
              <w:spacing w:before="41"/>
              <w:ind w:left="280"/>
              <w:rPr>
                <w:sz w:val="20"/>
              </w:rPr>
            </w:pPr>
            <w:r>
              <w:rPr>
                <w:color w:val="231F20"/>
                <w:sz w:val="20"/>
              </w:rPr>
              <w:t>Certificates of deposit</w:t>
            </w:r>
          </w:p>
        </w:tc>
        <w:tc>
          <w:tcPr>
            <w:tcW w:w="1817" w:type="dxa"/>
            <w:shd w:val="clear" w:color="auto" w:fill="CCECFC"/>
          </w:tcPr>
          <w:p>
            <w:pPr>
              <w:pStyle w:val="TableParagraph"/>
              <w:spacing w:before="41"/>
              <w:ind w:right="97"/>
              <w:jc w:val="right"/>
              <w:rPr>
                <w:sz w:val="20"/>
              </w:rPr>
            </w:pPr>
            <w:r>
              <w:rPr>
                <w:color w:val="231F20"/>
                <w:sz w:val="20"/>
              </w:rPr>
              <w:t>23</w:t>
            </w:r>
          </w:p>
        </w:tc>
        <w:tc>
          <w:tcPr>
            <w:tcW w:w="1871" w:type="dxa"/>
            <w:gridSpan w:val="2"/>
            <w:shd w:val="clear" w:color="auto" w:fill="CCECFC"/>
          </w:tcPr>
          <w:p>
            <w:pPr>
              <w:pStyle w:val="TableParagraph"/>
              <w:spacing w:before="41"/>
              <w:ind w:right="148"/>
              <w:jc w:val="right"/>
              <w:rPr>
                <w:sz w:val="20"/>
              </w:rPr>
            </w:pPr>
            <w:r>
              <w:rPr>
                <w:color w:val="231F20"/>
                <w:sz w:val="20"/>
              </w:rPr>
              <w:t>—</w:t>
            </w:r>
          </w:p>
        </w:tc>
        <w:tc>
          <w:tcPr>
            <w:tcW w:w="1579" w:type="dxa"/>
            <w:shd w:val="clear" w:color="auto" w:fill="CCECFC"/>
          </w:tcPr>
          <w:p>
            <w:pPr>
              <w:pStyle w:val="TableParagraph"/>
              <w:spacing w:before="41"/>
              <w:ind w:right="97"/>
              <w:jc w:val="right"/>
              <w:rPr>
                <w:sz w:val="20"/>
              </w:rPr>
            </w:pPr>
            <w:r>
              <w:rPr>
                <w:color w:val="231F20"/>
                <w:sz w:val="20"/>
              </w:rPr>
              <w:t>23</w:t>
            </w:r>
          </w:p>
        </w:tc>
        <w:tc>
          <w:tcPr>
            <w:tcW w:w="1345" w:type="dxa"/>
            <w:gridSpan w:val="2"/>
            <w:shd w:val="clear" w:color="auto" w:fill="CCECFC"/>
          </w:tcPr>
          <w:p>
            <w:pPr>
              <w:pStyle w:val="TableParagraph"/>
              <w:spacing w:before="41"/>
              <w:ind w:right="97"/>
              <w:jc w:val="right"/>
              <w:rPr>
                <w:sz w:val="20"/>
              </w:rPr>
            </w:pPr>
            <w:r>
              <w:rPr>
                <w:color w:val="231F20"/>
                <w:sz w:val="20"/>
              </w:rPr>
              <w:t>—</w:t>
            </w:r>
          </w:p>
        </w:tc>
      </w:tr>
      <w:tr>
        <w:trPr>
          <w:trHeight w:val="500" w:hRule="exact"/>
        </w:trPr>
        <w:tc>
          <w:tcPr>
            <w:tcW w:w="2508" w:type="dxa"/>
          </w:tcPr>
          <w:p>
            <w:pPr>
              <w:pStyle w:val="TableParagraph"/>
              <w:spacing w:before="41"/>
              <w:ind w:left="480" w:right="880" w:hanging="200"/>
              <w:rPr>
                <w:sz w:val="20"/>
              </w:rPr>
            </w:pPr>
            <w:r>
              <w:rPr>
                <w:color w:val="231F20"/>
                <w:sz w:val="20"/>
              </w:rPr>
              <w:t>Eurodollar Time Deposits</w:t>
            </w:r>
          </w:p>
        </w:tc>
        <w:tc>
          <w:tcPr>
            <w:tcW w:w="1817" w:type="dxa"/>
          </w:tcPr>
          <w:p>
            <w:pPr>
              <w:pStyle w:val="TableParagraph"/>
              <w:spacing w:before="4"/>
              <w:rPr>
                <w:sz w:val="23"/>
              </w:rPr>
            </w:pPr>
          </w:p>
          <w:p>
            <w:pPr>
              <w:pStyle w:val="TableParagraph"/>
              <w:spacing w:before="1"/>
              <w:ind w:right="99"/>
              <w:jc w:val="right"/>
              <w:rPr>
                <w:sz w:val="20"/>
              </w:rPr>
            </w:pPr>
            <w:r>
              <w:rPr>
                <w:color w:val="231F20"/>
                <w:sz w:val="20"/>
              </w:rPr>
              <w:t>60</w:t>
            </w:r>
          </w:p>
        </w:tc>
        <w:tc>
          <w:tcPr>
            <w:tcW w:w="1871" w:type="dxa"/>
            <w:gridSpan w:val="2"/>
          </w:tcPr>
          <w:p>
            <w:pPr>
              <w:pStyle w:val="TableParagraph"/>
              <w:spacing w:before="4"/>
              <w:rPr>
                <w:sz w:val="23"/>
              </w:rPr>
            </w:pPr>
          </w:p>
          <w:p>
            <w:pPr>
              <w:pStyle w:val="TableParagraph"/>
              <w:spacing w:before="1"/>
              <w:ind w:right="148"/>
              <w:jc w:val="right"/>
              <w:rPr>
                <w:sz w:val="20"/>
              </w:rPr>
            </w:pPr>
            <w:r>
              <w:rPr>
                <w:color w:val="231F20"/>
                <w:sz w:val="20"/>
              </w:rPr>
              <w:t>—</w:t>
            </w:r>
          </w:p>
        </w:tc>
        <w:tc>
          <w:tcPr>
            <w:tcW w:w="1579" w:type="dxa"/>
          </w:tcPr>
          <w:p>
            <w:pPr>
              <w:pStyle w:val="TableParagraph"/>
              <w:spacing w:before="4"/>
              <w:rPr>
                <w:sz w:val="23"/>
              </w:rPr>
            </w:pPr>
          </w:p>
          <w:p>
            <w:pPr>
              <w:pStyle w:val="TableParagraph"/>
              <w:spacing w:before="1"/>
              <w:ind w:right="99"/>
              <w:jc w:val="right"/>
              <w:rPr>
                <w:sz w:val="20"/>
              </w:rPr>
            </w:pPr>
            <w:r>
              <w:rPr>
                <w:color w:val="231F20"/>
                <w:sz w:val="20"/>
              </w:rPr>
              <w:t>60</w:t>
            </w:r>
          </w:p>
        </w:tc>
        <w:tc>
          <w:tcPr>
            <w:tcW w:w="1345" w:type="dxa"/>
            <w:gridSpan w:val="2"/>
          </w:tcPr>
          <w:p>
            <w:pPr>
              <w:pStyle w:val="TableParagraph"/>
              <w:spacing w:before="4"/>
              <w:rPr>
                <w:sz w:val="23"/>
              </w:rPr>
            </w:pPr>
          </w:p>
          <w:p>
            <w:pPr>
              <w:pStyle w:val="TableParagraph"/>
              <w:spacing w:before="1"/>
              <w:ind w:right="99"/>
              <w:jc w:val="right"/>
              <w:rPr>
                <w:sz w:val="20"/>
              </w:rPr>
            </w:pPr>
            <w:r>
              <w:rPr>
                <w:color w:val="231F20"/>
                <w:sz w:val="20"/>
              </w:rPr>
              <w:t>—</w:t>
            </w:r>
          </w:p>
        </w:tc>
      </w:tr>
      <w:tr>
        <w:trPr>
          <w:trHeight w:val="304" w:hRule="exact"/>
        </w:trPr>
        <w:tc>
          <w:tcPr>
            <w:tcW w:w="9120" w:type="dxa"/>
            <w:gridSpan w:val="7"/>
            <w:shd w:val="clear" w:color="auto" w:fill="CCECFC"/>
          </w:tcPr>
          <w:p>
            <w:pPr>
              <w:pStyle w:val="TableParagraph"/>
              <w:spacing w:before="41"/>
              <w:ind w:left="80"/>
              <w:rPr>
                <w:sz w:val="20"/>
              </w:rPr>
            </w:pPr>
            <w:r>
              <w:rPr>
                <w:color w:val="231F20"/>
                <w:sz w:val="20"/>
              </w:rPr>
              <w:t>Short-term investments:</w:t>
            </w:r>
          </w:p>
        </w:tc>
      </w:tr>
      <w:tr>
        <w:trPr>
          <w:trHeight w:val="288" w:hRule="exact"/>
        </w:trPr>
        <w:tc>
          <w:tcPr>
            <w:tcW w:w="2508" w:type="dxa"/>
          </w:tcPr>
          <w:p>
            <w:pPr>
              <w:pStyle w:val="TableParagraph"/>
              <w:spacing w:before="41"/>
              <w:ind w:left="280"/>
              <w:rPr>
                <w:sz w:val="20"/>
              </w:rPr>
            </w:pPr>
            <w:r>
              <w:rPr>
                <w:color w:val="231F20"/>
                <w:sz w:val="20"/>
              </w:rPr>
              <w:t>Treasury bills</w:t>
            </w:r>
          </w:p>
        </w:tc>
        <w:tc>
          <w:tcPr>
            <w:tcW w:w="1817" w:type="dxa"/>
          </w:tcPr>
          <w:p>
            <w:pPr>
              <w:pStyle w:val="TableParagraph"/>
              <w:spacing w:before="41"/>
              <w:ind w:right="99"/>
              <w:jc w:val="right"/>
              <w:rPr>
                <w:sz w:val="20"/>
              </w:rPr>
            </w:pPr>
            <w:r>
              <w:rPr>
                <w:color w:val="231F20"/>
                <w:sz w:val="20"/>
              </w:rPr>
              <w:t>1,570</w:t>
            </w:r>
          </w:p>
        </w:tc>
        <w:tc>
          <w:tcPr>
            <w:tcW w:w="1871" w:type="dxa"/>
            <w:gridSpan w:val="2"/>
          </w:tcPr>
          <w:p>
            <w:pPr>
              <w:pStyle w:val="TableParagraph"/>
              <w:spacing w:before="41"/>
              <w:ind w:right="148"/>
              <w:jc w:val="right"/>
              <w:rPr>
                <w:sz w:val="20"/>
              </w:rPr>
            </w:pPr>
            <w:r>
              <w:rPr>
                <w:color w:val="231F20"/>
                <w:sz w:val="20"/>
              </w:rPr>
              <w:t>1,570</w:t>
            </w:r>
          </w:p>
        </w:tc>
        <w:tc>
          <w:tcPr>
            <w:tcW w:w="1579" w:type="dxa"/>
          </w:tcPr>
          <w:p>
            <w:pPr>
              <w:pStyle w:val="TableParagraph"/>
              <w:spacing w:before="41"/>
              <w:ind w:right="99"/>
              <w:jc w:val="right"/>
              <w:rPr>
                <w:sz w:val="20"/>
              </w:rPr>
            </w:pPr>
            <w:r>
              <w:rPr>
                <w:color w:val="231F20"/>
                <w:sz w:val="20"/>
              </w:rPr>
              <w:t>—</w:t>
            </w:r>
          </w:p>
        </w:tc>
        <w:tc>
          <w:tcPr>
            <w:tcW w:w="1345" w:type="dxa"/>
            <w:gridSpan w:val="2"/>
          </w:tcPr>
          <w:p>
            <w:pPr>
              <w:pStyle w:val="TableParagraph"/>
              <w:spacing w:before="41"/>
              <w:ind w:right="99"/>
              <w:jc w:val="right"/>
              <w:rPr>
                <w:sz w:val="20"/>
              </w:rPr>
            </w:pPr>
            <w:r>
              <w:rPr>
                <w:color w:val="231F20"/>
                <w:sz w:val="20"/>
              </w:rPr>
              <w:t>—</w:t>
            </w:r>
          </w:p>
        </w:tc>
      </w:tr>
      <w:tr>
        <w:trPr>
          <w:trHeight w:val="288" w:hRule="exact"/>
        </w:trPr>
        <w:tc>
          <w:tcPr>
            <w:tcW w:w="2508" w:type="dxa"/>
            <w:shd w:val="clear" w:color="auto" w:fill="CCECFC"/>
          </w:tcPr>
          <w:p>
            <w:pPr>
              <w:pStyle w:val="TableParagraph"/>
              <w:spacing w:before="41"/>
              <w:ind w:left="280"/>
              <w:rPr>
                <w:sz w:val="20"/>
              </w:rPr>
            </w:pPr>
            <w:r>
              <w:rPr>
                <w:color w:val="231F20"/>
                <w:sz w:val="20"/>
              </w:rPr>
              <w:t>Certificates of deposit</w:t>
            </w:r>
          </w:p>
        </w:tc>
        <w:tc>
          <w:tcPr>
            <w:tcW w:w="1817" w:type="dxa"/>
            <w:shd w:val="clear" w:color="auto" w:fill="CCECFC"/>
          </w:tcPr>
          <w:p>
            <w:pPr>
              <w:pStyle w:val="TableParagraph"/>
              <w:spacing w:before="41"/>
              <w:ind w:right="97"/>
              <w:jc w:val="right"/>
              <w:rPr>
                <w:sz w:val="20"/>
              </w:rPr>
            </w:pPr>
            <w:r>
              <w:rPr>
                <w:color w:val="231F20"/>
                <w:sz w:val="20"/>
              </w:rPr>
              <w:t>227</w:t>
            </w:r>
          </w:p>
        </w:tc>
        <w:tc>
          <w:tcPr>
            <w:tcW w:w="1871" w:type="dxa"/>
            <w:gridSpan w:val="2"/>
            <w:shd w:val="clear" w:color="auto" w:fill="CCECFC"/>
          </w:tcPr>
          <w:p>
            <w:pPr>
              <w:pStyle w:val="TableParagraph"/>
              <w:spacing w:before="41"/>
              <w:ind w:right="148"/>
              <w:jc w:val="right"/>
              <w:rPr>
                <w:sz w:val="20"/>
              </w:rPr>
            </w:pPr>
            <w:r>
              <w:rPr>
                <w:color w:val="231F20"/>
                <w:sz w:val="20"/>
              </w:rPr>
              <w:t>—</w:t>
            </w:r>
          </w:p>
        </w:tc>
        <w:tc>
          <w:tcPr>
            <w:tcW w:w="1579" w:type="dxa"/>
            <w:shd w:val="clear" w:color="auto" w:fill="CCECFC"/>
          </w:tcPr>
          <w:p>
            <w:pPr>
              <w:pStyle w:val="TableParagraph"/>
              <w:spacing w:before="41"/>
              <w:ind w:right="97"/>
              <w:jc w:val="right"/>
              <w:rPr>
                <w:sz w:val="20"/>
              </w:rPr>
            </w:pPr>
            <w:r>
              <w:rPr>
                <w:color w:val="231F20"/>
                <w:sz w:val="20"/>
              </w:rPr>
              <w:t>227</w:t>
            </w:r>
          </w:p>
        </w:tc>
        <w:tc>
          <w:tcPr>
            <w:tcW w:w="1345" w:type="dxa"/>
            <w:gridSpan w:val="2"/>
            <w:shd w:val="clear" w:color="auto" w:fill="CCECFC"/>
          </w:tcPr>
          <w:p>
            <w:pPr>
              <w:pStyle w:val="TableParagraph"/>
              <w:spacing w:before="41"/>
              <w:ind w:right="97"/>
              <w:jc w:val="right"/>
              <w:rPr>
                <w:sz w:val="20"/>
              </w:rPr>
            </w:pPr>
            <w:r>
              <w:rPr>
                <w:color w:val="231F20"/>
                <w:sz w:val="20"/>
              </w:rPr>
              <w:t>—</w:t>
            </w:r>
          </w:p>
        </w:tc>
      </w:tr>
      <w:tr>
        <w:trPr>
          <w:trHeight w:val="288" w:hRule="exact"/>
        </w:trPr>
        <w:tc>
          <w:tcPr>
            <w:tcW w:w="2508" w:type="dxa"/>
          </w:tcPr>
          <w:p>
            <w:pPr>
              <w:pStyle w:val="TableParagraph"/>
              <w:spacing w:before="41"/>
              <w:ind w:left="80"/>
              <w:rPr>
                <w:sz w:val="20"/>
              </w:rPr>
            </w:pPr>
            <w:r>
              <w:rPr>
                <w:color w:val="231F20"/>
                <w:sz w:val="20"/>
              </w:rPr>
              <w:t>Noncurrent investments (b)</w:t>
            </w:r>
          </w:p>
        </w:tc>
        <w:tc>
          <w:tcPr>
            <w:tcW w:w="1817" w:type="dxa"/>
          </w:tcPr>
          <w:p>
            <w:pPr/>
          </w:p>
        </w:tc>
        <w:tc>
          <w:tcPr>
            <w:tcW w:w="1871" w:type="dxa"/>
            <w:gridSpan w:val="2"/>
          </w:tcPr>
          <w:p>
            <w:pPr/>
          </w:p>
        </w:tc>
        <w:tc>
          <w:tcPr>
            <w:tcW w:w="1579" w:type="dxa"/>
          </w:tcPr>
          <w:p>
            <w:pPr/>
          </w:p>
        </w:tc>
        <w:tc>
          <w:tcPr>
            <w:tcW w:w="1345" w:type="dxa"/>
            <w:gridSpan w:val="2"/>
          </w:tcPr>
          <w:p>
            <w:pPr/>
          </w:p>
        </w:tc>
      </w:tr>
      <w:tr>
        <w:trPr>
          <w:trHeight w:val="288" w:hRule="exact"/>
        </w:trPr>
        <w:tc>
          <w:tcPr>
            <w:tcW w:w="4325" w:type="dxa"/>
            <w:gridSpan w:val="2"/>
            <w:shd w:val="clear" w:color="auto" w:fill="CCECFC"/>
          </w:tcPr>
          <w:p>
            <w:pPr>
              <w:pStyle w:val="TableParagraph"/>
              <w:tabs>
                <w:tab w:pos="4224" w:val="right" w:leader="none"/>
              </w:tabs>
              <w:spacing w:before="41"/>
              <w:ind w:left="280"/>
              <w:rPr>
                <w:sz w:val="20"/>
              </w:rPr>
            </w:pPr>
            <w:r>
              <w:rPr>
                <w:color w:val="231F20"/>
                <w:sz w:val="20"/>
              </w:rPr>
              <w:t>Auction rate</w:t>
            </w:r>
            <w:r>
              <w:rPr>
                <w:color w:val="231F20"/>
                <w:spacing w:val="1"/>
                <w:sz w:val="20"/>
              </w:rPr>
              <w:t> </w:t>
            </w:r>
            <w:r>
              <w:rPr>
                <w:color w:val="231F20"/>
                <w:sz w:val="20"/>
              </w:rPr>
              <w:t>securities</w:t>
              <w:tab/>
              <w:t>39</w:t>
            </w:r>
          </w:p>
        </w:tc>
        <w:tc>
          <w:tcPr>
            <w:tcW w:w="1871" w:type="dxa"/>
            <w:gridSpan w:val="2"/>
            <w:shd w:val="clear" w:color="auto" w:fill="CCECFC"/>
          </w:tcPr>
          <w:p>
            <w:pPr>
              <w:pStyle w:val="TableParagraph"/>
              <w:spacing w:before="41"/>
              <w:ind w:right="148"/>
              <w:jc w:val="right"/>
              <w:rPr>
                <w:sz w:val="20"/>
              </w:rPr>
            </w:pPr>
            <w:r>
              <w:rPr>
                <w:color w:val="231F20"/>
                <w:sz w:val="20"/>
              </w:rPr>
              <w:t>—</w:t>
            </w:r>
          </w:p>
        </w:tc>
        <w:tc>
          <w:tcPr>
            <w:tcW w:w="1579" w:type="dxa"/>
            <w:shd w:val="clear" w:color="auto" w:fill="CCECFC"/>
          </w:tcPr>
          <w:p>
            <w:pPr>
              <w:pStyle w:val="TableParagraph"/>
              <w:spacing w:before="41"/>
              <w:ind w:right="97"/>
              <w:jc w:val="right"/>
              <w:rPr>
                <w:sz w:val="20"/>
              </w:rPr>
            </w:pPr>
            <w:r>
              <w:rPr>
                <w:color w:val="231F20"/>
                <w:sz w:val="20"/>
              </w:rPr>
              <w:t>—</w:t>
            </w:r>
          </w:p>
        </w:tc>
        <w:tc>
          <w:tcPr>
            <w:tcW w:w="1345" w:type="dxa"/>
            <w:gridSpan w:val="2"/>
            <w:shd w:val="clear" w:color="auto" w:fill="CCECFC"/>
          </w:tcPr>
          <w:p>
            <w:pPr>
              <w:pStyle w:val="TableParagraph"/>
              <w:spacing w:before="41"/>
              <w:ind w:right="97"/>
              <w:jc w:val="right"/>
              <w:rPr>
                <w:sz w:val="20"/>
              </w:rPr>
            </w:pPr>
            <w:r>
              <w:rPr>
                <w:color w:val="231F20"/>
                <w:sz w:val="20"/>
              </w:rPr>
              <w:t>39</w:t>
            </w:r>
          </w:p>
        </w:tc>
      </w:tr>
      <w:tr>
        <w:trPr>
          <w:trHeight w:val="272" w:hRule="exact"/>
        </w:trPr>
        <w:tc>
          <w:tcPr>
            <w:tcW w:w="2508" w:type="dxa"/>
          </w:tcPr>
          <w:p>
            <w:pPr>
              <w:pStyle w:val="TableParagraph"/>
              <w:spacing w:before="41"/>
              <w:ind w:left="80"/>
              <w:rPr>
                <w:sz w:val="20"/>
              </w:rPr>
            </w:pPr>
            <w:r>
              <w:rPr>
                <w:color w:val="231F20"/>
                <w:sz w:val="20"/>
              </w:rPr>
              <w:t>Interest rate derivatives</w:t>
            </w:r>
          </w:p>
        </w:tc>
        <w:tc>
          <w:tcPr>
            <w:tcW w:w="1817" w:type="dxa"/>
          </w:tcPr>
          <w:p>
            <w:pPr/>
          </w:p>
        </w:tc>
        <w:tc>
          <w:tcPr>
            <w:tcW w:w="1871" w:type="dxa"/>
            <w:gridSpan w:val="2"/>
          </w:tcPr>
          <w:p>
            <w:pPr/>
          </w:p>
        </w:tc>
        <w:tc>
          <w:tcPr>
            <w:tcW w:w="1579" w:type="dxa"/>
          </w:tcPr>
          <w:p>
            <w:pPr/>
          </w:p>
        </w:tc>
        <w:tc>
          <w:tcPr>
            <w:tcW w:w="1345" w:type="dxa"/>
            <w:gridSpan w:val="2"/>
          </w:tcPr>
          <w:p>
            <w:pPr/>
          </w:p>
        </w:tc>
      </w:tr>
      <w:tr>
        <w:trPr>
          <w:trHeight w:val="244" w:hRule="exact"/>
        </w:trPr>
        <w:tc>
          <w:tcPr>
            <w:tcW w:w="2508" w:type="dxa"/>
          </w:tcPr>
          <w:p>
            <w:pPr>
              <w:pStyle w:val="TableParagraph"/>
              <w:spacing w:line="223" w:lineRule="exact" w:before="0"/>
              <w:ind w:left="280"/>
              <w:rPr>
                <w:sz w:val="20"/>
              </w:rPr>
            </w:pPr>
            <w:r>
              <w:rPr>
                <w:color w:val="231F20"/>
                <w:sz w:val="20"/>
              </w:rPr>
              <w:t>(see Note 10)</w:t>
            </w:r>
          </w:p>
        </w:tc>
        <w:tc>
          <w:tcPr>
            <w:tcW w:w="1817" w:type="dxa"/>
          </w:tcPr>
          <w:p>
            <w:pPr>
              <w:pStyle w:val="TableParagraph"/>
              <w:spacing w:line="223" w:lineRule="exact" w:before="0"/>
              <w:ind w:right="99"/>
              <w:jc w:val="right"/>
              <w:rPr>
                <w:sz w:val="20"/>
              </w:rPr>
            </w:pPr>
            <w:r>
              <w:rPr>
                <w:color w:val="231F20"/>
                <w:sz w:val="20"/>
              </w:rPr>
              <w:t>20</w:t>
            </w:r>
          </w:p>
        </w:tc>
        <w:tc>
          <w:tcPr>
            <w:tcW w:w="240" w:type="dxa"/>
          </w:tcPr>
          <w:p>
            <w:pPr/>
          </w:p>
        </w:tc>
        <w:tc>
          <w:tcPr>
            <w:tcW w:w="3210" w:type="dxa"/>
            <w:gridSpan w:val="2"/>
          </w:tcPr>
          <w:p>
            <w:pPr>
              <w:pStyle w:val="TableParagraph"/>
              <w:tabs>
                <w:tab w:pos="2909" w:val="left" w:leader="none"/>
              </w:tabs>
              <w:spacing w:line="223" w:lineRule="exact" w:before="0"/>
              <w:ind w:left="1281"/>
              <w:rPr>
                <w:sz w:val="20"/>
              </w:rPr>
            </w:pPr>
            <w:r>
              <w:rPr>
                <w:color w:val="231F20"/>
                <w:sz w:val="20"/>
              </w:rPr>
              <w:t>—</w:t>
              <w:tab/>
              <w:t>20</w:t>
            </w:r>
          </w:p>
        </w:tc>
        <w:tc>
          <w:tcPr>
            <w:tcW w:w="200" w:type="dxa"/>
          </w:tcPr>
          <w:p>
            <w:pPr/>
          </w:p>
        </w:tc>
        <w:tc>
          <w:tcPr>
            <w:tcW w:w="1145" w:type="dxa"/>
          </w:tcPr>
          <w:p>
            <w:pPr>
              <w:pStyle w:val="TableParagraph"/>
              <w:spacing w:line="223" w:lineRule="exact" w:before="0"/>
              <w:ind w:right="99"/>
              <w:jc w:val="right"/>
              <w:rPr>
                <w:sz w:val="20"/>
              </w:rPr>
            </w:pPr>
            <w:r>
              <w:rPr>
                <w:color w:val="231F20"/>
                <w:sz w:val="20"/>
              </w:rPr>
              <w:t>—</w:t>
            </w:r>
          </w:p>
        </w:tc>
      </w:tr>
      <w:tr>
        <w:trPr>
          <w:trHeight w:val="288" w:hRule="exact"/>
        </w:trPr>
        <w:tc>
          <w:tcPr>
            <w:tcW w:w="2508" w:type="dxa"/>
            <w:shd w:val="clear" w:color="auto" w:fill="CCECFC"/>
          </w:tcPr>
          <w:p>
            <w:pPr>
              <w:pStyle w:val="TableParagraph"/>
              <w:spacing w:before="41"/>
              <w:ind w:left="80"/>
              <w:rPr>
                <w:sz w:val="20"/>
              </w:rPr>
            </w:pPr>
            <w:r>
              <w:rPr>
                <w:color w:val="231F20"/>
                <w:sz w:val="20"/>
              </w:rPr>
              <w:t>Fuel derivatives:</w:t>
            </w:r>
          </w:p>
        </w:tc>
        <w:tc>
          <w:tcPr>
            <w:tcW w:w="1817" w:type="dxa"/>
            <w:shd w:val="clear" w:color="auto" w:fill="CCECFC"/>
          </w:tcPr>
          <w:p>
            <w:pPr/>
          </w:p>
        </w:tc>
        <w:tc>
          <w:tcPr>
            <w:tcW w:w="240" w:type="dxa"/>
            <w:shd w:val="clear" w:color="auto" w:fill="CCECFC"/>
          </w:tcPr>
          <w:p>
            <w:pPr/>
          </w:p>
        </w:tc>
        <w:tc>
          <w:tcPr>
            <w:tcW w:w="3210" w:type="dxa"/>
            <w:gridSpan w:val="2"/>
            <w:shd w:val="clear" w:color="auto" w:fill="CCECFC"/>
          </w:tcPr>
          <w:p>
            <w:pPr/>
          </w:p>
        </w:tc>
        <w:tc>
          <w:tcPr>
            <w:tcW w:w="200" w:type="dxa"/>
            <w:shd w:val="clear" w:color="auto" w:fill="CCECFC"/>
          </w:tcPr>
          <w:p>
            <w:pPr/>
          </w:p>
        </w:tc>
        <w:tc>
          <w:tcPr>
            <w:tcW w:w="1145" w:type="dxa"/>
            <w:shd w:val="clear" w:color="auto" w:fill="CCECFC"/>
          </w:tcPr>
          <w:p>
            <w:pPr/>
          </w:p>
        </w:tc>
      </w:tr>
      <w:tr>
        <w:trPr>
          <w:trHeight w:val="288" w:hRule="exact"/>
        </w:trPr>
        <w:tc>
          <w:tcPr>
            <w:tcW w:w="2508" w:type="dxa"/>
          </w:tcPr>
          <w:p>
            <w:pPr>
              <w:pStyle w:val="TableParagraph"/>
              <w:spacing w:before="41"/>
              <w:ind w:left="280"/>
              <w:rPr>
                <w:sz w:val="20"/>
              </w:rPr>
            </w:pPr>
            <w:r>
              <w:rPr>
                <w:color w:val="231F20"/>
                <w:sz w:val="20"/>
              </w:rPr>
              <w:t>Swap contracts (c)</w:t>
            </w:r>
          </w:p>
        </w:tc>
        <w:tc>
          <w:tcPr>
            <w:tcW w:w="1817" w:type="dxa"/>
          </w:tcPr>
          <w:p>
            <w:pPr>
              <w:pStyle w:val="TableParagraph"/>
              <w:spacing w:before="41"/>
              <w:ind w:right="99"/>
              <w:jc w:val="right"/>
              <w:rPr>
                <w:sz w:val="20"/>
              </w:rPr>
            </w:pPr>
            <w:r>
              <w:rPr>
                <w:color w:val="231F20"/>
                <w:sz w:val="20"/>
              </w:rPr>
              <w:t>16</w:t>
            </w:r>
          </w:p>
        </w:tc>
        <w:tc>
          <w:tcPr>
            <w:tcW w:w="240" w:type="dxa"/>
          </w:tcPr>
          <w:p>
            <w:pPr/>
          </w:p>
        </w:tc>
        <w:tc>
          <w:tcPr>
            <w:tcW w:w="3210" w:type="dxa"/>
            <w:gridSpan w:val="2"/>
          </w:tcPr>
          <w:p>
            <w:pPr>
              <w:pStyle w:val="TableParagraph"/>
              <w:tabs>
                <w:tab w:pos="2909" w:val="left" w:leader="none"/>
              </w:tabs>
              <w:spacing w:before="41"/>
              <w:ind w:left="1281"/>
              <w:rPr>
                <w:sz w:val="20"/>
              </w:rPr>
            </w:pPr>
            <w:r>
              <w:rPr>
                <w:color w:val="231F20"/>
                <w:sz w:val="20"/>
              </w:rPr>
              <w:t>—</w:t>
              <w:tab/>
              <w:t>16</w:t>
            </w:r>
          </w:p>
        </w:tc>
        <w:tc>
          <w:tcPr>
            <w:tcW w:w="200" w:type="dxa"/>
          </w:tcPr>
          <w:p>
            <w:pPr/>
          </w:p>
        </w:tc>
        <w:tc>
          <w:tcPr>
            <w:tcW w:w="1145" w:type="dxa"/>
          </w:tcPr>
          <w:p>
            <w:pPr>
              <w:pStyle w:val="TableParagraph"/>
              <w:spacing w:before="41"/>
              <w:ind w:right="99"/>
              <w:jc w:val="right"/>
              <w:rPr>
                <w:sz w:val="20"/>
              </w:rPr>
            </w:pPr>
            <w:r>
              <w:rPr>
                <w:color w:val="231F20"/>
                <w:sz w:val="20"/>
              </w:rPr>
              <w:t>—</w:t>
            </w:r>
          </w:p>
        </w:tc>
      </w:tr>
      <w:tr>
        <w:trPr>
          <w:trHeight w:val="288" w:hRule="exact"/>
        </w:trPr>
        <w:tc>
          <w:tcPr>
            <w:tcW w:w="2508" w:type="dxa"/>
            <w:shd w:val="clear" w:color="auto" w:fill="CCECFC"/>
          </w:tcPr>
          <w:p>
            <w:pPr>
              <w:pStyle w:val="TableParagraph"/>
              <w:spacing w:before="41"/>
              <w:ind w:left="280"/>
              <w:rPr>
                <w:sz w:val="20"/>
              </w:rPr>
            </w:pPr>
            <w:r>
              <w:rPr>
                <w:color w:val="231F20"/>
                <w:sz w:val="20"/>
              </w:rPr>
              <w:t>Option contracts (c)</w:t>
            </w:r>
          </w:p>
        </w:tc>
        <w:tc>
          <w:tcPr>
            <w:tcW w:w="1817" w:type="dxa"/>
            <w:shd w:val="clear" w:color="auto" w:fill="CCECFC"/>
          </w:tcPr>
          <w:p>
            <w:pPr>
              <w:pStyle w:val="TableParagraph"/>
              <w:spacing w:before="41"/>
              <w:ind w:right="99"/>
              <w:jc w:val="right"/>
              <w:rPr>
                <w:sz w:val="20"/>
              </w:rPr>
            </w:pPr>
            <w:r>
              <w:rPr>
                <w:color w:val="231F20"/>
                <w:sz w:val="20"/>
              </w:rPr>
              <w:t>458</w:t>
            </w:r>
          </w:p>
        </w:tc>
        <w:tc>
          <w:tcPr>
            <w:tcW w:w="240" w:type="dxa"/>
            <w:shd w:val="clear" w:color="auto" w:fill="CCECFC"/>
          </w:tcPr>
          <w:p>
            <w:pPr/>
          </w:p>
        </w:tc>
        <w:tc>
          <w:tcPr>
            <w:tcW w:w="3210" w:type="dxa"/>
            <w:gridSpan w:val="2"/>
            <w:shd w:val="clear" w:color="auto" w:fill="CCECFC"/>
          </w:tcPr>
          <w:p>
            <w:pPr>
              <w:pStyle w:val="TableParagraph"/>
              <w:tabs>
                <w:tab w:pos="2909" w:val="left" w:leader="none"/>
              </w:tabs>
              <w:spacing w:before="41"/>
              <w:ind w:left="1281"/>
              <w:rPr>
                <w:sz w:val="20"/>
              </w:rPr>
            </w:pPr>
            <w:r>
              <w:rPr>
                <w:color w:val="231F20"/>
                <w:sz w:val="20"/>
              </w:rPr>
              <w:t>—</w:t>
              <w:tab/>
              <w:t>—</w:t>
            </w:r>
          </w:p>
        </w:tc>
        <w:tc>
          <w:tcPr>
            <w:tcW w:w="200" w:type="dxa"/>
            <w:shd w:val="clear" w:color="auto" w:fill="CCECFC"/>
          </w:tcPr>
          <w:p>
            <w:pPr/>
          </w:p>
        </w:tc>
        <w:tc>
          <w:tcPr>
            <w:tcW w:w="1145" w:type="dxa"/>
            <w:shd w:val="clear" w:color="auto" w:fill="CCECFC"/>
          </w:tcPr>
          <w:p>
            <w:pPr>
              <w:pStyle w:val="TableParagraph"/>
              <w:spacing w:before="41"/>
              <w:ind w:right="99"/>
              <w:jc w:val="right"/>
              <w:rPr>
                <w:sz w:val="20"/>
              </w:rPr>
            </w:pPr>
            <w:r>
              <w:rPr>
                <w:color w:val="231F20"/>
                <w:sz w:val="20"/>
              </w:rPr>
              <w:t>458</w:t>
            </w:r>
          </w:p>
        </w:tc>
      </w:tr>
      <w:tr>
        <w:trPr>
          <w:trHeight w:val="288" w:hRule="exact"/>
        </w:trPr>
        <w:tc>
          <w:tcPr>
            <w:tcW w:w="2508" w:type="dxa"/>
          </w:tcPr>
          <w:p>
            <w:pPr>
              <w:pStyle w:val="TableParagraph"/>
              <w:spacing w:before="41"/>
              <w:ind w:left="280"/>
              <w:rPr>
                <w:sz w:val="20"/>
              </w:rPr>
            </w:pPr>
            <w:r>
              <w:rPr>
                <w:color w:val="231F20"/>
                <w:sz w:val="20"/>
              </w:rPr>
              <w:t>Option contracts (d)</w:t>
            </w:r>
          </w:p>
        </w:tc>
        <w:tc>
          <w:tcPr>
            <w:tcW w:w="1817" w:type="dxa"/>
          </w:tcPr>
          <w:p>
            <w:pPr>
              <w:pStyle w:val="TableParagraph"/>
              <w:spacing w:before="41"/>
              <w:ind w:right="99"/>
              <w:jc w:val="right"/>
              <w:rPr>
                <w:sz w:val="20"/>
              </w:rPr>
            </w:pPr>
            <w:r>
              <w:rPr>
                <w:color w:val="231F20"/>
                <w:sz w:val="20"/>
              </w:rPr>
              <w:t>9</w:t>
            </w:r>
          </w:p>
        </w:tc>
        <w:tc>
          <w:tcPr>
            <w:tcW w:w="240" w:type="dxa"/>
          </w:tcPr>
          <w:p>
            <w:pPr/>
          </w:p>
        </w:tc>
        <w:tc>
          <w:tcPr>
            <w:tcW w:w="3210" w:type="dxa"/>
            <w:gridSpan w:val="2"/>
          </w:tcPr>
          <w:p>
            <w:pPr>
              <w:pStyle w:val="TableParagraph"/>
              <w:tabs>
                <w:tab w:pos="2909" w:val="left" w:leader="none"/>
              </w:tabs>
              <w:spacing w:before="41"/>
              <w:ind w:left="1281"/>
              <w:rPr>
                <w:sz w:val="20"/>
              </w:rPr>
            </w:pPr>
            <w:r>
              <w:rPr>
                <w:color w:val="231F20"/>
                <w:sz w:val="20"/>
              </w:rPr>
              <w:t>—</w:t>
              <w:tab/>
              <w:t>—</w:t>
            </w:r>
          </w:p>
        </w:tc>
        <w:tc>
          <w:tcPr>
            <w:tcW w:w="200" w:type="dxa"/>
          </w:tcPr>
          <w:p>
            <w:pPr/>
          </w:p>
        </w:tc>
        <w:tc>
          <w:tcPr>
            <w:tcW w:w="1145" w:type="dxa"/>
          </w:tcPr>
          <w:p>
            <w:pPr>
              <w:pStyle w:val="TableParagraph"/>
              <w:spacing w:before="41"/>
              <w:ind w:right="99"/>
              <w:jc w:val="right"/>
              <w:rPr>
                <w:sz w:val="20"/>
              </w:rPr>
            </w:pPr>
            <w:r>
              <w:rPr>
                <w:color w:val="231F20"/>
                <w:sz w:val="20"/>
              </w:rPr>
              <w:t>9</w:t>
            </w:r>
          </w:p>
        </w:tc>
      </w:tr>
      <w:tr>
        <w:trPr>
          <w:trHeight w:val="531" w:hRule="exact"/>
        </w:trPr>
        <w:tc>
          <w:tcPr>
            <w:tcW w:w="2508" w:type="dxa"/>
            <w:shd w:val="clear" w:color="auto" w:fill="CCECFC"/>
          </w:tcPr>
          <w:p>
            <w:pPr>
              <w:pStyle w:val="TableParagraph"/>
              <w:spacing w:before="41"/>
              <w:ind w:left="280" w:right="503" w:hanging="200"/>
              <w:rPr>
                <w:sz w:val="20"/>
              </w:rPr>
            </w:pPr>
            <w:r>
              <w:rPr>
                <w:color w:val="231F20"/>
                <w:sz w:val="20"/>
              </w:rPr>
              <w:t>Other available-for-sale securities</w:t>
            </w:r>
          </w:p>
        </w:tc>
        <w:tc>
          <w:tcPr>
            <w:tcW w:w="1817" w:type="dxa"/>
            <w:tcBorders>
              <w:bottom w:val="single" w:sz="4" w:space="0" w:color="231F20"/>
            </w:tcBorders>
            <w:shd w:val="clear" w:color="auto" w:fill="CCECFC"/>
          </w:tcPr>
          <w:p>
            <w:pPr>
              <w:pStyle w:val="TableParagraph"/>
              <w:spacing w:before="4"/>
              <w:rPr>
                <w:sz w:val="23"/>
              </w:rPr>
            </w:pPr>
          </w:p>
          <w:p>
            <w:pPr>
              <w:pStyle w:val="TableParagraph"/>
              <w:spacing w:before="1"/>
              <w:ind w:right="97"/>
              <w:jc w:val="right"/>
              <w:rPr>
                <w:sz w:val="20"/>
              </w:rPr>
            </w:pPr>
            <w:r>
              <w:rPr>
                <w:color w:val="231F20"/>
                <w:sz w:val="20"/>
              </w:rPr>
              <w:t>63</w:t>
            </w:r>
          </w:p>
        </w:tc>
        <w:tc>
          <w:tcPr>
            <w:tcW w:w="240" w:type="dxa"/>
            <w:shd w:val="clear" w:color="auto" w:fill="CCECFC"/>
          </w:tcPr>
          <w:p>
            <w:pPr/>
          </w:p>
        </w:tc>
        <w:tc>
          <w:tcPr>
            <w:tcW w:w="3210" w:type="dxa"/>
            <w:gridSpan w:val="2"/>
            <w:shd w:val="clear" w:color="auto" w:fill="CCECFC"/>
          </w:tcPr>
          <w:p>
            <w:pPr>
              <w:pStyle w:val="TableParagraph"/>
              <w:spacing w:before="4"/>
              <w:rPr>
                <w:sz w:val="23"/>
              </w:rPr>
            </w:pPr>
          </w:p>
          <w:p>
            <w:pPr>
              <w:pStyle w:val="TableParagraph"/>
              <w:tabs>
                <w:tab w:pos="2909" w:val="left" w:leader="none"/>
              </w:tabs>
              <w:spacing w:before="1"/>
              <w:ind w:left="1281"/>
              <w:rPr>
                <w:sz w:val="20"/>
              </w:rPr>
            </w:pPr>
            <w:r>
              <w:rPr>
                <w:color w:val="231F20"/>
                <w:sz w:val="20"/>
              </w:rPr>
              <w:t>58</w:t>
              <w:tab/>
              <w:t>—</w:t>
            </w:r>
          </w:p>
        </w:tc>
        <w:tc>
          <w:tcPr>
            <w:tcW w:w="200" w:type="dxa"/>
            <w:shd w:val="clear" w:color="auto" w:fill="CCECFC"/>
          </w:tcPr>
          <w:p>
            <w:pPr/>
          </w:p>
        </w:tc>
        <w:tc>
          <w:tcPr>
            <w:tcW w:w="1145" w:type="dxa"/>
            <w:tcBorders>
              <w:bottom w:val="single" w:sz="4" w:space="0" w:color="231F20"/>
            </w:tcBorders>
            <w:shd w:val="clear" w:color="auto" w:fill="CCECFC"/>
          </w:tcPr>
          <w:p>
            <w:pPr>
              <w:pStyle w:val="TableParagraph"/>
              <w:spacing w:before="4"/>
              <w:rPr>
                <w:sz w:val="23"/>
              </w:rPr>
            </w:pPr>
          </w:p>
          <w:p>
            <w:pPr>
              <w:pStyle w:val="TableParagraph"/>
              <w:spacing w:before="1"/>
              <w:ind w:right="97"/>
              <w:jc w:val="right"/>
              <w:rPr>
                <w:sz w:val="20"/>
              </w:rPr>
            </w:pPr>
            <w:r>
              <w:rPr>
                <w:color w:val="231F20"/>
                <w:sz w:val="20"/>
              </w:rPr>
              <w:t>5</w:t>
            </w:r>
          </w:p>
        </w:tc>
      </w:tr>
      <w:tr>
        <w:trPr>
          <w:trHeight w:val="348" w:hRule="exact"/>
        </w:trPr>
        <w:tc>
          <w:tcPr>
            <w:tcW w:w="2508" w:type="dxa"/>
          </w:tcPr>
          <w:p>
            <w:pPr>
              <w:pStyle w:val="TableParagraph"/>
              <w:spacing w:before="61"/>
              <w:ind w:left="80"/>
              <w:rPr>
                <w:b/>
                <w:sz w:val="20"/>
              </w:rPr>
            </w:pPr>
            <w:r>
              <w:rPr>
                <w:b/>
                <w:color w:val="231F20"/>
                <w:sz w:val="20"/>
              </w:rPr>
              <w:t>Total assets</w:t>
            </w:r>
          </w:p>
        </w:tc>
        <w:tc>
          <w:tcPr>
            <w:tcW w:w="1817" w:type="dxa"/>
            <w:tcBorders>
              <w:top w:val="single" w:sz="4" w:space="0" w:color="231F20"/>
              <w:bottom w:val="single" w:sz="4" w:space="0" w:color="231F20"/>
            </w:tcBorders>
          </w:tcPr>
          <w:p>
            <w:pPr>
              <w:pStyle w:val="TableParagraph"/>
              <w:tabs>
                <w:tab w:pos="1266" w:val="left" w:leader="none"/>
              </w:tabs>
              <w:spacing w:before="41"/>
              <w:ind w:right="99"/>
              <w:jc w:val="right"/>
              <w:rPr>
                <w:sz w:val="20"/>
              </w:rPr>
            </w:pPr>
            <w:r>
              <w:rPr>
                <w:color w:val="231F20"/>
                <w:sz w:val="20"/>
              </w:rPr>
              <w:t>$</w:t>
              <w:tab/>
              <w:t>3,757</w:t>
            </w:r>
          </w:p>
        </w:tc>
        <w:tc>
          <w:tcPr>
            <w:tcW w:w="240" w:type="dxa"/>
          </w:tcPr>
          <w:p>
            <w:pPr/>
          </w:p>
        </w:tc>
        <w:tc>
          <w:tcPr>
            <w:tcW w:w="3210" w:type="dxa"/>
            <w:gridSpan w:val="2"/>
          </w:tcPr>
          <w:p>
            <w:pPr>
              <w:pStyle w:val="TableParagraph"/>
              <w:tabs>
                <w:tab w:pos="1030" w:val="left" w:leader="none"/>
                <w:tab w:pos="1780" w:val="left" w:leader="none"/>
                <w:tab w:pos="2809" w:val="left" w:leader="none"/>
              </w:tabs>
              <w:spacing w:before="46"/>
              <w:rPr>
                <w:sz w:val="20"/>
              </w:rPr>
            </w:pPr>
            <w:r>
              <w:rPr>
                <w:color w:val="231F20"/>
                <w:sz w:val="20"/>
              </w:rPr>
              <w:t>$</w:t>
              <w:tab/>
              <w:t>2,620</w:t>
              <w:tab/>
              <w:t>$</w:t>
              <w:tab/>
              <w:t>626</w:t>
            </w:r>
          </w:p>
        </w:tc>
        <w:tc>
          <w:tcPr>
            <w:tcW w:w="200" w:type="dxa"/>
          </w:tcPr>
          <w:p>
            <w:pPr/>
          </w:p>
        </w:tc>
        <w:tc>
          <w:tcPr>
            <w:tcW w:w="1145" w:type="dxa"/>
            <w:tcBorders>
              <w:top w:val="single" w:sz="4" w:space="0" w:color="231F20"/>
              <w:bottom w:val="single" w:sz="4" w:space="0" w:color="231F20"/>
            </w:tcBorders>
          </w:tcPr>
          <w:p>
            <w:pPr>
              <w:pStyle w:val="TableParagraph"/>
              <w:tabs>
                <w:tab w:pos="744" w:val="left" w:leader="none"/>
              </w:tabs>
              <w:spacing w:before="41"/>
              <w:ind w:right="99"/>
              <w:jc w:val="right"/>
              <w:rPr>
                <w:sz w:val="20"/>
              </w:rPr>
            </w:pPr>
            <w:r>
              <w:rPr>
                <w:color w:val="231F20"/>
                <w:sz w:val="20"/>
              </w:rPr>
              <w:t>$</w:t>
              <w:tab/>
              <w:t>511</w:t>
            </w:r>
          </w:p>
        </w:tc>
      </w:tr>
    </w:tbl>
    <w:p>
      <w:pPr>
        <w:pStyle w:val="BodyText"/>
        <w:ind w:left="120"/>
        <w:rPr>
          <w:sz w:val="20"/>
        </w:rPr>
      </w:pPr>
      <w:r>
        <w:rPr>
          <w:sz w:val="20"/>
        </w:rPr>
        <w:pict>
          <v:shape style="width:456pt;height:14.4pt;mso-position-horizontal-relative:char;mso-position-vertical-relative:line" type="#_x0000_t202" filled="true" fillcolor="#ccecfc" stroked="false">
            <w10:anchorlock/>
            <v:textbox inset="0,0,0,0">
              <w:txbxContent>
                <w:p>
                  <w:pPr>
                    <w:spacing w:before="41"/>
                    <w:ind w:left="80" w:right="0" w:firstLine="0"/>
                    <w:jc w:val="left"/>
                    <w:rPr>
                      <w:b/>
                      <w:sz w:val="20"/>
                    </w:rPr>
                  </w:pPr>
                  <w:r>
                    <w:rPr>
                      <w:b/>
                      <w:color w:val="231F20"/>
                      <w:sz w:val="20"/>
                    </w:rPr>
                    <w:t>Liabilities</w:t>
                  </w:r>
                </w:p>
              </w:txbxContent>
            </v:textbox>
            <v:fill type="solid"/>
          </v:shape>
        </w:pict>
      </w:r>
      <w:r>
        <w:rPr>
          <w:sz w:val="20"/>
        </w:rPr>
      </w:r>
    </w:p>
    <w:p>
      <w:pPr>
        <w:spacing w:before="10" w:after="17"/>
        <w:ind w:left="200" w:right="0" w:firstLine="0"/>
        <w:jc w:val="left"/>
        <w:rPr>
          <w:sz w:val="20"/>
        </w:rPr>
      </w:pPr>
      <w:r>
        <w:rPr/>
        <w:pict>
          <v:line style="position:absolute;mso-position-horizontal-relative:page;mso-position-vertical-relative:paragraph;z-index:-403552" from="297.25pt,-33.614075pt" to="376.3pt,-33.614075pt" stroked="true" strokeweight=".5pt" strokecolor="#231f20">
            <v:stroke dashstyle="solid"/>
            <w10:wrap type="none"/>
          </v:line>
        </w:pict>
      </w:r>
      <w:r>
        <w:rPr/>
        <w:pict>
          <v:line style="position:absolute;mso-position-horizontal-relative:page;mso-position-vertical-relative:paragraph;z-index:-403528" from="194.399994pt,-18.214075pt" to="285.249994pt,-18.214075pt" stroked="true" strokeweight=".5pt" strokecolor="#231f20">
            <v:stroke dashstyle="solid"/>
            <w10:wrap type="none"/>
          </v:line>
        </w:pict>
      </w:r>
      <w:r>
        <w:rPr/>
        <w:pict>
          <v:group style="position:absolute;margin-left:297pt;margin-top:-18.464075pt;width:79.55pt;height:2.5pt;mso-position-horizontal-relative:page;mso-position-vertical-relative:paragraph;z-index:-403504" coordorigin="5940,-369" coordsize="1591,50">
            <v:line style="position:absolute" from="5945,-364" to="7526,-364" stroked="true" strokeweight=".5pt" strokecolor="#231f20">
              <v:stroke dashstyle="solid"/>
            </v:line>
            <v:line style="position:absolute" from="5945,-324" to="7526,-324" stroked="true" strokeweight=".5pt" strokecolor="#231f20">
              <v:stroke dashstyle="solid"/>
            </v:line>
            <w10:wrap type="none"/>
          </v:group>
        </w:pict>
      </w:r>
      <w:r>
        <w:rPr/>
        <w:pict>
          <v:line style="position:absolute;mso-position-horizontal-relative:page;mso-position-vertical-relative:paragraph;z-index:-403480" from="386.299988pt,-18.214075pt" to="457.749988pt,-18.214075pt" stroked="true" strokeweight=".5pt" strokecolor="#231f20">
            <v:stroke dashstyle="solid"/>
            <w10:wrap type="none"/>
          </v:line>
        </w:pict>
      </w:r>
      <w:r>
        <w:rPr/>
        <w:pict>
          <v:line style="position:absolute;mso-position-horizontal-relative:page;mso-position-vertical-relative:paragraph;z-index:-403456" from="467.75pt,-18.214075pt" to="525pt,-18.214075pt" stroked="true" strokeweight=".5pt" strokecolor="#231f20">
            <v:stroke dashstyle="solid"/>
            <w10:wrap type="none"/>
          </v:line>
        </w:pict>
      </w:r>
      <w:r>
        <w:rPr>
          <w:color w:val="231F20"/>
          <w:sz w:val="20"/>
        </w:rPr>
        <w:t>Fuel derivatives: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08"/>
        <w:gridCol w:w="1817"/>
        <w:gridCol w:w="240"/>
        <w:gridCol w:w="3210"/>
        <w:gridCol w:w="200"/>
        <w:gridCol w:w="1145"/>
      </w:tblGrid>
      <w:tr>
        <w:trPr>
          <w:trHeight w:val="288" w:hRule="exact"/>
        </w:trPr>
        <w:tc>
          <w:tcPr>
            <w:tcW w:w="2508" w:type="dxa"/>
            <w:shd w:val="clear" w:color="auto" w:fill="CCECFC"/>
          </w:tcPr>
          <w:p>
            <w:pPr>
              <w:pStyle w:val="TableParagraph"/>
              <w:spacing w:before="41"/>
              <w:ind w:left="280"/>
              <w:rPr>
                <w:sz w:val="20"/>
              </w:rPr>
            </w:pPr>
            <w:r>
              <w:rPr>
                <w:color w:val="231F20"/>
                <w:sz w:val="20"/>
              </w:rPr>
              <w:t>Swap contracts (c)</w:t>
            </w:r>
          </w:p>
        </w:tc>
        <w:tc>
          <w:tcPr>
            <w:tcW w:w="1817" w:type="dxa"/>
            <w:shd w:val="clear" w:color="auto" w:fill="CCECFC"/>
          </w:tcPr>
          <w:p>
            <w:pPr>
              <w:pStyle w:val="TableParagraph"/>
              <w:tabs>
                <w:tab w:pos="1582" w:val="left" w:leader="none"/>
              </w:tabs>
              <w:spacing w:before="41"/>
              <w:jc w:val="right"/>
              <w:rPr>
                <w:sz w:val="20"/>
              </w:rPr>
            </w:pPr>
            <w:r>
              <w:rPr>
                <w:color w:val="231F20"/>
                <w:sz w:val="20"/>
              </w:rPr>
              <w:t>$</w:t>
              <w:tab/>
              <w:t>(8)</w:t>
            </w:r>
          </w:p>
        </w:tc>
        <w:tc>
          <w:tcPr>
            <w:tcW w:w="240" w:type="dxa"/>
            <w:shd w:val="clear" w:color="auto" w:fill="CCECFC"/>
          </w:tcPr>
          <w:p>
            <w:pPr/>
          </w:p>
        </w:tc>
        <w:tc>
          <w:tcPr>
            <w:tcW w:w="3210" w:type="dxa"/>
            <w:shd w:val="clear" w:color="auto" w:fill="CCECFC"/>
          </w:tcPr>
          <w:p>
            <w:pPr>
              <w:pStyle w:val="TableParagraph"/>
              <w:tabs>
                <w:tab w:pos="1280" w:val="left" w:leader="none"/>
                <w:tab w:pos="1780" w:val="left" w:leader="none"/>
                <w:tab w:pos="2975" w:val="left" w:leader="none"/>
              </w:tabs>
              <w:spacing w:before="41"/>
              <w:jc w:val="right"/>
              <w:rPr>
                <w:sz w:val="20"/>
              </w:rPr>
            </w:pPr>
            <w:r>
              <w:rPr>
                <w:color w:val="231F20"/>
                <w:sz w:val="20"/>
              </w:rPr>
              <w:t>$</w:t>
              <w:tab/>
              <w:t>—</w:t>
              <w:tab/>
              <w:t>$</w:t>
              <w:tab/>
              <w:t>(8)</w:t>
            </w:r>
          </w:p>
        </w:tc>
        <w:tc>
          <w:tcPr>
            <w:tcW w:w="200" w:type="dxa"/>
            <w:shd w:val="clear" w:color="auto" w:fill="CCECFC"/>
          </w:tcPr>
          <w:p>
            <w:pPr/>
          </w:p>
        </w:tc>
        <w:tc>
          <w:tcPr>
            <w:tcW w:w="1145" w:type="dxa"/>
            <w:shd w:val="clear" w:color="auto" w:fill="CCECFC"/>
          </w:tcPr>
          <w:p>
            <w:pPr>
              <w:pStyle w:val="TableParagraph"/>
              <w:tabs>
                <w:tab w:pos="844" w:val="left" w:leader="none"/>
              </w:tabs>
              <w:spacing w:before="41"/>
              <w:rPr>
                <w:sz w:val="20"/>
              </w:rPr>
            </w:pPr>
            <w:r>
              <w:rPr>
                <w:color w:val="231F20"/>
                <w:sz w:val="20"/>
              </w:rPr>
              <w:t>$</w:t>
              <w:tab/>
              <w:t>—</w:t>
            </w:r>
          </w:p>
        </w:tc>
      </w:tr>
      <w:tr>
        <w:trPr>
          <w:trHeight w:val="288" w:hRule="exact"/>
        </w:trPr>
        <w:tc>
          <w:tcPr>
            <w:tcW w:w="2508" w:type="dxa"/>
          </w:tcPr>
          <w:p>
            <w:pPr>
              <w:pStyle w:val="TableParagraph"/>
              <w:spacing w:before="41"/>
              <w:ind w:left="280"/>
              <w:rPr>
                <w:sz w:val="20"/>
              </w:rPr>
            </w:pPr>
            <w:r>
              <w:rPr>
                <w:color w:val="231F20"/>
                <w:sz w:val="20"/>
              </w:rPr>
              <w:t>Option contracts (c)</w:t>
            </w:r>
          </w:p>
        </w:tc>
        <w:tc>
          <w:tcPr>
            <w:tcW w:w="1817" w:type="dxa"/>
          </w:tcPr>
          <w:p>
            <w:pPr>
              <w:pStyle w:val="TableParagraph"/>
              <w:spacing w:before="41"/>
              <w:jc w:val="right"/>
              <w:rPr>
                <w:sz w:val="20"/>
              </w:rPr>
            </w:pPr>
            <w:r>
              <w:rPr>
                <w:color w:val="231F20"/>
                <w:sz w:val="20"/>
              </w:rPr>
              <w:t>(274)</w:t>
            </w:r>
          </w:p>
        </w:tc>
        <w:tc>
          <w:tcPr>
            <w:tcW w:w="240" w:type="dxa"/>
          </w:tcPr>
          <w:p>
            <w:pPr/>
          </w:p>
        </w:tc>
        <w:tc>
          <w:tcPr>
            <w:tcW w:w="3210" w:type="dxa"/>
          </w:tcPr>
          <w:p>
            <w:pPr>
              <w:pStyle w:val="TableParagraph"/>
              <w:tabs>
                <w:tab w:pos="1628" w:val="left" w:leader="none"/>
              </w:tabs>
              <w:spacing w:before="41"/>
              <w:ind w:right="99"/>
              <w:jc w:val="right"/>
              <w:rPr>
                <w:sz w:val="20"/>
              </w:rPr>
            </w:pPr>
            <w:r>
              <w:rPr>
                <w:color w:val="231F20"/>
                <w:sz w:val="20"/>
              </w:rPr>
              <w:t>—</w:t>
              <w:tab/>
              <w:t>—</w:t>
            </w:r>
          </w:p>
        </w:tc>
        <w:tc>
          <w:tcPr>
            <w:tcW w:w="200" w:type="dxa"/>
          </w:tcPr>
          <w:p>
            <w:pPr/>
          </w:p>
        </w:tc>
        <w:tc>
          <w:tcPr>
            <w:tcW w:w="1145" w:type="dxa"/>
          </w:tcPr>
          <w:p>
            <w:pPr>
              <w:pStyle w:val="TableParagraph"/>
              <w:spacing w:before="41"/>
              <w:jc w:val="right"/>
              <w:rPr>
                <w:sz w:val="20"/>
              </w:rPr>
            </w:pPr>
            <w:r>
              <w:rPr>
                <w:color w:val="231F20"/>
                <w:sz w:val="20"/>
              </w:rPr>
              <w:t>(274)</w:t>
            </w:r>
          </w:p>
        </w:tc>
      </w:tr>
      <w:tr>
        <w:trPr>
          <w:trHeight w:val="288" w:hRule="exact"/>
        </w:trPr>
        <w:tc>
          <w:tcPr>
            <w:tcW w:w="2508" w:type="dxa"/>
            <w:shd w:val="clear" w:color="auto" w:fill="CCECFC"/>
          </w:tcPr>
          <w:p>
            <w:pPr>
              <w:pStyle w:val="TableParagraph"/>
              <w:spacing w:before="41"/>
              <w:ind w:left="280"/>
              <w:rPr>
                <w:sz w:val="20"/>
              </w:rPr>
            </w:pPr>
            <w:r>
              <w:rPr>
                <w:color w:val="231F20"/>
                <w:sz w:val="20"/>
              </w:rPr>
              <w:t>Swap contracts (d)</w:t>
            </w:r>
          </w:p>
        </w:tc>
        <w:tc>
          <w:tcPr>
            <w:tcW w:w="1817" w:type="dxa"/>
            <w:shd w:val="clear" w:color="auto" w:fill="CCECFC"/>
          </w:tcPr>
          <w:p>
            <w:pPr>
              <w:pStyle w:val="TableParagraph"/>
              <w:spacing w:before="41"/>
              <w:jc w:val="right"/>
              <w:rPr>
                <w:sz w:val="20"/>
              </w:rPr>
            </w:pPr>
            <w:r>
              <w:rPr>
                <w:color w:val="231F20"/>
                <w:sz w:val="20"/>
              </w:rPr>
              <w:t>(21)</w:t>
            </w:r>
          </w:p>
        </w:tc>
        <w:tc>
          <w:tcPr>
            <w:tcW w:w="240" w:type="dxa"/>
            <w:shd w:val="clear" w:color="auto" w:fill="CCECFC"/>
          </w:tcPr>
          <w:p>
            <w:pPr/>
          </w:p>
        </w:tc>
        <w:tc>
          <w:tcPr>
            <w:tcW w:w="3210" w:type="dxa"/>
            <w:shd w:val="clear" w:color="auto" w:fill="CCECFC"/>
          </w:tcPr>
          <w:p>
            <w:pPr>
              <w:pStyle w:val="TableParagraph"/>
              <w:tabs>
                <w:tab w:pos="1628" w:val="left" w:leader="none"/>
              </w:tabs>
              <w:spacing w:before="41"/>
              <w:ind w:right="99"/>
              <w:jc w:val="right"/>
              <w:rPr>
                <w:sz w:val="20"/>
              </w:rPr>
            </w:pPr>
            <w:r>
              <w:rPr>
                <w:color w:val="231F20"/>
                <w:sz w:val="20"/>
              </w:rPr>
              <w:t>—</w:t>
              <w:tab/>
              <w:t>—</w:t>
            </w:r>
          </w:p>
        </w:tc>
        <w:tc>
          <w:tcPr>
            <w:tcW w:w="200" w:type="dxa"/>
            <w:shd w:val="clear" w:color="auto" w:fill="CCECFC"/>
          </w:tcPr>
          <w:p>
            <w:pPr/>
          </w:p>
        </w:tc>
        <w:tc>
          <w:tcPr>
            <w:tcW w:w="1145" w:type="dxa"/>
            <w:shd w:val="clear" w:color="auto" w:fill="CCECFC"/>
          </w:tcPr>
          <w:p>
            <w:pPr>
              <w:pStyle w:val="TableParagraph"/>
              <w:spacing w:before="41"/>
              <w:jc w:val="right"/>
              <w:rPr>
                <w:sz w:val="20"/>
              </w:rPr>
            </w:pPr>
            <w:r>
              <w:rPr>
                <w:color w:val="231F20"/>
                <w:sz w:val="20"/>
              </w:rPr>
              <w:t>(21)</w:t>
            </w:r>
          </w:p>
        </w:tc>
      </w:tr>
      <w:tr>
        <w:trPr>
          <w:trHeight w:val="531" w:hRule="exact"/>
        </w:trPr>
        <w:tc>
          <w:tcPr>
            <w:tcW w:w="2508" w:type="dxa"/>
          </w:tcPr>
          <w:p>
            <w:pPr>
              <w:pStyle w:val="TableParagraph"/>
              <w:spacing w:before="41"/>
              <w:ind w:left="280" w:right="531" w:hanging="200"/>
              <w:rPr>
                <w:sz w:val="20"/>
              </w:rPr>
            </w:pPr>
            <w:r>
              <w:rPr>
                <w:color w:val="231F20"/>
                <w:sz w:val="20"/>
              </w:rPr>
              <w:t>Interest rate derivatives (see Note 10)</w:t>
            </w:r>
          </w:p>
        </w:tc>
        <w:tc>
          <w:tcPr>
            <w:tcW w:w="1817" w:type="dxa"/>
            <w:tcBorders>
              <w:bottom w:val="single" w:sz="4" w:space="0" w:color="231F20"/>
            </w:tcBorders>
          </w:tcPr>
          <w:p>
            <w:pPr>
              <w:pStyle w:val="TableParagraph"/>
              <w:spacing w:before="4"/>
              <w:rPr>
                <w:sz w:val="23"/>
              </w:rPr>
            </w:pPr>
          </w:p>
          <w:p>
            <w:pPr>
              <w:pStyle w:val="TableParagraph"/>
              <w:spacing w:before="1"/>
              <w:jc w:val="right"/>
              <w:rPr>
                <w:sz w:val="20"/>
              </w:rPr>
            </w:pPr>
            <w:r>
              <w:rPr>
                <w:color w:val="231F20"/>
                <w:sz w:val="20"/>
              </w:rPr>
              <w:t>(77)</w:t>
            </w:r>
          </w:p>
        </w:tc>
        <w:tc>
          <w:tcPr>
            <w:tcW w:w="240" w:type="dxa"/>
          </w:tcPr>
          <w:p>
            <w:pPr/>
          </w:p>
        </w:tc>
        <w:tc>
          <w:tcPr>
            <w:tcW w:w="3210" w:type="dxa"/>
            <w:tcBorders>
              <w:bottom w:val="single" w:sz="4" w:space="0" w:color="231F20"/>
            </w:tcBorders>
          </w:tcPr>
          <w:p>
            <w:pPr>
              <w:pStyle w:val="TableParagraph"/>
              <w:spacing w:before="4"/>
              <w:rPr>
                <w:sz w:val="23"/>
              </w:rPr>
            </w:pPr>
          </w:p>
          <w:p>
            <w:pPr>
              <w:pStyle w:val="TableParagraph"/>
              <w:tabs>
                <w:tab w:pos="1594" w:val="left" w:leader="none"/>
              </w:tabs>
              <w:spacing w:before="1"/>
              <w:jc w:val="right"/>
              <w:rPr>
                <w:sz w:val="20"/>
              </w:rPr>
            </w:pPr>
            <w:r>
              <w:rPr>
                <w:color w:val="231F20"/>
                <w:sz w:val="20"/>
              </w:rPr>
              <w:t>—</w:t>
              <w:tab/>
              <w:t>(77)</w:t>
            </w:r>
          </w:p>
        </w:tc>
        <w:tc>
          <w:tcPr>
            <w:tcW w:w="200" w:type="dxa"/>
          </w:tcPr>
          <w:p>
            <w:pPr/>
          </w:p>
        </w:tc>
        <w:tc>
          <w:tcPr>
            <w:tcW w:w="1145" w:type="dxa"/>
            <w:tcBorders>
              <w:bottom w:val="single" w:sz="4" w:space="0" w:color="231F20"/>
            </w:tcBorders>
          </w:tcPr>
          <w:p>
            <w:pPr>
              <w:pStyle w:val="TableParagraph"/>
              <w:spacing w:before="4"/>
              <w:rPr>
                <w:sz w:val="23"/>
              </w:rPr>
            </w:pPr>
          </w:p>
          <w:p>
            <w:pPr>
              <w:pStyle w:val="TableParagraph"/>
              <w:spacing w:before="1"/>
              <w:ind w:right="99"/>
              <w:jc w:val="right"/>
              <w:rPr>
                <w:sz w:val="20"/>
              </w:rPr>
            </w:pPr>
            <w:r>
              <w:rPr>
                <w:color w:val="231F20"/>
                <w:sz w:val="20"/>
              </w:rPr>
              <w:t>—</w:t>
            </w:r>
          </w:p>
        </w:tc>
      </w:tr>
      <w:tr>
        <w:trPr>
          <w:trHeight w:val="348" w:hRule="exact"/>
        </w:trPr>
        <w:tc>
          <w:tcPr>
            <w:tcW w:w="2508" w:type="dxa"/>
            <w:shd w:val="clear" w:color="auto" w:fill="CCECFC"/>
          </w:tcPr>
          <w:p>
            <w:pPr>
              <w:pStyle w:val="TableParagraph"/>
              <w:spacing w:before="41"/>
              <w:ind w:left="80"/>
              <w:rPr>
                <w:b/>
                <w:sz w:val="20"/>
              </w:rPr>
            </w:pPr>
            <w:r>
              <w:rPr>
                <w:b/>
                <w:color w:val="231F20"/>
                <w:sz w:val="20"/>
              </w:rPr>
              <w:t>Total liabilities</w:t>
            </w:r>
          </w:p>
        </w:tc>
        <w:tc>
          <w:tcPr>
            <w:tcW w:w="1817" w:type="dxa"/>
            <w:tcBorders>
              <w:top w:val="single" w:sz="4" w:space="0" w:color="231F20"/>
              <w:bottom w:val="single" w:sz="4" w:space="0" w:color="231F20"/>
            </w:tcBorders>
            <w:shd w:val="clear" w:color="auto" w:fill="CCECFC"/>
          </w:tcPr>
          <w:p>
            <w:pPr>
              <w:pStyle w:val="TableParagraph"/>
              <w:tabs>
                <w:tab w:pos="1382" w:val="left" w:leader="none"/>
              </w:tabs>
              <w:spacing w:before="41"/>
              <w:jc w:val="right"/>
              <w:rPr>
                <w:sz w:val="20"/>
              </w:rPr>
            </w:pPr>
            <w:r>
              <w:rPr>
                <w:color w:val="231F20"/>
                <w:sz w:val="20"/>
              </w:rPr>
              <w:t>$</w:t>
              <w:tab/>
              <w:t>(380)</w:t>
            </w:r>
          </w:p>
        </w:tc>
        <w:tc>
          <w:tcPr>
            <w:tcW w:w="240" w:type="dxa"/>
            <w:shd w:val="clear" w:color="auto" w:fill="CCECFC"/>
          </w:tcPr>
          <w:p>
            <w:pPr/>
          </w:p>
        </w:tc>
        <w:tc>
          <w:tcPr>
            <w:tcW w:w="3210" w:type="dxa"/>
            <w:tcBorders>
              <w:top w:val="single" w:sz="4" w:space="0" w:color="231F20"/>
              <w:bottom w:val="single" w:sz="4" w:space="0" w:color="231F20"/>
            </w:tcBorders>
            <w:shd w:val="clear" w:color="auto" w:fill="CCECFC"/>
          </w:tcPr>
          <w:p>
            <w:pPr>
              <w:pStyle w:val="TableParagraph"/>
              <w:tabs>
                <w:tab w:pos="1280" w:val="left" w:leader="none"/>
                <w:tab w:pos="1780" w:val="left" w:leader="none"/>
                <w:tab w:pos="2875" w:val="left" w:leader="none"/>
              </w:tabs>
              <w:spacing w:before="41"/>
              <w:jc w:val="right"/>
              <w:rPr>
                <w:sz w:val="20"/>
              </w:rPr>
            </w:pPr>
            <w:r>
              <w:rPr>
                <w:color w:val="231F20"/>
                <w:sz w:val="20"/>
              </w:rPr>
              <w:t>$</w:t>
              <w:tab/>
              <w:t>—</w:t>
              <w:tab/>
              <w:t>$</w:t>
              <w:tab/>
              <w:t>(85)</w:t>
            </w:r>
          </w:p>
        </w:tc>
        <w:tc>
          <w:tcPr>
            <w:tcW w:w="200" w:type="dxa"/>
            <w:shd w:val="clear" w:color="auto" w:fill="CCECFC"/>
          </w:tcPr>
          <w:p>
            <w:pPr/>
          </w:p>
        </w:tc>
        <w:tc>
          <w:tcPr>
            <w:tcW w:w="1145" w:type="dxa"/>
            <w:tcBorders>
              <w:top w:val="single" w:sz="4" w:space="0" w:color="231F20"/>
              <w:bottom w:val="single" w:sz="4" w:space="0" w:color="231F20"/>
            </w:tcBorders>
            <w:shd w:val="clear" w:color="auto" w:fill="CCECFC"/>
          </w:tcPr>
          <w:p>
            <w:pPr>
              <w:pStyle w:val="TableParagraph"/>
              <w:tabs>
                <w:tab w:pos="710" w:val="left" w:leader="none"/>
              </w:tabs>
              <w:spacing w:before="36"/>
              <w:rPr>
                <w:sz w:val="20"/>
              </w:rPr>
            </w:pPr>
            <w:r>
              <w:rPr>
                <w:color w:val="231F20"/>
                <w:sz w:val="20"/>
              </w:rPr>
              <w:t>$</w:t>
              <w:tab/>
              <w:t>(295)</w:t>
            </w:r>
          </w:p>
        </w:tc>
      </w:tr>
    </w:tbl>
    <w:p>
      <w:pPr>
        <w:pStyle w:val="BodyText"/>
        <w:rPr>
          <w:sz w:val="25"/>
        </w:rPr>
      </w:pPr>
    </w:p>
    <w:p>
      <w:pPr>
        <w:pStyle w:val="ListParagraph"/>
        <w:numPr>
          <w:ilvl w:val="0"/>
          <w:numId w:val="19"/>
        </w:numPr>
        <w:tabs>
          <w:tab w:pos="393" w:val="left" w:leader="none"/>
        </w:tabs>
        <w:spacing w:line="240" w:lineRule="auto" w:before="1" w:after="0"/>
        <w:ind w:left="393" w:right="0" w:hanging="273"/>
        <w:jc w:val="left"/>
        <w:rPr>
          <w:sz w:val="20"/>
        </w:rPr>
      </w:pPr>
      <w:r>
        <w:rPr/>
        <w:pict>
          <v:line style="position:absolute;mso-position-horizontal-relative:page;mso-position-vertical-relative:paragraph;z-index:-403432" from="297.25pt,-32.264069pt" to="376.3pt,-32.264069pt" stroked="true" strokeweight=".5pt" strokecolor="#231f20">
            <v:stroke dashstyle="solid"/>
            <w10:wrap type="none"/>
          </v:line>
        </w:pict>
      </w:r>
      <w:r>
        <w:rPr/>
        <w:pict>
          <v:line style="position:absolute;mso-position-horizontal-relative:page;mso-position-vertical-relative:paragraph;z-index:-403408" from="194.399994pt,-16.864069pt" to="285.249994pt,-16.864069pt" stroked="true" strokeweight=".5pt" strokecolor="#231f20">
            <v:stroke dashstyle="solid"/>
            <w10:wrap type="none"/>
          </v:line>
        </w:pict>
      </w:r>
      <w:r>
        <w:rPr/>
        <w:pict>
          <v:group style="position:absolute;margin-left:297pt;margin-top:-17.114069pt;width:79.55pt;height:2.5pt;mso-position-horizontal-relative:page;mso-position-vertical-relative:paragraph;z-index:-403384" coordorigin="5940,-342" coordsize="1591,50">
            <v:line style="position:absolute" from="5945,-337" to="7526,-337" stroked="true" strokeweight=".5pt" strokecolor="#231f20">
              <v:stroke dashstyle="solid"/>
            </v:line>
            <v:line style="position:absolute" from="5945,-297" to="7526,-297" stroked="true" strokeweight=".5pt" strokecolor="#231f20">
              <v:stroke dashstyle="solid"/>
            </v:line>
            <w10:wrap type="none"/>
          </v:group>
        </w:pict>
      </w:r>
      <w:r>
        <w:rPr/>
        <w:pict>
          <v:line style="position:absolute;mso-position-horizontal-relative:page;mso-position-vertical-relative:paragraph;z-index:-403360" from="386.299988pt,-16.864069pt" to="457.749988pt,-16.864069pt" stroked="true" strokeweight=".5pt" strokecolor="#231f20">
            <v:stroke dashstyle="solid"/>
            <w10:wrap type="none"/>
          </v:line>
        </w:pict>
      </w: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19"/>
        </w:numPr>
        <w:tabs>
          <w:tab w:pos="404" w:val="left" w:leader="none"/>
        </w:tabs>
        <w:spacing w:line="240" w:lineRule="auto" w:before="50" w:after="0"/>
        <w:ind w:left="404" w:right="0" w:hanging="284"/>
        <w:jc w:val="left"/>
        <w:rPr>
          <w:sz w:val="20"/>
        </w:rPr>
      </w:pPr>
      <w:r>
        <w:rPr>
          <w:color w:val="231F20"/>
          <w:sz w:val="20"/>
        </w:rPr>
        <w:t>Noncurrent investments are included in Other assets in the Consolidated Balance</w:t>
      </w:r>
      <w:r>
        <w:rPr>
          <w:color w:val="231F20"/>
          <w:spacing w:val="6"/>
          <w:sz w:val="20"/>
        </w:rPr>
        <w:t> </w:t>
      </w:r>
      <w:r>
        <w:rPr>
          <w:color w:val="231F20"/>
          <w:sz w:val="20"/>
        </w:rPr>
        <w:t>Sheet.</w:t>
      </w:r>
    </w:p>
    <w:p>
      <w:pPr>
        <w:pStyle w:val="ListParagraph"/>
        <w:numPr>
          <w:ilvl w:val="0"/>
          <w:numId w:val="19"/>
        </w:numPr>
        <w:tabs>
          <w:tab w:pos="393" w:val="left" w:leader="none"/>
        </w:tabs>
        <w:spacing w:line="240" w:lineRule="auto" w:before="50" w:after="0"/>
        <w:ind w:left="393" w:right="0" w:hanging="273"/>
        <w:jc w:val="left"/>
        <w:rPr>
          <w:sz w:val="20"/>
        </w:rPr>
      </w:pPr>
      <w:r>
        <w:rPr>
          <w:color w:val="231F20"/>
          <w:sz w:val="20"/>
        </w:rPr>
        <w:t>In the Consolidated Balance Sheet amounts are presented as a net asset. See Note</w:t>
      </w:r>
      <w:r>
        <w:rPr>
          <w:color w:val="231F20"/>
          <w:spacing w:val="4"/>
          <w:sz w:val="20"/>
        </w:rPr>
        <w:t> </w:t>
      </w:r>
      <w:r>
        <w:rPr>
          <w:color w:val="231F20"/>
          <w:sz w:val="20"/>
        </w:rPr>
        <w:t>10.</w:t>
      </w:r>
    </w:p>
    <w:p>
      <w:pPr>
        <w:pStyle w:val="ListParagraph"/>
        <w:numPr>
          <w:ilvl w:val="0"/>
          <w:numId w:val="19"/>
        </w:numPr>
        <w:tabs>
          <w:tab w:pos="404" w:val="left" w:leader="none"/>
        </w:tabs>
        <w:spacing w:line="240" w:lineRule="auto" w:before="50" w:after="0"/>
        <w:ind w:left="404" w:right="0" w:hanging="284"/>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pStyle w:val="BodyText"/>
        <w:spacing w:before="9"/>
        <w:rPr>
          <w:sz w:val="21"/>
        </w:rPr>
      </w:pPr>
    </w:p>
    <w:p>
      <w:pPr>
        <w:pStyle w:val="BodyText"/>
        <w:spacing w:line="247" w:lineRule="auto"/>
        <w:ind w:left="120" w:right="117" w:firstLine="720"/>
      </w:pPr>
      <w:r>
        <w:rPr>
          <w:color w:val="231F20"/>
        </w:rPr>
        <w:t>The Company had no transfers of assets or liabilities between any of the above levels during the</w:t>
      </w:r>
      <w:r>
        <w:rPr>
          <w:color w:val="231F20"/>
          <w:spacing w:val="42"/>
        </w:rPr>
        <w:t> </w:t>
      </w:r>
      <w:r>
        <w:rPr>
          <w:color w:val="231F20"/>
        </w:rPr>
        <w:t>years</w:t>
      </w:r>
      <w:r>
        <w:rPr>
          <w:color w:val="231F20"/>
          <w:spacing w:val="42"/>
        </w:rPr>
        <w:t> </w:t>
      </w:r>
      <w:r>
        <w:rPr>
          <w:color w:val="231F20"/>
        </w:rPr>
        <w:t>ended</w:t>
      </w:r>
      <w:r>
        <w:rPr>
          <w:color w:val="231F20"/>
          <w:spacing w:val="42"/>
        </w:rPr>
        <w:t> </w:t>
      </w:r>
      <w:r>
        <w:rPr>
          <w:color w:val="231F20"/>
        </w:rPr>
        <w:t>December</w:t>
      </w:r>
      <w:r>
        <w:rPr>
          <w:color w:val="231F20"/>
          <w:spacing w:val="43"/>
        </w:rPr>
        <w:t> </w:t>
      </w:r>
      <w:r>
        <w:rPr>
          <w:color w:val="231F20"/>
        </w:rPr>
        <w:t>31,</w:t>
      </w:r>
      <w:r>
        <w:rPr>
          <w:color w:val="231F20"/>
          <w:spacing w:val="42"/>
        </w:rPr>
        <w:t> </w:t>
      </w:r>
      <w:r>
        <w:rPr>
          <w:color w:val="231F20"/>
        </w:rPr>
        <w:t>2014</w:t>
      </w:r>
      <w:r>
        <w:rPr>
          <w:color w:val="231F20"/>
          <w:spacing w:val="42"/>
        </w:rPr>
        <w:t> </w:t>
      </w:r>
      <w:r>
        <w:rPr>
          <w:color w:val="231F20"/>
        </w:rPr>
        <w:t>or</w:t>
      </w:r>
      <w:r>
        <w:rPr>
          <w:color w:val="231F20"/>
          <w:spacing w:val="41"/>
        </w:rPr>
        <w:t> </w:t>
      </w:r>
      <w:r>
        <w:rPr>
          <w:color w:val="231F20"/>
        </w:rPr>
        <w:t>2013.</w:t>
      </w:r>
      <w:r>
        <w:rPr>
          <w:color w:val="231F20"/>
          <w:spacing w:val="42"/>
        </w:rPr>
        <w:t> </w:t>
      </w:r>
      <w:r>
        <w:rPr>
          <w:color w:val="231F20"/>
        </w:rPr>
        <w:t>The</w:t>
      </w:r>
      <w:r>
        <w:rPr>
          <w:color w:val="231F20"/>
          <w:spacing w:val="41"/>
        </w:rPr>
        <w:t> </w:t>
      </w:r>
      <w:r>
        <w:rPr>
          <w:color w:val="231F20"/>
        </w:rPr>
        <w:t>Company</w:t>
      </w:r>
      <w:r>
        <w:rPr>
          <w:color w:val="231F20"/>
          <w:spacing w:val="42"/>
        </w:rPr>
        <w:t> </w:t>
      </w:r>
      <w:r>
        <w:rPr>
          <w:color w:val="231F20"/>
        </w:rPr>
        <w:t>did</w:t>
      </w:r>
      <w:r>
        <w:rPr>
          <w:color w:val="231F20"/>
          <w:spacing w:val="41"/>
        </w:rPr>
        <w:t> </w:t>
      </w:r>
      <w:r>
        <w:rPr>
          <w:color w:val="231F20"/>
        </w:rPr>
        <w:t>not</w:t>
      </w:r>
      <w:r>
        <w:rPr>
          <w:color w:val="231F20"/>
          <w:spacing w:val="41"/>
        </w:rPr>
        <w:t> </w:t>
      </w:r>
      <w:r>
        <w:rPr>
          <w:color w:val="231F20"/>
        </w:rPr>
        <w:t>have</w:t>
      </w:r>
      <w:r>
        <w:rPr>
          <w:color w:val="231F20"/>
          <w:spacing w:val="42"/>
        </w:rPr>
        <w:t> </w:t>
      </w:r>
      <w:r>
        <w:rPr>
          <w:color w:val="231F20"/>
        </w:rPr>
        <w:t>any</w:t>
      </w:r>
      <w:r>
        <w:rPr>
          <w:color w:val="231F20"/>
          <w:spacing w:val="42"/>
        </w:rPr>
        <w:t> </w:t>
      </w:r>
      <w:r>
        <w:rPr>
          <w:color w:val="231F20"/>
        </w:rPr>
        <w:t>assets</w:t>
      </w:r>
      <w:r>
        <w:rPr>
          <w:color w:val="231F20"/>
          <w:spacing w:val="43"/>
        </w:rPr>
        <w:t> </w:t>
      </w:r>
      <w:r>
        <w:rPr>
          <w:color w:val="231F20"/>
        </w:rPr>
        <w:t>or</w:t>
      </w:r>
      <w:r>
        <w:rPr>
          <w:color w:val="231F20"/>
          <w:spacing w:val="40"/>
        </w:rPr>
        <w:t> </w:t>
      </w:r>
      <w:r>
        <w:rPr>
          <w:color w:val="231F20"/>
        </w:rPr>
        <w:t>liabilities</w:t>
      </w:r>
    </w:p>
    <w:p>
      <w:pPr>
        <w:spacing w:after="0" w:line="247" w:lineRule="auto"/>
        <w:sectPr>
          <w:type w:val="continuous"/>
          <w:pgSz w:w="11880" w:h="15480"/>
          <w:pgMar w:top="1260" w:bottom="280" w:left="1260" w:right="1260"/>
        </w:sectPr>
      </w:pPr>
    </w:p>
    <w:p>
      <w:pPr>
        <w:pStyle w:val="BodyText"/>
        <w:spacing w:line="247" w:lineRule="auto" w:before="74"/>
        <w:ind w:left="120" w:right="118"/>
        <w:jc w:val="both"/>
      </w:pPr>
      <w:r>
        <w:rPr>
          <w:color w:val="231F20"/>
        </w:rPr>
        <w:t>measured at fair value on a nonrecurring basis as of December 31, 2014 or 2013. The following tables present the Company’s activity for items measured at fair value on a recurring basis using significant unobservable inputs (Level 3) for 2014 and 2013:</w:t>
      </w:r>
    </w:p>
    <w:p>
      <w:pPr>
        <w:pStyle w:val="BodyText"/>
        <w:rPr>
          <w:sz w:val="12"/>
        </w:rPr>
      </w:pPr>
    </w:p>
    <w:p>
      <w:pPr>
        <w:spacing w:line="249" w:lineRule="auto" w:before="99" w:after="17"/>
        <w:ind w:left="5368" w:right="909" w:hanging="537"/>
        <w:jc w:val="left"/>
        <w:rPr>
          <w:b/>
          <w:sz w:val="20"/>
        </w:rPr>
      </w:pPr>
      <w:r>
        <w:rPr/>
        <w:pict>
          <v:line style="position:absolute;mso-position-horizontal-relative:page;mso-position-vertical-relative:paragraph;z-index:-403000" from="69pt,58.035938pt" to="118.9pt,58.035938pt" stroked="true" strokeweight=".5pt" strokecolor="#231f20">
            <v:stroke dashstyle="solid"/>
            <w10:wrap type="none"/>
          </v:line>
        </w:pict>
      </w:r>
      <w:r>
        <w:rPr>
          <w:b/>
          <w:color w:val="231F20"/>
          <w:sz w:val="20"/>
        </w:rPr>
        <w:t>Fair value measurements using significant unobservable inputs (Level 3)</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07"/>
        <w:gridCol w:w="1100"/>
        <w:gridCol w:w="256"/>
        <w:gridCol w:w="64"/>
        <w:gridCol w:w="1073"/>
        <w:gridCol w:w="258"/>
        <w:gridCol w:w="62"/>
        <w:gridCol w:w="1100"/>
        <w:gridCol w:w="200"/>
        <w:gridCol w:w="1100"/>
      </w:tblGrid>
      <w:tr>
        <w:trPr>
          <w:trHeight w:val="560" w:hRule="exact"/>
        </w:trPr>
        <w:tc>
          <w:tcPr>
            <w:tcW w:w="5007" w:type="dxa"/>
            <w:gridSpan w:val="2"/>
          </w:tcPr>
          <w:p>
            <w:pPr>
              <w:pStyle w:val="TableParagraph"/>
              <w:spacing w:before="63"/>
              <w:ind w:right="359"/>
              <w:jc w:val="right"/>
              <w:rPr>
                <w:b/>
                <w:sz w:val="20"/>
              </w:rPr>
            </w:pPr>
            <w:r>
              <w:rPr>
                <w:b/>
                <w:color w:val="231F20"/>
                <w:sz w:val="20"/>
              </w:rPr>
              <w:t>Fuel</w:t>
            </w:r>
          </w:p>
          <w:p>
            <w:pPr>
              <w:pStyle w:val="TableParagraph"/>
              <w:tabs>
                <w:tab w:pos="3988" w:val="left" w:leader="none"/>
              </w:tabs>
              <w:spacing w:before="9"/>
              <w:rPr>
                <w:b/>
                <w:sz w:val="20"/>
              </w:rPr>
            </w:pPr>
            <w:r>
              <w:rPr>
                <w:color w:val="231F20"/>
                <w:sz w:val="20"/>
              </w:rPr>
              <w:t>(in millions)</w:t>
              <w:tab/>
            </w:r>
            <w:r>
              <w:rPr>
                <w:b/>
                <w:color w:val="231F20"/>
                <w:sz w:val="20"/>
              </w:rPr>
              <w:t>derivatives</w:t>
            </w:r>
          </w:p>
        </w:tc>
        <w:tc>
          <w:tcPr>
            <w:tcW w:w="320" w:type="dxa"/>
            <w:gridSpan w:val="2"/>
            <w:tcBorders>
              <w:top w:val="single" w:sz="8" w:space="0" w:color="231F20"/>
            </w:tcBorders>
          </w:tcPr>
          <w:p>
            <w:pPr/>
          </w:p>
        </w:tc>
        <w:tc>
          <w:tcPr>
            <w:tcW w:w="1073" w:type="dxa"/>
            <w:tcBorders>
              <w:top w:val="single" w:sz="8" w:space="0" w:color="231F20"/>
              <w:bottom w:val="single" w:sz="8" w:space="0" w:color="231F20"/>
            </w:tcBorders>
          </w:tcPr>
          <w:p>
            <w:pPr>
              <w:pStyle w:val="TableParagraph"/>
              <w:spacing w:line="249" w:lineRule="auto"/>
              <w:ind w:left="135" w:right="-19" w:hanging="135"/>
              <w:rPr>
                <w:b/>
                <w:sz w:val="20"/>
              </w:rPr>
            </w:pPr>
            <w:r>
              <w:rPr>
                <w:b/>
                <w:color w:val="231F20"/>
                <w:sz w:val="20"/>
              </w:rPr>
              <w:t>Auction rate</w:t>
            </w:r>
            <w:r>
              <w:rPr>
                <w:b/>
                <w:color w:val="231F20"/>
                <w:w w:val="100"/>
                <w:sz w:val="20"/>
              </w:rPr>
              <w:t> </w:t>
            </w:r>
            <w:r>
              <w:rPr>
                <w:b/>
                <w:color w:val="231F20"/>
                <w:sz w:val="20"/>
              </w:rPr>
              <w:t>securities</w:t>
            </w:r>
          </w:p>
        </w:tc>
        <w:tc>
          <w:tcPr>
            <w:tcW w:w="320" w:type="dxa"/>
            <w:gridSpan w:val="2"/>
            <w:tcBorders>
              <w:top w:val="single" w:sz="8" w:space="0" w:color="231F20"/>
            </w:tcBorders>
          </w:tcPr>
          <w:p>
            <w:pPr/>
          </w:p>
        </w:tc>
        <w:tc>
          <w:tcPr>
            <w:tcW w:w="1100" w:type="dxa"/>
            <w:tcBorders>
              <w:top w:val="single" w:sz="8" w:space="0" w:color="231F20"/>
              <w:bottom w:val="single" w:sz="8" w:space="0" w:color="231F20"/>
            </w:tcBorders>
          </w:tcPr>
          <w:p>
            <w:pPr>
              <w:pStyle w:val="TableParagraph"/>
              <w:spacing w:line="249" w:lineRule="auto"/>
              <w:ind w:left="148" w:right="132" w:firstLine="145"/>
              <w:rPr>
                <w:b/>
                <w:sz w:val="20"/>
              </w:rPr>
            </w:pPr>
            <w:r>
              <w:rPr>
                <w:b/>
                <w:color w:val="231F20"/>
                <w:sz w:val="20"/>
              </w:rPr>
              <w:t>Other securities</w:t>
            </w:r>
          </w:p>
        </w:tc>
        <w:tc>
          <w:tcPr>
            <w:tcW w:w="200" w:type="dxa"/>
            <w:tcBorders>
              <w:top w:val="single" w:sz="8" w:space="0" w:color="231F20"/>
            </w:tcBorders>
          </w:tcPr>
          <w:p>
            <w:pPr/>
          </w:p>
        </w:tc>
        <w:tc>
          <w:tcPr>
            <w:tcW w:w="1100" w:type="dxa"/>
            <w:tcBorders>
              <w:top w:val="single" w:sz="8" w:space="0" w:color="231F20"/>
              <w:bottom w:val="single" w:sz="8" w:space="0" w:color="231F20"/>
            </w:tcBorders>
          </w:tcPr>
          <w:p>
            <w:pPr>
              <w:pStyle w:val="TableParagraph"/>
              <w:spacing w:before="5"/>
              <w:rPr>
                <w:b/>
                <w:sz w:val="25"/>
              </w:rPr>
            </w:pPr>
          </w:p>
          <w:p>
            <w:pPr>
              <w:pStyle w:val="TableParagraph"/>
              <w:spacing w:before="1"/>
              <w:ind w:left="322"/>
              <w:rPr>
                <w:b/>
                <w:sz w:val="20"/>
              </w:rPr>
            </w:pPr>
            <w:r>
              <w:rPr>
                <w:b/>
                <w:color w:val="231F20"/>
                <w:sz w:val="20"/>
              </w:rPr>
              <w:t>Total</w:t>
            </w:r>
          </w:p>
        </w:tc>
      </w:tr>
      <w:tr>
        <w:trPr>
          <w:trHeight w:val="298" w:hRule="exact"/>
        </w:trPr>
        <w:tc>
          <w:tcPr>
            <w:tcW w:w="5007" w:type="dxa"/>
            <w:gridSpan w:val="2"/>
            <w:shd w:val="clear" w:color="auto" w:fill="CCECFC"/>
          </w:tcPr>
          <w:p>
            <w:pPr>
              <w:pStyle w:val="TableParagraph"/>
              <w:tabs>
                <w:tab w:pos="3906" w:val="left" w:leader="none"/>
                <w:tab w:pos="4906" w:val="right" w:leader="none"/>
              </w:tabs>
              <w:spacing w:before="51"/>
              <w:ind w:left="80"/>
              <w:rPr>
                <w:sz w:val="20"/>
              </w:rPr>
            </w:pPr>
            <w:r>
              <w:rPr>
                <w:color w:val="231F20"/>
                <w:sz w:val="20"/>
              </w:rPr>
              <w:t>Balance at December</w:t>
            </w:r>
            <w:r>
              <w:rPr>
                <w:color w:val="231F20"/>
                <w:spacing w:val="1"/>
                <w:sz w:val="20"/>
              </w:rPr>
              <w:t> </w:t>
            </w:r>
            <w:r>
              <w:rPr>
                <w:color w:val="231F20"/>
                <w:sz w:val="20"/>
              </w:rPr>
              <w:t>31, 2013</w:t>
              <w:tab/>
              <w:t>$</w:t>
              <w:tab/>
              <w:t>172</w:t>
            </w:r>
          </w:p>
        </w:tc>
        <w:tc>
          <w:tcPr>
            <w:tcW w:w="320" w:type="dxa"/>
            <w:gridSpan w:val="2"/>
            <w:shd w:val="clear" w:color="auto" w:fill="CCECFC"/>
          </w:tcPr>
          <w:p>
            <w:pPr/>
          </w:p>
        </w:tc>
        <w:tc>
          <w:tcPr>
            <w:tcW w:w="1073" w:type="dxa"/>
            <w:tcBorders>
              <w:top w:val="single" w:sz="8" w:space="0" w:color="231F20"/>
            </w:tcBorders>
            <w:shd w:val="clear" w:color="auto" w:fill="CCECFC"/>
          </w:tcPr>
          <w:p>
            <w:pPr>
              <w:pStyle w:val="TableParagraph"/>
              <w:tabs>
                <w:tab w:pos="772" w:val="left" w:leader="none"/>
              </w:tabs>
              <w:spacing w:before="41"/>
              <w:ind w:right="97"/>
              <w:jc w:val="right"/>
              <w:rPr>
                <w:sz w:val="20"/>
              </w:rPr>
            </w:pPr>
            <w:r>
              <w:rPr>
                <w:color w:val="231F20"/>
                <w:sz w:val="20"/>
              </w:rPr>
              <w:t>$</w:t>
              <w:tab/>
              <w:t>39</w:t>
            </w:r>
          </w:p>
        </w:tc>
        <w:tc>
          <w:tcPr>
            <w:tcW w:w="320" w:type="dxa"/>
            <w:gridSpan w:val="2"/>
            <w:shd w:val="clear" w:color="auto" w:fill="CCECFC"/>
          </w:tcPr>
          <w:p>
            <w:pPr/>
          </w:p>
        </w:tc>
        <w:tc>
          <w:tcPr>
            <w:tcW w:w="1100" w:type="dxa"/>
            <w:tcBorders>
              <w:top w:val="single" w:sz="8" w:space="0" w:color="231F20"/>
            </w:tcBorders>
            <w:shd w:val="clear" w:color="auto" w:fill="CCECFC"/>
          </w:tcPr>
          <w:p>
            <w:pPr>
              <w:pStyle w:val="TableParagraph"/>
              <w:tabs>
                <w:tab w:pos="899" w:val="left" w:leader="none"/>
              </w:tabs>
              <w:spacing w:before="41"/>
              <w:ind w:right="97"/>
              <w:jc w:val="right"/>
              <w:rPr>
                <w:sz w:val="20"/>
              </w:rPr>
            </w:pPr>
            <w:r>
              <w:rPr>
                <w:color w:val="231F20"/>
                <w:sz w:val="20"/>
              </w:rPr>
              <w:t>$</w:t>
              <w:tab/>
              <w:t>5</w:t>
            </w:r>
          </w:p>
        </w:tc>
        <w:tc>
          <w:tcPr>
            <w:tcW w:w="200" w:type="dxa"/>
            <w:shd w:val="clear" w:color="auto" w:fill="CCECFC"/>
          </w:tcPr>
          <w:p>
            <w:pPr/>
          </w:p>
        </w:tc>
        <w:tc>
          <w:tcPr>
            <w:tcW w:w="1100" w:type="dxa"/>
            <w:tcBorders>
              <w:top w:val="single" w:sz="8" w:space="0" w:color="231F20"/>
            </w:tcBorders>
            <w:shd w:val="clear" w:color="auto" w:fill="CCECFC"/>
          </w:tcPr>
          <w:p>
            <w:pPr>
              <w:pStyle w:val="TableParagraph"/>
              <w:tabs>
                <w:tab w:pos="699" w:val="left" w:leader="none"/>
              </w:tabs>
              <w:spacing w:before="41"/>
              <w:ind w:right="97"/>
              <w:jc w:val="right"/>
              <w:rPr>
                <w:sz w:val="20"/>
              </w:rPr>
            </w:pPr>
            <w:r>
              <w:rPr>
                <w:color w:val="231F20"/>
                <w:sz w:val="20"/>
              </w:rPr>
              <w:t>$</w:t>
              <w:tab/>
              <w:t>216</w:t>
            </w:r>
          </w:p>
        </w:tc>
      </w:tr>
      <w:tr>
        <w:trPr>
          <w:trHeight w:val="288" w:hRule="exact"/>
        </w:trPr>
        <w:tc>
          <w:tcPr>
            <w:tcW w:w="5007" w:type="dxa"/>
            <w:gridSpan w:val="2"/>
          </w:tcPr>
          <w:p>
            <w:pPr>
              <w:pStyle w:val="TableParagraph"/>
              <w:spacing w:before="41"/>
              <w:ind w:left="80"/>
              <w:rPr>
                <w:sz w:val="20"/>
              </w:rPr>
            </w:pPr>
            <w:r>
              <w:rPr>
                <w:color w:val="231F20"/>
                <w:sz w:val="20"/>
              </w:rPr>
              <w:t>Total gains or (losses) (realized or unrealized)</w:t>
            </w:r>
          </w:p>
        </w:tc>
        <w:tc>
          <w:tcPr>
            <w:tcW w:w="320" w:type="dxa"/>
            <w:gridSpan w:val="2"/>
          </w:tcPr>
          <w:p>
            <w:pPr/>
          </w:p>
        </w:tc>
        <w:tc>
          <w:tcPr>
            <w:tcW w:w="1073" w:type="dxa"/>
          </w:tcPr>
          <w:p>
            <w:pPr/>
          </w:p>
        </w:tc>
        <w:tc>
          <w:tcPr>
            <w:tcW w:w="320" w:type="dxa"/>
            <w:gridSpan w:val="2"/>
          </w:tcPr>
          <w:p>
            <w:pPr/>
          </w:p>
        </w:tc>
        <w:tc>
          <w:tcPr>
            <w:tcW w:w="1100" w:type="dxa"/>
          </w:tcPr>
          <w:p>
            <w:pPr/>
          </w:p>
        </w:tc>
        <w:tc>
          <w:tcPr>
            <w:tcW w:w="200" w:type="dxa"/>
          </w:tcPr>
          <w:p>
            <w:pPr/>
          </w:p>
        </w:tc>
        <w:tc>
          <w:tcPr>
            <w:tcW w:w="1100" w:type="dxa"/>
          </w:tcPr>
          <w:p>
            <w:pPr/>
          </w:p>
        </w:tc>
      </w:tr>
      <w:tr>
        <w:trPr>
          <w:trHeight w:val="288" w:hRule="exact"/>
        </w:trPr>
        <w:tc>
          <w:tcPr>
            <w:tcW w:w="5007" w:type="dxa"/>
            <w:gridSpan w:val="2"/>
            <w:shd w:val="clear" w:color="auto" w:fill="CCECFC"/>
          </w:tcPr>
          <w:p>
            <w:pPr>
              <w:pStyle w:val="TableParagraph"/>
              <w:tabs>
                <w:tab w:pos="4522" w:val="left" w:leader="none"/>
              </w:tabs>
              <w:spacing w:before="41"/>
              <w:ind w:left="280"/>
              <w:rPr>
                <w:sz w:val="20"/>
              </w:rPr>
            </w:pPr>
            <w:r>
              <w:rPr>
                <w:color w:val="231F20"/>
                <w:sz w:val="20"/>
              </w:rPr>
              <w:t>Included</w:t>
            </w:r>
            <w:r>
              <w:rPr>
                <w:color w:val="231F20"/>
                <w:spacing w:val="1"/>
                <w:sz w:val="20"/>
              </w:rPr>
              <w:t> </w:t>
            </w:r>
            <w:r>
              <w:rPr>
                <w:color w:val="231F20"/>
                <w:sz w:val="20"/>
              </w:rPr>
              <w:t>in earnings</w:t>
              <w:tab/>
              <w:t>(439)</w:t>
            </w:r>
          </w:p>
        </w:tc>
        <w:tc>
          <w:tcPr>
            <w:tcW w:w="320" w:type="dxa"/>
            <w:gridSpan w:val="2"/>
            <w:shd w:val="clear" w:color="auto" w:fill="CCECFC"/>
          </w:tcPr>
          <w:p>
            <w:pPr/>
          </w:p>
        </w:tc>
        <w:tc>
          <w:tcPr>
            <w:tcW w:w="1073" w:type="dxa"/>
            <w:shd w:val="clear" w:color="auto" w:fill="CCECFC"/>
          </w:tcPr>
          <w:p>
            <w:pPr>
              <w:pStyle w:val="TableParagraph"/>
              <w:spacing w:before="41"/>
              <w:ind w:right="99"/>
              <w:jc w:val="right"/>
              <w:rPr>
                <w:sz w:val="20"/>
              </w:rPr>
            </w:pPr>
            <w:r>
              <w:rPr>
                <w:color w:val="231F20"/>
                <w:sz w:val="20"/>
              </w:rPr>
              <w:t>—</w:t>
            </w:r>
          </w:p>
        </w:tc>
        <w:tc>
          <w:tcPr>
            <w:tcW w:w="320" w:type="dxa"/>
            <w:gridSpan w:val="2"/>
            <w:shd w:val="clear" w:color="auto" w:fill="CCECFC"/>
          </w:tcPr>
          <w:p>
            <w:pPr/>
          </w:p>
        </w:tc>
        <w:tc>
          <w:tcPr>
            <w:tcW w:w="1100" w:type="dxa"/>
            <w:shd w:val="clear" w:color="auto" w:fill="CCECFC"/>
          </w:tcPr>
          <w:p>
            <w:pPr>
              <w:pStyle w:val="TableParagraph"/>
              <w:spacing w:before="41"/>
              <w:ind w:right="99"/>
              <w:jc w:val="right"/>
              <w:rPr>
                <w:sz w:val="20"/>
              </w:rPr>
            </w:pPr>
            <w:r>
              <w:rPr>
                <w:color w:val="231F20"/>
                <w:sz w:val="20"/>
              </w:rPr>
              <w:t>—</w:t>
            </w:r>
          </w:p>
        </w:tc>
        <w:tc>
          <w:tcPr>
            <w:tcW w:w="200" w:type="dxa"/>
            <w:shd w:val="clear" w:color="auto" w:fill="CCECFC"/>
          </w:tcPr>
          <w:p>
            <w:pPr/>
          </w:p>
        </w:tc>
        <w:tc>
          <w:tcPr>
            <w:tcW w:w="1100" w:type="dxa"/>
            <w:shd w:val="clear" w:color="auto" w:fill="CCECFC"/>
          </w:tcPr>
          <w:p>
            <w:pPr>
              <w:pStyle w:val="TableParagraph"/>
              <w:spacing w:before="41"/>
              <w:ind w:right="48"/>
              <w:jc w:val="right"/>
              <w:rPr>
                <w:sz w:val="20"/>
              </w:rPr>
            </w:pPr>
            <w:r>
              <w:rPr>
                <w:color w:val="231F20"/>
                <w:sz w:val="20"/>
              </w:rPr>
              <w:t>(439)</w:t>
            </w:r>
          </w:p>
        </w:tc>
      </w:tr>
      <w:tr>
        <w:trPr>
          <w:trHeight w:val="288" w:hRule="exact"/>
        </w:trPr>
        <w:tc>
          <w:tcPr>
            <w:tcW w:w="5007" w:type="dxa"/>
            <w:gridSpan w:val="2"/>
          </w:tcPr>
          <w:p>
            <w:pPr>
              <w:pStyle w:val="TableParagraph"/>
              <w:tabs>
                <w:tab w:pos="4372" w:val="left" w:leader="none"/>
              </w:tabs>
              <w:spacing w:before="41"/>
              <w:ind w:left="280"/>
              <w:rPr>
                <w:sz w:val="20"/>
              </w:rPr>
            </w:pPr>
            <w:r>
              <w:rPr>
                <w:color w:val="231F20"/>
                <w:sz w:val="20"/>
              </w:rPr>
              <w:t>Included in other</w:t>
            </w:r>
            <w:r>
              <w:rPr>
                <w:color w:val="231F20"/>
                <w:spacing w:val="2"/>
                <w:sz w:val="20"/>
              </w:rPr>
              <w:t> </w:t>
            </w:r>
            <w:r>
              <w:rPr>
                <w:color w:val="231F20"/>
                <w:sz w:val="20"/>
              </w:rPr>
              <w:t>comprehensive</w:t>
            </w:r>
            <w:r>
              <w:rPr>
                <w:color w:val="231F20"/>
                <w:spacing w:val="2"/>
                <w:sz w:val="20"/>
              </w:rPr>
              <w:t> </w:t>
            </w:r>
            <w:r>
              <w:rPr>
                <w:color w:val="231F20"/>
                <w:sz w:val="20"/>
              </w:rPr>
              <w:t>income</w:t>
              <w:tab/>
              <w:t>(1,091)</w:t>
            </w:r>
          </w:p>
        </w:tc>
        <w:tc>
          <w:tcPr>
            <w:tcW w:w="320" w:type="dxa"/>
            <w:gridSpan w:val="2"/>
          </w:tcPr>
          <w:p>
            <w:pPr/>
          </w:p>
        </w:tc>
        <w:tc>
          <w:tcPr>
            <w:tcW w:w="1073" w:type="dxa"/>
          </w:tcPr>
          <w:p>
            <w:pPr>
              <w:pStyle w:val="TableParagraph"/>
              <w:spacing w:before="41"/>
              <w:ind w:right="97"/>
              <w:jc w:val="right"/>
              <w:rPr>
                <w:sz w:val="20"/>
              </w:rPr>
            </w:pPr>
            <w:r>
              <w:rPr>
                <w:color w:val="231F20"/>
                <w:sz w:val="20"/>
              </w:rPr>
              <w:t>3</w:t>
            </w:r>
          </w:p>
        </w:tc>
        <w:tc>
          <w:tcPr>
            <w:tcW w:w="320" w:type="dxa"/>
            <w:gridSpan w:val="2"/>
          </w:tcPr>
          <w:p>
            <w:pPr/>
          </w:p>
        </w:tc>
        <w:tc>
          <w:tcPr>
            <w:tcW w:w="1100" w:type="dxa"/>
          </w:tcPr>
          <w:p>
            <w:pPr>
              <w:pStyle w:val="TableParagraph"/>
              <w:spacing w:before="41"/>
              <w:ind w:right="97"/>
              <w:jc w:val="right"/>
              <w:rPr>
                <w:sz w:val="20"/>
              </w:rPr>
            </w:pPr>
            <w:r>
              <w:rPr>
                <w:color w:val="231F20"/>
                <w:sz w:val="20"/>
              </w:rPr>
              <w:t>—</w:t>
            </w:r>
          </w:p>
        </w:tc>
        <w:tc>
          <w:tcPr>
            <w:tcW w:w="200" w:type="dxa"/>
          </w:tcPr>
          <w:p>
            <w:pPr/>
          </w:p>
        </w:tc>
        <w:tc>
          <w:tcPr>
            <w:tcW w:w="1100" w:type="dxa"/>
          </w:tcPr>
          <w:p>
            <w:pPr>
              <w:pStyle w:val="TableParagraph"/>
              <w:spacing w:before="41"/>
              <w:ind w:right="48"/>
              <w:jc w:val="right"/>
              <w:rPr>
                <w:sz w:val="20"/>
              </w:rPr>
            </w:pPr>
            <w:r>
              <w:rPr>
                <w:color w:val="231F20"/>
                <w:sz w:val="20"/>
              </w:rPr>
              <w:t>(1,088)</w:t>
            </w:r>
          </w:p>
        </w:tc>
      </w:tr>
      <w:tr>
        <w:trPr>
          <w:trHeight w:val="288" w:hRule="exact"/>
        </w:trPr>
        <w:tc>
          <w:tcPr>
            <w:tcW w:w="3907" w:type="dxa"/>
            <w:shd w:val="clear" w:color="auto" w:fill="CCECFC"/>
          </w:tcPr>
          <w:p>
            <w:pPr>
              <w:pStyle w:val="TableParagraph"/>
              <w:spacing w:before="41"/>
              <w:ind w:left="80"/>
              <w:rPr>
                <w:sz w:val="20"/>
              </w:rPr>
            </w:pPr>
            <w:r>
              <w:rPr>
                <w:color w:val="231F20"/>
                <w:sz w:val="20"/>
              </w:rPr>
              <w:t>Purchases</w:t>
            </w:r>
          </w:p>
        </w:tc>
        <w:tc>
          <w:tcPr>
            <w:tcW w:w="1356" w:type="dxa"/>
            <w:gridSpan w:val="2"/>
            <w:shd w:val="clear" w:color="auto" w:fill="CCECFC"/>
          </w:tcPr>
          <w:p>
            <w:pPr>
              <w:pStyle w:val="TableParagraph"/>
              <w:spacing w:before="41"/>
              <w:ind w:left="700"/>
              <w:rPr>
                <w:sz w:val="20"/>
              </w:rPr>
            </w:pPr>
            <w:r>
              <w:rPr>
                <w:color w:val="231F20"/>
                <w:sz w:val="20"/>
              </w:rPr>
              <w:t>403 (a)</w:t>
            </w:r>
          </w:p>
        </w:tc>
        <w:tc>
          <w:tcPr>
            <w:tcW w:w="1396" w:type="dxa"/>
            <w:gridSpan w:val="3"/>
            <w:shd w:val="clear" w:color="auto" w:fill="CCECFC"/>
          </w:tcPr>
          <w:p>
            <w:pPr>
              <w:pStyle w:val="TableParagraph"/>
              <w:spacing w:before="41"/>
              <w:ind w:left="837"/>
              <w:rPr>
                <w:sz w:val="20"/>
              </w:rPr>
            </w:pPr>
            <w:r>
              <w:rPr>
                <w:color w:val="231F20"/>
                <w:sz w:val="20"/>
              </w:rPr>
              <w:t>—</w:t>
            </w:r>
          </w:p>
        </w:tc>
        <w:tc>
          <w:tcPr>
            <w:tcW w:w="1162" w:type="dxa"/>
            <w:gridSpan w:val="2"/>
            <w:shd w:val="clear" w:color="auto" w:fill="CCECFC"/>
          </w:tcPr>
          <w:p>
            <w:pPr>
              <w:pStyle w:val="TableParagraph"/>
              <w:spacing w:before="41"/>
              <w:ind w:right="97"/>
              <w:jc w:val="right"/>
              <w:rPr>
                <w:sz w:val="20"/>
              </w:rPr>
            </w:pPr>
            <w:r>
              <w:rPr>
                <w:color w:val="231F20"/>
                <w:sz w:val="20"/>
              </w:rPr>
              <w:t>—</w:t>
            </w:r>
          </w:p>
        </w:tc>
        <w:tc>
          <w:tcPr>
            <w:tcW w:w="200" w:type="dxa"/>
            <w:shd w:val="clear" w:color="auto" w:fill="CCECFC"/>
          </w:tcPr>
          <w:p>
            <w:pPr/>
          </w:p>
        </w:tc>
        <w:tc>
          <w:tcPr>
            <w:tcW w:w="1100" w:type="dxa"/>
            <w:shd w:val="clear" w:color="auto" w:fill="CCECFC"/>
          </w:tcPr>
          <w:p>
            <w:pPr>
              <w:pStyle w:val="TableParagraph"/>
              <w:spacing w:before="41"/>
              <w:ind w:right="97"/>
              <w:jc w:val="right"/>
              <w:rPr>
                <w:sz w:val="20"/>
              </w:rPr>
            </w:pPr>
            <w:r>
              <w:rPr>
                <w:color w:val="231F20"/>
                <w:sz w:val="20"/>
              </w:rPr>
              <w:t>403</w:t>
            </w:r>
          </w:p>
        </w:tc>
      </w:tr>
      <w:tr>
        <w:trPr>
          <w:trHeight w:val="288" w:hRule="exact"/>
        </w:trPr>
        <w:tc>
          <w:tcPr>
            <w:tcW w:w="3907" w:type="dxa"/>
          </w:tcPr>
          <w:p>
            <w:pPr>
              <w:pStyle w:val="TableParagraph"/>
              <w:spacing w:before="41"/>
              <w:ind w:left="80"/>
              <w:rPr>
                <w:sz w:val="20"/>
              </w:rPr>
            </w:pPr>
            <w:r>
              <w:rPr>
                <w:color w:val="231F20"/>
                <w:sz w:val="20"/>
              </w:rPr>
              <w:t>Sales</w:t>
            </w:r>
          </w:p>
        </w:tc>
        <w:tc>
          <w:tcPr>
            <w:tcW w:w="1356" w:type="dxa"/>
            <w:gridSpan w:val="2"/>
          </w:tcPr>
          <w:p>
            <w:pPr>
              <w:pStyle w:val="TableParagraph"/>
              <w:spacing w:before="41"/>
              <w:ind w:left="616"/>
              <w:rPr>
                <w:sz w:val="20"/>
              </w:rPr>
            </w:pPr>
            <w:r>
              <w:rPr>
                <w:color w:val="231F20"/>
                <w:sz w:val="20"/>
              </w:rPr>
              <w:t>(155)(a)</w:t>
            </w:r>
          </w:p>
        </w:tc>
        <w:tc>
          <w:tcPr>
            <w:tcW w:w="1396" w:type="dxa"/>
            <w:gridSpan w:val="3"/>
          </w:tcPr>
          <w:p>
            <w:pPr>
              <w:pStyle w:val="TableParagraph"/>
              <w:spacing w:before="41"/>
              <w:ind w:left="753"/>
              <w:rPr>
                <w:sz w:val="20"/>
              </w:rPr>
            </w:pPr>
            <w:r>
              <w:rPr>
                <w:color w:val="231F20"/>
                <w:sz w:val="20"/>
              </w:rPr>
              <w:t>(15)</w:t>
            </w:r>
          </w:p>
        </w:tc>
        <w:tc>
          <w:tcPr>
            <w:tcW w:w="1162" w:type="dxa"/>
            <w:gridSpan w:val="2"/>
          </w:tcPr>
          <w:p>
            <w:pPr>
              <w:pStyle w:val="TableParagraph"/>
              <w:spacing w:before="41"/>
              <w:ind w:right="99"/>
              <w:jc w:val="right"/>
              <w:rPr>
                <w:sz w:val="20"/>
              </w:rPr>
            </w:pPr>
            <w:r>
              <w:rPr>
                <w:color w:val="231F20"/>
                <w:sz w:val="20"/>
              </w:rPr>
              <w:t>—</w:t>
            </w:r>
          </w:p>
        </w:tc>
        <w:tc>
          <w:tcPr>
            <w:tcW w:w="200" w:type="dxa"/>
          </w:tcPr>
          <w:p>
            <w:pPr/>
          </w:p>
        </w:tc>
        <w:tc>
          <w:tcPr>
            <w:tcW w:w="1100" w:type="dxa"/>
          </w:tcPr>
          <w:p>
            <w:pPr>
              <w:pStyle w:val="TableParagraph"/>
              <w:spacing w:before="41"/>
              <w:ind w:right="48"/>
              <w:jc w:val="right"/>
              <w:rPr>
                <w:sz w:val="20"/>
              </w:rPr>
            </w:pPr>
            <w:r>
              <w:rPr>
                <w:color w:val="231F20"/>
                <w:sz w:val="20"/>
              </w:rPr>
              <w:t>(170)</w:t>
            </w:r>
          </w:p>
        </w:tc>
      </w:tr>
      <w:tr>
        <w:trPr>
          <w:trHeight w:val="303" w:hRule="exact"/>
        </w:trPr>
        <w:tc>
          <w:tcPr>
            <w:tcW w:w="3907" w:type="dxa"/>
            <w:shd w:val="clear" w:color="auto" w:fill="CCECFC"/>
          </w:tcPr>
          <w:p>
            <w:pPr>
              <w:pStyle w:val="TableParagraph"/>
              <w:spacing w:before="41"/>
              <w:ind w:left="80"/>
              <w:rPr>
                <w:sz w:val="20"/>
              </w:rPr>
            </w:pPr>
            <w:r>
              <w:rPr>
                <w:color w:val="231F20"/>
                <w:sz w:val="20"/>
              </w:rPr>
              <w:t>Settlements</w:t>
            </w:r>
          </w:p>
        </w:tc>
        <w:tc>
          <w:tcPr>
            <w:tcW w:w="1356" w:type="dxa"/>
            <w:gridSpan w:val="2"/>
            <w:tcBorders>
              <w:bottom w:val="single" w:sz="4" w:space="0" w:color="231F20"/>
            </w:tcBorders>
            <w:shd w:val="clear" w:color="auto" w:fill="CCECFC"/>
          </w:tcPr>
          <w:p>
            <w:pPr>
              <w:pStyle w:val="TableParagraph"/>
              <w:spacing w:before="41"/>
              <w:ind w:left="800"/>
              <w:rPr>
                <w:sz w:val="20"/>
              </w:rPr>
            </w:pPr>
            <w:r>
              <w:rPr>
                <w:color w:val="231F20"/>
                <w:sz w:val="20"/>
              </w:rPr>
              <w:t>19</w:t>
            </w:r>
          </w:p>
        </w:tc>
        <w:tc>
          <w:tcPr>
            <w:tcW w:w="1396" w:type="dxa"/>
            <w:gridSpan w:val="3"/>
            <w:shd w:val="clear" w:color="auto" w:fill="CCECFC"/>
          </w:tcPr>
          <w:p>
            <w:pPr>
              <w:pStyle w:val="TableParagraph"/>
              <w:spacing w:before="41"/>
              <w:ind w:left="837"/>
              <w:rPr>
                <w:sz w:val="20"/>
              </w:rPr>
            </w:pPr>
            <w:r>
              <w:rPr>
                <w:color w:val="231F20"/>
                <w:sz w:val="20"/>
              </w:rPr>
              <w:t>—</w:t>
            </w:r>
          </w:p>
        </w:tc>
        <w:tc>
          <w:tcPr>
            <w:tcW w:w="1162" w:type="dxa"/>
            <w:gridSpan w:val="2"/>
            <w:tcBorders>
              <w:bottom w:val="single" w:sz="4" w:space="0" w:color="231F20"/>
            </w:tcBorders>
            <w:shd w:val="clear" w:color="auto" w:fill="CCECFC"/>
          </w:tcPr>
          <w:p>
            <w:pPr>
              <w:pStyle w:val="TableParagraph"/>
              <w:spacing w:before="41"/>
              <w:ind w:right="97"/>
              <w:jc w:val="right"/>
              <w:rPr>
                <w:sz w:val="20"/>
              </w:rPr>
            </w:pPr>
            <w:r>
              <w:rPr>
                <w:color w:val="231F20"/>
                <w:sz w:val="20"/>
              </w:rPr>
              <w:t>—</w:t>
            </w:r>
          </w:p>
        </w:tc>
        <w:tc>
          <w:tcPr>
            <w:tcW w:w="200" w:type="dxa"/>
            <w:shd w:val="clear" w:color="auto" w:fill="CCECFC"/>
          </w:tcPr>
          <w:p>
            <w:pPr/>
          </w:p>
        </w:tc>
        <w:tc>
          <w:tcPr>
            <w:tcW w:w="1100" w:type="dxa"/>
            <w:tcBorders>
              <w:bottom w:val="single" w:sz="4" w:space="0" w:color="231F20"/>
            </w:tcBorders>
            <w:shd w:val="clear" w:color="auto" w:fill="CCECFC"/>
          </w:tcPr>
          <w:p>
            <w:pPr>
              <w:pStyle w:val="TableParagraph"/>
              <w:spacing w:before="41"/>
              <w:ind w:right="47"/>
              <w:jc w:val="right"/>
              <w:rPr>
                <w:sz w:val="20"/>
              </w:rPr>
            </w:pPr>
            <w:r>
              <w:rPr>
                <w:color w:val="231F20"/>
                <w:sz w:val="20"/>
              </w:rPr>
              <w:t>19</w:t>
            </w:r>
          </w:p>
        </w:tc>
      </w:tr>
      <w:tr>
        <w:trPr>
          <w:trHeight w:val="348" w:hRule="exact"/>
        </w:trPr>
        <w:tc>
          <w:tcPr>
            <w:tcW w:w="3907" w:type="dxa"/>
          </w:tcPr>
          <w:p>
            <w:pPr>
              <w:pStyle w:val="TableParagraph"/>
              <w:spacing w:before="61"/>
              <w:ind w:left="80"/>
              <w:rPr>
                <w:sz w:val="20"/>
              </w:rPr>
            </w:pPr>
            <w:r>
              <w:rPr>
                <w:color w:val="231F20"/>
                <w:sz w:val="20"/>
              </w:rPr>
              <w:t>Balance at December 31, 2014</w:t>
            </w:r>
          </w:p>
        </w:tc>
        <w:tc>
          <w:tcPr>
            <w:tcW w:w="1356" w:type="dxa"/>
            <w:gridSpan w:val="2"/>
            <w:tcBorders>
              <w:top w:val="single" w:sz="4" w:space="0" w:color="231F20"/>
              <w:bottom w:val="single" w:sz="4" w:space="0" w:color="231F20"/>
            </w:tcBorders>
          </w:tcPr>
          <w:p>
            <w:pPr>
              <w:pStyle w:val="TableParagraph"/>
              <w:tabs>
                <w:tab w:pos="465" w:val="left" w:leader="none"/>
              </w:tabs>
              <w:spacing w:before="41"/>
              <w:rPr>
                <w:sz w:val="20"/>
              </w:rPr>
            </w:pPr>
            <w:r>
              <w:rPr>
                <w:color w:val="231F20"/>
                <w:sz w:val="20"/>
              </w:rPr>
              <w:t>$</w:t>
              <w:tab/>
              <w:t>(1,091)</w:t>
            </w:r>
          </w:p>
        </w:tc>
        <w:tc>
          <w:tcPr>
            <w:tcW w:w="1396" w:type="dxa"/>
            <w:gridSpan w:val="3"/>
          </w:tcPr>
          <w:p>
            <w:pPr>
              <w:pStyle w:val="TableParagraph"/>
              <w:tabs>
                <w:tab w:pos="837" w:val="left" w:leader="none"/>
              </w:tabs>
              <w:spacing w:before="46"/>
              <w:ind w:left="64"/>
              <w:rPr>
                <w:sz w:val="20"/>
              </w:rPr>
            </w:pPr>
            <w:r>
              <w:rPr>
                <w:color w:val="231F20"/>
                <w:sz w:val="20"/>
              </w:rPr>
              <w:t>$</w:t>
              <w:tab/>
              <w:t>27</w:t>
            </w:r>
            <w:r>
              <w:rPr>
                <w:color w:val="231F20"/>
                <w:spacing w:val="13"/>
                <w:sz w:val="20"/>
              </w:rPr>
              <w:t> </w:t>
            </w:r>
            <w:r>
              <w:rPr>
                <w:color w:val="231F20"/>
                <w:sz w:val="20"/>
              </w:rPr>
              <w:t>(b)</w:t>
            </w:r>
          </w:p>
        </w:tc>
        <w:tc>
          <w:tcPr>
            <w:tcW w:w="1162" w:type="dxa"/>
            <w:gridSpan w:val="2"/>
            <w:tcBorders>
              <w:top w:val="single" w:sz="4" w:space="0" w:color="231F20"/>
              <w:bottom w:val="single" w:sz="4" w:space="0" w:color="231F20"/>
            </w:tcBorders>
          </w:tcPr>
          <w:p>
            <w:pPr>
              <w:pStyle w:val="TableParagraph"/>
              <w:tabs>
                <w:tab w:pos="961" w:val="left" w:leader="none"/>
              </w:tabs>
              <w:spacing w:before="41"/>
              <w:ind w:left="61"/>
              <w:rPr>
                <w:sz w:val="20"/>
              </w:rPr>
            </w:pPr>
            <w:r>
              <w:rPr>
                <w:color w:val="231F20"/>
                <w:sz w:val="20"/>
              </w:rPr>
              <w:t>$</w:t>
              <w:tab/>
              <w:t>5</w:t>
            </w:r>
          </w:p>
        </w:tc>
        <w:tc>
          <w:tcPr>
            <w:tcW w:w="200" w:type="dxa"/>
          </w:tcPr>
          <w:p>
            <w:pPr/>
          </w:p>
        </w:tc>
        <w:tc>
          <w:tcPr>
            <w:tcW w:w="1100" w:type="dxa"/>
            <w:tcBorders>
              <w:top w:val="single" w:sz="4" w:space="0" w:color="231F20"/>
              <w:bottom w:val="single" w:sz="4" w:space="0" w:color="231F20"/>
            </w:tcBorders>
          </w:tcPr>
          <w:p>
            <w:pPr>
              <w:pStyle w:val="TableParagraph"/>
              <w:tabs>
                <w:tab w:pos="465" w:val="left" w:leader="none"/>
              </w:tabs>
              <w:spacing w:before="41"/>
              <w:ind w:right="48"/>
              <w:jc w:val="right"/>
              <w:rPr>
                <w:sz w:val="20"/>
              </w:rPr>
            </w:pPr>
            <w:r>
              <w:rPr>
                <w:color w:val="231F20"/>
                <w:sz w:val="20"/>
              </w:rPr>
              <w:t>$</w:t>
              <w:tab/>
              <w:t>(1,059)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4"/>
        </w:rPr>
      </w:pPr>
    </w:p>
    <w:p>
      <w:pPr>
        <w:pStyle w:val="ListParagraph"/>
        <w:numPr>
          <w:ilvl w:val="0"/>
          <w:numId w:val="20"/>
        </w:numPr>
        <w:tabs>
          <w:tab w:pos="420" w:val="left" w:leader="none"/>
        </w:tabs>
        <w:spacing w:line="249" w:lineRule="auto" w:before="0" w:after="0"/>
        <w:ind w:left="420" w:right="286" w:hanging="300"/>
        <w:jc w:val="left"/>
        <w:rPr>
          <w:sz w:val="20"/>
        </w:rPr>
      </w:pPr>
      <w:r>
        <w:rPr/>
        <w:pict>
          <v:group style="position:absolute;margin-left:69pt;margin-top:-80.164078pt;width:456.25pt;height:65.5pt;mso-position-horizontal-relative:page;mso-position-vertical-relative:paragraph;z-index:-403024" coordorigin="1380,-1603" coordsize="9125,1310">
            <v:rect style="position:absolute;left:1380;top:-1553;width:9120;height:1200" filled="true" fillcolor="#ccecfc" stroked="false">
              <v:fill type="solid"/>
            </v:rect>
            <v:line style="position:absolute" from="5287,-1598" to="6387,-1598" stroked="true" strokeweight=".5pt" strokecolor="#231f20">
              <v:stroke dashstyle="solid"/>
            </v:line>
            <v:line style="position:absolute" from="6387,-1598" to="6547,-1598" stroked="true" strokeweight=".5pt" strokecolor="#231f20">
              <v:stroke dashstyle="solid"/>
            </v:line>
            <v:line style="position:absolute" from="6707,-1598" to="7780,-1598" stroked="true" strokeweight=".5pt" strokecolor="#231f20">
              <v:stroke dashstyle="solid"/>
            </v:line>
            <v:line style="position:absolute" from="8100,-1598" to="9200,-1598" stroked="true" strokeweight=".5pt" strokecolor="#231f20">
              <v:stroke dashstyle="solid"/>
            </v:line>
            <v:line style="position:absolute" from="9400,-1598" to="10500,-1598" stroked="true" strokeweight=".5pt" strokecolor="#231f20">
              <v:stroke dashstyle="solid"/>
            </v:line>
            <v:line style="position:absolute" from="5287,-338" to="6387,-338" stroked="true" strokeweight=".5pt" strokecolor="#231f20">
              <v:stroke dashstyle="solid"/>
            </v:line>
            <v:line style="position:absolute" from="5287,-298" to="6387,-298" stroked="true" strokeweight=".5pt" strokecolor="#231f20">
              <v:stroke dashstyle="solid"/>
            </v:line>
            <v:line style="position:absolute" from="6387,-338" to="6547,-338" stroked="true" strokeweight=".5pt" strokecolor="#231f20">
              <v:stroke dashstyle="solid"/>
            </v:line>
            <v:line style="position:absolute" from="6387,-298" to="6547,-298" stroked="true" strokeweight=".5pt" strokecolor="#231f20">
              <v:stroke dashstyle="solid"/>
            </v:line>
            <v:line style="position:absolute" from="6707,-338" to="7780,-338" stroked="true" strokeweight=".5pt" strokecolor="#231f20">
              <v:stroke dashstyle="solid"/>
            </v:line>
            <v:line style="position:absolute" from="6707,-298" to="7780,-298" stroked="true" strokeweight=".5pt" strokecolor="#231f20">
              <v:stroke dashstyle="solid"/>
            </v:line>
            <v:line style="position:absolute" from="8100,-338" to="9200,-338" stroked="true" strokeweight=".5pt" strokecolor="#231f20">
              <v:stroke dashstyle="solid"/>
            </v:line>
            <v:line style="position:absolute" from="8100,-298" to="9200,-298" stroked="true" strokeweight=".5pt" strokecolor="#231f20">
              <v:stroke dashstyle="solid"/>
            </v:line>
            <v:line style="position:absolute" from="9400,-338" to="10500,-338" stroked="true" strokeweight=".5pt" strokecolor="#231f20">
              <v:stroke dashstyle="solid"/>
            </v:line>
            <v:line style="position:absolute" from="9400,-298" to="10500,-298" stroked="true" strokeweight=".5pt" strokecolor="#231f20">
              <v:stroke dashstyle="solid"/>
            </v:line>
            <v:shape style="position:absolute;left:1460;top:-1505;width:3947;height:1136" type="#_x0000_t202" filled="false" stroked="false">
              <v:textbox inset="0,0,0,0">
                <w:txbxContent>
                  <w:p>
                    <w:pPr>
                      <w:spacing w:line="237" w:lineRule="auto" w:before="0"/>
                      <w:ind w:left="200" w:right="283" w:hanging="200"/>
                      <w:jc w:val="left"/>
                      <w:rPr>
                        <w:sz w:val="20"/>
                      </w:rPr>
                    </w:pPr>
                    <w:r>
                      <w:rPr>
                        <w:color w:val="231F20"/>
                        <w:sz w:val="20"/>
                      </w:rPr>
                      <w:t>The amount of total losses for the period included in earnings attributable to the change in unrealized gains or losses relating to assets still held at December 31,</w:t>
                    </w:r>
                  </w:p>
                  <w:p>
                    <w:pPr>
                      <w:tabs>
                        <w:tab w:pos="3826" w:val="left" w:leader="none"/>
                      </w:tabs>
                      <w:spacing w:line="228" w:lineRule="exact" w:before="5"/>
                      <w:ind w:left="200" w:right="0" w:firstLine="0"/>
                      <w:jc w:val="left"/>
                      <w:rPr>
                        <w:sz w:val="20"/>
                      </w:rPr>
                    </w:pPr>
                    <w:r>
                      <w:rPr>
                        <w:color w:val="231F20"/>
                        <w:sz w:val="20"/>
                      </w:rPr>
                      <w:t>2014</w:t>
                      <w:tab/>
                      <w:t>$</w:t>
                    </w:r>
                  </w:p>
                </w:txbxContent>
              </v:textbox>
              <w10:wrap type="none"/>
            </v:shape>
            <v:shape style="position:absolute;left:5903;top:-593;width:924;height:224" type="#_x0000_t202" filled="false" stroked="false">
              <v:textbox inset="0,0,0,0">
                <w:txbxContent>
                  <w:p>
                    <w:pPr>
                      <w:tabs>
                        <w:tab w:pos="803" w:val="left" w:leader="none"/>
                      </w:tabs>
                      <w:spacing w:line="223" w:lineRule="exact" w:before="0"/>
                      <w:ind w:left="0" w:right="0" w:firstLine="0"/>
                      <w:jc w:val="left"/>
                      <w:rPr>
                        <w:sz w:val="20"/>
                      </w:rPr>
                    </w:pPr>
                    <w:r>
                      <w:rPr>
                        <w:color w:val="231F20"/>
                        <w:sz w:val="20"/>
                      </w:rPr>
                      <w:t>(450)</w:t>
                      <w:tab/>
                      <w:t>$</w:t>
                    </w:r>
                  </w:p>
                </w:txbxContent>
              </v:textbox>
              <w10:wrap type="none"/>
            </v:shape>
            <v:shape style="position:absolute;left:7480;top:-593;width:2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shape style="position:absolute;left:8100;top:-593;width:1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shape style="position:absolute;left:8900;top:-593;width:620;height:224" type="#_x0000_t202" filled="false" stroked="false">
              <v:textbox inset="0,0,0,0">
                <w:txbxContent>
                  <w:p>
                    <w:pPr>
                      <w:tabs>
                        <w:tab w:pos="499" w:val="left" w:leader="none"/>
                      </w:tabs>
                      <w:spacing w:line="223" w:lineRule="exact" w:before="0"/>
                      <w:ind w:left="0" w:right="0" w:firstLine="0"/>
                      <w:jc w:val="left"/>
                      <w:rPr>
                        <w:sz w:val="20"/>
                      </w:rPr>
                    </w:pPr>
                    <w:r>
                      <w:rPr>
                        <w:color w:val="231F20"/>
                        <w:sz w:val="20"/>
                      </w:rPr>
                      <w:t>—</w:t>
                      <w:tab/>
                      <w:t>$</w:t>
                    </w:r>
                  </w:p>
                </w:txbxContent>
              </v:textbox>
              <w10:wrap type="none"/>
            </v:shape>
            <v:shape style="position:absolute;left:10016;top:-593;width:454;height:224" type="#_x0000_t202" filled="false" stroked="false">
              <v:textbox inset="0,0,0,0">
                <w:txbxContent>
                  <w:p>
                    <w:pPr>
                      <w:spacing w:line="223" w:lineRule="exact" w:before="0"/>
                      <w:ind w:left="0" w:right="0" w:firstLine="0"/>
                      <w:jc w:val="left"/>
                      <w:rPr>
                        <w:sz w:val="20"/>
                      </w:rPr>
                    </w:pPr>
                    <w:r>
                      <w:rPr>
                        <w:color w:val="231F20"/>
                        <w:sz w:val="20"/>
                      </w:rPr>
                      <w:t>(450)</w:t>
                    </w:r>
                  </w:p>
                </w:txbxContent>
              </v:textbox>
              <w10:wrap type="none"/>
            </v:shape>
            <w10:wrap type="none"/>
          </v:group>
        </w:pic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ListParagraph"/>
        <w:numPr>
          <w:ilvl w:val="0"/>
          <w:numId w:val="20"/>
        </w:numPr>
        <w:tabs>
          <w:tab w:pos="404" w:val="left" w:leader="none"/>
        </w:tabs>
        <w:spacing w:line="240" w:lineRule="auto" w:before="0" w:after="0"/>
        <w:ind w:left="404" w:right="0" w:hanging="284"/>
        <w:jc w:val="left"/>
        <w:rPr>
          <w:sz w:val="20"/>
        </w:rPr>
      </w:pPr>
      <w:r>
        <w:rPr>
          <w:color w:val="231F20"/>
          <w:sz w:val="20"/>
        </w:rPr>
        <w:t>Included in Other assets in the Consolidated Balance</w:t>
      </w:r>
      <w:r>
        <w:rPr>
          <w:color w:val="231F20"/>
          <w:spacing w:val="3"/>
          <w:sz w:val="20"/>
        </w:rPr>
        <w:t> </w:t>
      </w:r>
      <w:r>
        <w:rPr>
          <w:color w:val="231F20"/>
          <w:sz w:val="20"/>
        </w:rPr>
        <w:t>Sheet.</w:t>
      </w:r>
    </w:p>
    <w:p>
      <w:pPr>
        <w:pStyle w:val="BodyText"/>
        <w:rPr>
          <w:sz w:val="13"/>
        </w:rPr>
      </w:pPr>
    </w:p>
    <w:p>
      <w:pPr>
        <w:spacing w:line="249" w:lineRule="auto" w:before="99" w:after="17"/>
        <w:ind w:left="5430" w:right="848" w:hanging="538"/>
        <w:jc w:val="left"/>
        <w:rPr>
          <w:b/>
          <w:sz w:val="20"/>
        </w:rPr>
      </w:pPr>
      <w:r>
        <w:rPr/>
        <w:pict>
          <v:line style="position:absolute;mso-position-horizontal-relative:page;mso-position-vertical-relative:paragraph;z-index:-402952" from="69pt,58.035927pt" to="118.9pt,58.035927pt" stroked="true" strokeweight=".5pt" strokecolor="#231f20">
            <v:stroke dashstyle="solid"/>
            <w10:wrap type="none"/>
          </v:line>
        </w:pict>
      </w:r>
      <w:r>
        <w:rPr>
          <w:b/>
          <w:color w:val="231F20"/>
          <w:sz w:val="20"/>
        </w:rPr>
        <w:t>Fair value measurements using significant unobservable inputs (Level 3)</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67"/>
        <w:gridCol w:w="320"/>
        <w:gridCol w:w="1073"/>
        <w:gridCol w:w="360"/>
        <w:gridCol w:w="1120"/>
        <w:gridCol w:w="160"/>
        <w:gridCol w:w="1120"/>
      </w:tblGrid>
      <w:tr>
        <w:trPr>
          <w:trHeight w:val="560" w:hRule="exact"/>
        </w:trPr>
        <w:tc>
          <w:tcPr>
            <w:tcW w:w="4967" w:type="dxa"/>
          </w:tcPr>
          <w:p>
            <w:pPr>
              <w:pStyle w:val="TableParagraph"/>
              <w:spacing w:before="63"/>
              <w:ind w:right="277"/>
              <w:jc w:val="right"/>
              <w:rPr>
                <w:b/>
                <w:sz w:val="20"/>
              </w:rPr>
            </w:pPr>
            <w:r>
              <w:rPr>
                <w:b/>
                <w:color w:val="231F20"/>
                <w:sz w:val="20"/>
              </w:rPr>
              <w:t>Fuel</w:t>
            </w:r>
          </w:p>
          <w:p>
            <w:pPr>
              <w:pStyle w:val="TableParagraph"/>
              <w:tabs>
                <w:tab w:pos="4031" w:val="left" w:leader="none"/>
              </w:tabs>
              <w:spacing w:before="9"/>
              <w:rPr>
                <w:b/>
                <w:sz w:val="20"/>
              </w:rPr>
            </w:pPr>
            <w:r>
              <w:rPr>
                <w:color w:val="231F20"/>
                <w:sz w:val="20"/>
              </w:rPr>
              <w:t>(in millions)</w:t>
              <w:tab/>
            </w:r>
            <w:r>
              <w:rPr>
                <w:b/>
                <w:color w:val="231F20"/>
                <w:sz w:val="20"/>
              </w:rPr>
              <w:t>derivatives</w:t>
            </w:r>
          </w:p>
        </w:tc>
        <w:tc>
          <w:tcPr>
            <w:tcW w:w="320" w:type="dxa"/>
            <w:tcBorders>
              <w:top w:val="single" w:sz="8" w:space="0" w:color="231F20"/>
            </w:tcBorders>
          </w:tcPr>
          <w:p>
            <w:pPr/>
          </w:p>
        </w:tc>
        <w:tc>
          <w:tcPr>
            <w:tcW w:w="1073" w:type="dxa"/>
            <w:tcBorders>
              <w:top w:val="single" w:sz="8" w:space="0" w:color="231F20"/>
              <w:bottom w:val="single" w:sz="8" w:space="0" w:color="231F20"/>
            </w:tcBorders>
          </w:tcPr>
          <w:p>
            <w:pPr>
              <w:pStyle w:val="TableParagraph"/>
              <w:spacing w:line="249" w:lineRule="auto"/>
              <w:ind w:left="135" w:right="-19" w:hanging="135"/>
              <w:rPr>
                <w:b/>
                <w:sz w:val="20"/>
              </w:rPr>
            </w:pPr>
            <w:r>
              <w:rPr>
                <w:b/>
                <w:color w:val="231F20"/>
                <w:sz w:val="20"/>
              </w:rPr>
              <w:t>Auction rate</w:t>
            </w:r>
            <w:r>
              <w:rPr>
                <w:b/>
                <w:color w:val="231F20"/>
                <w:w w:val="100"/>
                <w:sz w:val="20"/>
              </w:rPr>
              <w:t> </w:t>
            </w:r>
            <w:r>
              <w:rPr>
                <w:b/>
                <w:color w:val="231F20"/>
                <w:sz w:val="20"/>
              </w:rPr>
              <w:t>securities</w:t>
            </w:r>
          </w:p>
        </w:tc>
        <w:tc>
          <w:tcPr>
            <w:tcW w:w="360" w:type="dxa"/>
            <w:tcBorders>
              <w:top w:val="single" w:sz="8" w:space="0" w:color="231F20"/>
            </w:tcBorders>
          </w:tcPr>
          <w:p>
            <w:pPr/>
          </w:p>
        </w:tc>
        <w:tc>
          <w:tcPr>
            <w:tcW w:w="1120" w:type="dxa"/>
            <w:tcBorders>
              <w:top w:val="single" w:sz="8" w:space="0" w:color="231F20"/>
              <w:bottom w:val="single" w:sz="8" w:space="0" w:color="231F20"/>
            </w:tcBorders>
          </w:tcPr>
          <w:p>
            <w:pPr>
              <w:pStyle w:val="TableParagraph"/>
              <w:spacing w:line="249" w:lineRule="auto"/>
              <w:ind w:left="158" w:right="142" w:firstLine="145"/>
              <w:rPr>
                <w:b/>
                <w:sz w:val="20"/>
              </w:rPr>
            </w:pPr>
            <w:r>
              <w:rPr>
                <w:b/>
                <w:color w:val="231F20"/>
                <w:sz w:val="20"/>
              </w:rPr>
              <w:t>Other securities</w:t>
            </w:r>
          </w:p>
        </w:tc>
        <w:tc>
          <w:tcPr>
            <w:tcW w:w="160" w:type="dxa"/>
            <w:tcBorders>
              <w:top w:val="single" w:sz="8" w:space="0" w:color="231F20"/>
            </w:tcBorders>
          </w:tcPr>
          <w:p>
            <w:pPr/>
          </w:p>
        </w:tc>
        <w:tc>
          <w:tcPr>
            <w:tcW w:w="1120" w:type="dxa"/>
            <w:tcBorders>
              <w:top w:val="single" w:sz="8" w:space="0" w:color="231F20"/>
              <w:bottom w:val="single" w:sz="8" w:space="0" w:color="231F20"/>
            </w:tcBorders>
          </w:tcPr>
          <w:p>
            <w:pPr>
              <w:pStyle w:val="TableParagraph"/>
              <w:spacing w:before="5"/>
              <w:rPr>
                <w:b/>
                <w:sz w:val="25"/>
              </w:rPr>
            </w:pPr>
          </w:p>
          <w:p>
            <w:pPr>
              <w:pStyle w:val="TableParagraph"/>
              <w:spacing w:before="1"/>
              <w:ind w:left="332"/>
              <w:rPr>
                <w:b/>
                <w:sz w:val="20"/>
              </w:rPr>
            </w:pPr>
            <w:r>
              <w:rPr>
                <w:b/>
                <w:color w:val="231F20"/>
                <w:sz w:val="20"/>
              </w:rPr>
              <w:t>Total</w:t>
            </w:r>
          </w:p>
        </w:tc>
      </w:tr>
      <w:tr>
        <w:trPr>
          <w:trHeight w:val="298" w:hRule="exact"/>
        </w:trPr>
        <w:tc>
          <w:tcPr>
            <w:tcW w:w="4967" w:type="dxa"/>
            <w:shd w:val="clear" w:color="auto" w:fill="CCECFC"/>
          </w:tcPr>
          <w:p>
            <w:pPr>
              <w:pStyle w:val="TableParagraph"/>
              <w:tabs>
                <w:tab w:pos="4031" w:val="left" w:leader="none"/>
                <w:tab w:pos="4866" w:val="right" w:leader="none"/>
              </w:tabs>
              <w:spacing w:before="51"/>
              <w:ind w:left="80"/>
              <w:rPr>
                <w:sz w:val="20"/>
              </w:rPr>
            </w:pPr>
            <w:r>
              <w:rPr>
                <w:color w:val="231F20"/>
                <w:sz w:val="20"/>
              </w:rPr>
              <w:t>Balance at December</w:t>
            </w:r>
            <w:r>
              <w:rPr>
                <w:color w:val="231F20"/>
                <w:spacing w:val="1"/>
                <w:sz w:val="20"/>
              </w:rPr>
              <w:t> </w:t>
            </w:r>
            <w:r>
              <w:rPr>
                <w:color w:val="231F20"/>
                <w:sz w:val="20"/>
              </w:rPr>
              <w:t>31, 2012</w:t>
              <w:tab/>
              <w:t>$</w:t>
              <w:tab/>
              <w:t>219</w:t>
            </w:r>
          </w:p>
        </w:tc>
        <w:tc>
          <w:tcPr>
            <w:tcW w:w="320" w:type="dxa"/>
            <w:shd w:val="clear" w:color="auto" w:fill="CCECFC"/>
          </w:tcPr>
          <w:p>
            <w:pPr/>
          </w:p>
        </w:tc>
        <w:tc>
          <w:tcPr>
            <w:tcW w:w="1073" w:type="dxa"/>
            <w:tcBorders>
              <w:top w:val="single" w:sz="8" w:space="0" w:color="231F20"/>
            </w:tcBorders>
            <w:shd w:val="clear" w:color="auto" w:fill="CCECFC"/>
          </w:tcPr>
          <w:p>
            <w:pPr>
              <w:pStyle w:val="TableParagraph"/>
              <w:tabs>
                <w:tab w:pos="772" w:val="left" w:leader="none"/>
              </w:tabs>
              <w:spacing w:before="41"/>
              <w:ind w:right="97"/>
              <w:jc w:val="right"/>
              <w:rPr>
                <w:sz w:val="20"/>
              </w:rPr>
            </w:pPr>
            <w:r>
              <w:rPr>
                <w:color w:val="231F20"/>
                <w:sz w:val="20"/>
              </w:rPr>
              <w:t>$</w:t>
              <w:tab/>
              <w:t>36</w:t>
            </w:r>
          </w:p>
        </w:tc>
        <w:tc>
          <w:tcPr>
            <w:tcW w:w="360" w:type="dxa"/>
            <w:shd w:val="clear" w:color="auto" w:fill="CCECFC"/>
          </w:tcPr>
          <w:p>
            <w:pPr/>
          </w:p>
        </w:tc>
        <w:tc>
          <w:tcPr>
            <w:tcW w:w="1120" w:type="dxa"/>
            <w:tcBorders>
              <w:top w:val="single" w:sz="8" w:space="0" w:color="231F20"/>
            </w:tcBorders>
            <w:shd w:val="clear" w:color="auto" w:fill="CCECFC"/>
          </w:tcPr>
          <w:p>
            <w:pPr>
              <w:pStyle w:val="TableParagraph"/>
              <w:tabs>
                <w:tab w:pos="919" w:val="left" w:leader="none"/>
              </w:tabs>
              <w:spacing w:before="41"/>
              <w:ind w:right="97"/>
              <w:jc w:val="right"/>
              <w:rPr>
                <w:sz w:val="20"/>
              </w:rPr>
            </w:pPr>
            <w:r>
              <w:rPr>
                <w:color w:val="231F20"/>
                <w:sz w:val="20"/>
              </w:rPr>
              <w:t>$</w:t>
              <w:tab/>
              <w:t>5</w:t>
            </w:r>
          </w:p>
        </w:tc>
        <w:tc>
          <w:tcPr>
            <w:tcW w:w="160" w:type="dxa"/>
            <w:shd w:val="clear" w:color="auto" w:fill="CCECFC"/>
          </w:tcPr>
          <w:p>
            <w:pPr/>
          </w:p>
        </w:tc>
        <w:tc>
          <w:tcPr>
            <w:tcW w:w="1120" w:type="dxa"/>
            <w:tcBorders>
              <w:top w:val="single" w:sz="8" w:space="0" w:color="231F20"/>
            </w:tcBorders>
            <w:shd w:val="clear" w:color="auto" w:fill="CCECFC"/>
          </w:tcPr>
          <w:p>
            <w:pPr>
              <w:pStyle w:val="TableParagraph"/>
              <w:tabs>
                <w:tab w:pos="719" w:val="left" w:leader="none"/>
              </w:tabs>
              <w:spacing w:before="41"/>
              <w:ind w:right="97"/>
              <w:jc w:val="right"/>
              <w:rPr>
                <w:sz w:val="20"/>
              </w:rPr>
            </w:pPr>
            <w:r>
              <w:rPr>
                <w:color w:val="231F20"/>
                <w:sz w:val="20"/>
              </w:rPr>
              <w:t>$</w:t>
              <w:tab/>
              <w:t>260</w:t>
            </w:r>
          </w:p>
        </w:tc>
      </w:tr>
      <w:tr>
        <w:trPr>
          <w:trHeight w:val="288" w:hRule="exact"/>
        </w:trPr>
        <w:tc>
          <w:tcPr>
            <w:tcW w:w="4967" w:type="dxa"/>
          </w:tcPr>
          <w:p>
            <w:pPr>
              <w:pStyle w:val="TableParagraph"/>
              <w:spacing w:before="41"/>
              <w:ind w:left="80"/>
              <w:rPr>
                <w:sz w:val="20"/>
              </w:rPr>
            </w:pPr>
            <w:r>
              <w:rPr>
                <w:color w:val="231F20"/>
                <w:sz w:val="20"/>
              </w:rPr>
              <w:t>Total gains or (losses) (realized or unrealized)</w:t>
            </w:r>
          </w:p>
        </w:tc>
        <w:tc>
          <w:tcPr>
            <w:tcW w:w="320" w:type="dxa"/>
          </w:tcPr>
          <w:p>
            <w:pPr/>
          </w:p>
        </w:tc>
        <w:tc>
          <w:tcPr>
            <w:tcW w:w="1073" w:type="dxa"/>
          </w:tcPr>
          <w:p>
            <w:pPr/>
          </w:p>
        </w:tc>
        <w:tc>
          <w:tcPr>
            <w:tcW w:w="360" w:type="dxa"/>
          </w:tcPr>
          <w:p>
            <w:pPr/>
          </w:p>
        </w:tc>
        <w:tc>
          <w:tcPr>
            <w:tcW w:w="1120" w:type="dxa"/>
          </w:tcPr>
          <w:p>
            <w:pPr/>
          </w:p>
        </w:tc>
        <w:tc>
          <w:tcPr>
            <w:tcW w:w="160" w:type="dxa"/>
          </w:tcPr>
          <w:p>
            <w:pPr/>
          </w:p>
        </w:tc>
        <w:tc>
          <w:tcPr>
            <w:tcW w:w="1120" w:type="dxa"/>
          </w:tcPr>
          <w:p>
            <w:pPr/>
          </w:p>
        </w:tc>
      </w:tr>
      <w:tr>
        <w:trPr>
          <w:trHeight w:val="288" w:hRule="exact"/>
        </w:trPr>
        <w:tc>
          <w:tcPr>
            <w:tcW w:w="4967" w:type="dxa"/>
            <w:shd w:val="clear" w:color="auto" w:fill="CCECFC"/>
          </w:tcPr>
          <w:p>
            <w:pPr>
              <w:pStyle w:val="TableParagraph"/>
              <w:tabs>
                <w:tab w:pos="4586" w:val="right" w:leader="none"/>
              </w:tabs>
              <w:spacing w:before="41"/>
              <w:ind w:right="99"/>
              <w:jc w:val="right"/>
              <w:rPr>
                <w:sz w:val="20"/>
              </w:rPr>
            </w:pPr>
            <w:r>
              <w:rPr>
                <w:color w:val="231F20"/>
                <w:sz w:val="20"/>
              </w:rPr>
              <w:t>Included</w:t>
            </w:r>
            <w:r>
              <w:rPr>
                <w:color w:val="231F20"/>
                <w:spacing w:val="1"/>
                <w:sz w:val="20"/>
              </w:rPr>
              <w:t> </w:t>
            </w:r>
            <w:r>
              <w:rPr>
                <w:color w:val="231F20"/>
                <w:sz w:val="20"/>
              </w:rPr>
              <w:t>in earnings</w:t>
              <w:tab/>
              <w:t>71</w:t>
            </w:r>
          </w:p>
        </w:tc>
        <w:tc>
          <w:tcPr>
            <w:tcW w:w="320" w:type="dxa"/>
            <w:shd w:val="clear" w:color="auto" w:fill="CCECFC"/>
          </w:tcPr>
          <w:p>
            <w:pPr/>
          </w:p>
        </w:tc>
        <w:tc>
          <w:tcPr>
            <w:tcW w:w="1073" w:type="dxa"/>
            <w:shd w:val="clear" w:color="auto" w:fill="CCECFC"/>
          </w:tcPr>
          <w:p>
            <w:pPr>
              <w:pStyle w:val="TableParagraph"/>
              <w:spacing w:before="41"/>
              <w:ind w:right="99"/>
              <w:jc w:val="right"/>
              <w:rPr>
                <w:sz w:val="20"/>
              </w:rPr>
            </w:pPr>
            <w:r>
              <w:rPr>
                <w:color w:val="231F20"/>
                <w:sz w:val="20"/>
              </w:rPr>
              <w:t>—</w:t>
            </w:r>
          </w:p>
        </w:tc>
        <w:tc>
          <w:tcPr>
            <w:tcW w:w="360" w:type="dxa"/>
            <w:shd w:val="clear" w:color="auto" w:fill="CCECFC"/>
          </w:tcPr>
          <w:p>
            <w:pPr/>
          </w:p>
        </w:tc>
        <w:tc>
          <w:tcPr>
            <w:tcW w:w="1120" w:type="dxa"/>
            <w:shd w:val="clear" w:color="auto" w:fill="CCECFC"/>
          </w:tcPr>
          <w:p>
            <w:pPr>
              <w:pStyle w:val="TableParagraph"/>
              <w:spacing w:before="41"/>
              <w:ind w:right="99"/>
              <w:jc w:val="right"/>
              <w:rPr>
                <w:sz w:val="20"/>
              </w:rPr>
            </w:pPr>
            <w:r>
              <w:rPr>
                <w:color w:val="231F20"/>
                <w:sz w:val="20"/>
              </w:rPr>
              <w:t>—</w:t>
            </w:r>
          </w:p>
        </w:tc>
        <w:tc>
          <w:tcPr>
            <w:tcW w:w="160" w:type="dxa"/>
            <w:shd w:val="clear" w:color="auto" w:fill="CCECFC"/>
          </w:tcPr>
          <w:p>
            <w:pPr/>
          </w:p>
        </w:tc>
        <w:tc>
          <w:tcPr>
            <w:tcW w:w="1120" w:type="dxa"/>
            <w:shd w:val="clear" w:color="auto" w:fill="CCECFC"/>
          </w:tcPr>
          <w:p>
            <w:pPr>
              <w:pStyle w:val="TableParagraph"/>
              <w:spacing w:before="41"/>
              <w:ind w:right="99"/>
              <w:jc w:val="right"/>
              <w:rPr>
                <w:sz w:val="20"/>
              </w:rPr>
            </w:pPr>
            <w:r>
              <w:rPr>
                <w:color w:val="231F20"/>
                <w:sz w:val="20"/>
              </w:rPr>
              <w:t>71</w:t>
            </w:r>
          </w:p>
        </w:tc>
      </w:tr>
      <w:tr>
        <w:trPr>
          <w:trHeight w:val="272" w:hRule="exact"/>
        </w:trPr>
        <w:tc>
          <w:tcPr>
            <w:tcW w:w="4967" w:type="dxa"/>
          </w:tcPr>
          <w:p>
            <w:pPr>
              <w:pStyle w:val="TableParagraph"/>
              <w:tabs>
                <w:tab w:pos="4202" w:val="left" w:leader="none"/>
              </w:tabs>
              <w:spacing w:before="41"/>
              <w:ind w:right="48"/>
              <w:jc w:val="right"/>
              <w:rPr>
                <w:sz w:val="20"/>
              </w:rPr>
            </w:pPr>
            <w:r>
              <w:rPr>
                <w:color w:val="231F20"/>
                <w:sz w:val="20"/>
              </w:rPr>
              <w:t>Included in other</w:t>
            </w:r>
            <w:r>
              <w:rPr>
                <w:color w:val="231F20"/>
                <w:spacing w:val="2"/>
                <w:sz w:val="20"/>
              </w:rPr>
              <w:t> </w:t>
            </w:r>
            <w:r>
              <w:rPr>
                <w:color w:val="231F20"/>
                <w:sz w:val="20"/>
              </w:rPr>
              <w:t>comprehensive</w:t>
            </w:r>
            <w:r>
              <w:rPr>
                <w:color w:val="231F20"/>
                <w:spacing w:val="2"/>
                <w:sz w:val="20"/>
              </w:rPr>
              <w:t> </w:t>
            </w:r>
            <w:r>
              <w:rPr>
                <w:color w:val="231F20"/>
                <w:sz w:val="20"/>
              </w:rPr>
              <w:t>income</w:t>
              <w:tab/>
              <w:t>(107)</w:t>
            </w:r>
          </w:p>
        </w:tc>
        <w:tc>
          <w:tcPr>
            <w:tcW w:w="320" w:type="dxa"/>
          </w:tcPr>
          <w:p>
            <w:pPr/>
          </w:p>
        </w:tc>
        <w:tc>
          <w:tcPr>
            <w:tcW w:w="1073" w:type="dxa"/>
          </w:tcPr>
          <w:p>
            <w:pPr>
              <w:pStyle w:val="TableParagraph"/>
              <w:spacing w:before="41"/>
              <w:ind w:right="97"/>
              <w:jc w:val="right"/>
              <w:rPr>
                <w:sz w:val="20"/>
              </w:rPr>
            </w:pPr>
            <w:r>
              <w:rPr>
                <w:color w:val="231F20"/>
                <w:sz w:val="20"/>
              </w:rPr>
              <w:t>3</w:t>
            </w:r>
          </w:p>
        </w:tc>
        <w:tc>
          <w:tcPr>
            <w:tcW w:w="360" w:type="dxa"/>
          </w:tcPr>
          <w:p>
            <w:pPr/>
          </w:p>
        </w:tc>
        <w:tc>
          <w:tcPr>
            <w:tcW w:w="1120" w:type="dxa"/>
          </w:tcPr>
          <w:p>
            <w:pPr>
              <w:pStyle w:val="TableParagraph"/>
              <w:spacing w:before="41"/>
              <w:ind w:right="97"/>
              <w:jc w:val="right"/>
              <w:rPr>
                <w:sz w:val="20"/>
              </w:rPr>
            </w:pPr>
            <w:r>
              <w:rPr>
                <w:color w:val="231F20"/>
                <w:sz w:val="20"/>
              </w:rPr>
              <w:t>—</w:t>
            </w:r>
          </w:p>
        </w:tc>
        <w:tc>
          <w:tcPr>
            <w:tcW w:w="160" w:type="dxa"/>
          </w:tcPr>
          <w:p>
            <w:pPr/>
          </w:p>
        </w:tc>
        <w:tc>
          <w:tcPr>
            <w:tcW w:w="1120" w:type="dxa"/>
          </w:tcPr>
          <w:p>
            <w:pPr>
              <w:pStyle w:val="TableParagraph"/>
              <w:spacing w:before="41"/>
              <w:ind w:right="48"/>
              <w:jc w:val="right"/>
              <w:rPr>
                <w:sz w:val="20"/>
              </w:rPr>
            </w:pPr>
            <w:r>
              <w:rPr>
                <w:color w:val="231F20"/>
                <w:sz w:val="20"/>
              </w:rPr>
              <w:t>(104)</w:t>
            </w:r>
          </w:p>
        </w:tc>
      </w:tr>
      <w:tr>
        <w:trPr>
          <w:trHeight w:val="304" w:hRule="exact"/>
        </w:trPr>
        <w:tc>
          <w:tcPr>
            <w:tcW w:w="9120" w:type="dxa"/>
            <w:gridSpan w:val="7"/>
            <w:shd w:val="clear" w:color="auto" w:fill="CCECFC"/>
          </w:tcPr>
          <w:p>
            <w:pPr>
              <w:pStyle w:val="TableParagraph"/>
              <w:tabs>
                <w:tab w:pos="4566" w:val="left" w:leader="none"/>
                <w:tab w:pos="6059" w:val="left" w:leader="none"/>
                <w:tab w:pos="7539" w:val="left" w:leader="none"/>
                <w:tab w:pos="9019" w:val="right" w:leader="none"/>
              </w:tabs>
              <w:spacing w:before="41"/>
              <w:ind w:left="80"/>
              <w:rPr>
                <w:sz w:val="20"/>
              </w:rPr>
            </w:pPr>
            <w:r>
              <w:rPr>
                <w:color w:val="231F20"/>
                <w:sz w:val="20"/>
              </w:rPr>
              <w:t>Purchases</w:t>
              <w:tab/>
              <w:t>357</w:t>
            </w:r>
            <w:r>
              <w:rPr>
                <w:color w:val="231F20"/>
                <w:spacing w:val="19"/>
                <w:sz w:val="20"/>
              </w:rPr>
              <w:t> </w:t>
            </w:r>
            <w:r>
              <w:rPr>
                <w:color w:val="231F20"/>
                <w:sz w:val="20"/>
              </w:rPr>
              <w:t>(a)</w:t>
              <w:tab/>
              <w:t>—</w:t>
              <w:tab/>
              <w:t>—</w:t>
              <w:tab/>
              <w:t>357</w:t>
            </w:r>
          </w:p>
        </w:tc>
      </w:tr>
    </w:tbl>
    <w:p>
      <w:pPr>
        <w:tabs>
          <w:tab w:pos="4602" w:val="left" w:leader="none"/>
          <w:tab w:pos="6179" w:val="left" w:leader="none"/>
          <w:tab w:pos="7659" w:val="left" w:leader="none"/>
          <w:tab w:pos="8755" w:val="left" w:leader="none"/>
        </w:tabs>
        <w:spacing w:before="41"/>
        <w:ind w:left="200" w:right="0" w:firstLine="0"/>
        <w:jc w:val="left"/>
        <w:rPr>
          <w:sz w:val="20"/>
        </w:rPr>
      </w:pPr>
      <w:r>
        <w:rPr/>
        <w:pict>
          <v:group style="position:absolute;margin-left:69pt;margin-top:14.385931pt;width:456.25pt;height:15.4pt;mso-position-horizontal-relative:page;mso-position-vertical-relative:paragraph;z-index:-402976" coordorigin="1380,288" coordsize="9125,308">
            <v:rect style="position:absolute;left:1380;top:288;width:9120;height:288" filled="true" fillcolor="#ccecfc" stroked="false">
              <v:fill type="solid"/>
            </v:rect>
            <v:line style="position:absolute" from="5412,591" to="6347,591" stroked="true" strokeweight=".5pt" strokecolor="#231f20">
              <v:stroke dashstyle="solid"/>
            </v:line>
            <v:line style="position:absolute" from="6667,591" to="7740,591" stroked="true" strokeweight=".5pt" strokecolor="#231f20">
              <v:stroke dashstyle="solid"/>
            </v:line>
            <v:line style="position:absolute" from="8100,591" to="9220,591" stroked="true" strokeweight=".5pt" strokecolor="#231f20">
              <v:stroke dashstyle="solid"/>
            </v:line>
            <v:line style="position:absolute" from="9380,591" to="10500,591" stroked="true" strokeweight=".5pt" strokecolor="#231f20">
              <v:stroke dashstyle="solid"/>
            </v:line>
            <w10:wrap type="none"/>
          </v:group>
        </w:pict>
      </w:r>
      <w:r>
        <w:rPr>
          <w:color w:val="231F20"/>
          <w:sz w:val="20"/>
        </w:rPr>
        <w:t>Sales</w:t>
        <w:tab/>
      </w:r>
      <w:r>
        <w:rPr>
          <w:color w:val="231F20"/>
          <w:spacing w:val="2"/>
          <w:sz w:val="20"/>
        </w:rPr>
        <w:t>(417)(a)</w:t>
        <w:tab/>
      </w:r>
      <w:r>
        <w:rPr>
          <w:color w:val="231F20"/>
          <w:sz w:val="20"/>
        </w:rPr>
        <w:t>—</w:t>
        <w:tab/>
        <w:t>—</w:t>
        <w:tab/>
        <w:t>(417)</w:t>
      </w:r>
    </w:p>
    <w:p>
      <w:pPr>
        <w:tabs>
          <w:tab w:pos="4786" w:val="left" w:leader="none"/>
          <w:tab w:pos="6179" w:val="left" w:leader="none"/>
          <w:tab w:pos="7659" w:val="left" w:leader="none"/>
          <w:tab w:pos="9139" w:val="right" w:leader="none"/>
        </w:tabs>
        <w:spacing w:before="57"/>
        <w:ind w:left="200" w:right="0" w:firstLine="0"/>
        <w:jc w:val="left"/>
        <w:rPr>
          <w:sz w:val="20"/>
        </w:rPr>
      </w:pPr>
      <w:r>
        <w:rPr>
          <w:color w:val="231F20"/>
          <w:sz w:val="20"/>
        </w:rPr>
        <w:t>Settlements</w:t>
        <w:tab/>
        <w:t>49</w:t>
        <w:tab/>
        <w:t>—</w:t>
        <w:tab/>
        <w:t>—</w:t>
        <w:tab/>
        <w:t>49</w:t>
      </w:r>
    </w:p>
    <w:p>
      <w:pPr>
        <w:tabs>
          <w:tab w:pos="4151" w:val="left" w:leader="none"/>
          <w:tab w:pos="4686" w:val="left" w:leader="none"/>
          <w:tab w:pos="5406" w:val="left" w:leader="none"/>
          <w:tab w:pos="6179" w:val="left" w:leader="none"/>
          <w:tab w:pos="7759" w:val="left" w:leader="none"/>
          <w:tab w:pos="8119" w:val="left" w:leader="none"/>
          <w:tab w:pos="9139" w:val="right" w:leader="none"/>
        </w:tabs>
        <w:spacing w:before="77"/>
        <w:ind w:left="200" w:right="0" w:firstLine="0"/>
        <w:jc w:val="left"/>
        <w:rPr>
          <w:sz w:val="20"/>
        </w:rPr>
      </w:pPr>
      <w:r>
        <w:rPr/>
        <w:pict>
          <v:group style="position:absolute;margin-left:69pt;margin-top:16.685944pt;width:456.25pt;height:54.1pt;mso-position-horizontal-relative:page;mso-position-vertical-relative:paragraph;z-index:6664;mso-wrap-distance-left:0;mso-wrap-distance-right:0" coordorigin="1380,334" coordsize="9125,1082">
            <v:rect style="position:absolute;left:1380;top:384;width:9120;height:972" filled="true" fillcolor="#ccecfc" stroked="false">
              <v:fill type="solid"/>
            </v:rect>
            <v:line style="position:absolute" from="5412,339" to="6347,339" stroked="true" strokeweight=".5pt" strokecolor="#231f20">
              <v:stroke dashstyle="solid"/>
            </v:line>
            <v:line style="position:absolute" from="5412,379" to="6347,379" stroked="true" strokeweight=".5pt" strokecolor="#231f20">
              <v:stroke dashstyle="solid"/>
            </v:line>
            <v:line style="position:absolute" from="6667,339" to="7740,339" stroked="true" strokeweight=".5pt" strokecolor="#231f20">
              <v:stroke dashstyle="solid"/>
            </v:line>
            <v:line style="position:absolute" from="6667,379" to="7740,379" stroked="true" strokeweight=".5pt" strokecolor="#231f20">
              <v:stroke dashstyle="solid"/>
            </v:line>
            <v:line style="position:absolute" from="8100,339" to="9220,339" stroked="true" strokeweight=".5pt" strokecolor="#231f20">
              <v:stroke dashstyle="solid"/>
            </v:line>
            <v:line style="position:absolute" from="8100,379" to="9220,379" stroked="true" strokeweight=".5pt" strokecolor="#231f20">
              <v:stroke dashstyle="solid"/>
            </v:line>
            <v:line style="position:absolute" from="9380,339" to="10500,339" stroked="true" strokeweight=".5pt" strokecolor="#231f20">
              <v:stroke dashstyle="solid"/>
            </v:line>
            <v:line style="position:absolute" from="9380,379" to="10500,379" stroked="true" strokeweight=".5pt" strokecolor="#231f20">
              <v:stroke dashstyle="solid"/>
            </v:line>
            <v:line style="position:absolute" from="5412,1371" to="6347,1371" stroked="true" strokeweight=".5pt" strokecolor="#231f20">
              <v:stroke dashstyle="solid"/>
            </v:line>
            <v:line style="position:absolute" from="5412,1411" to="6347,1411" stroked="true" strokeweight=".5pt" strokecolor="#231f20">
              <v:stroke dashstyle="solid"/>
            </v:line>
            <v:line style="position:absolute" from="6667,1371" to="7740,1371" stroked="true" strokeweight=".5pt" strokecolor="#231f20">
              <v:stroke dashstyle="solid"/>
            </v:line>
            <v:line style="position:absolute" from="6667,1411" to="7740,1411" stroked="true" strokeweight=".5pt" strokecolor="#231f20">
              <v:stroke dashstyle="solid"/>
            </v:line>
            <v:line style="position:absolute" from="8100,1371" to="9220,1371" stroked="true" strokeweight=".5pt" strokecolor="#231f20">
              <v:stroke dashstyle="solid"/>
            </v:line>
            <v:line style="position:absolute" from="8100,1411" to="9220,1411" stroked="true" strokeweight=".5pt" strokecolor="#231f20">
              <v:stroke dashstyle="solid"/>
            </v:line>
            <v:line style="position:absolute" from="9380,1371" to="10500,1371" stroked="true" strokeweight=".5pt" strokecolor="#231f20">
              <v:stroke dashstyle="solid"/>
            </v:line>
            <v:line style="position:absolute" from="9380,1411" to="10500,1411" stroked="true" strokeweight=".5pt" strokecolor="#231f20">
              <v:stroke dashstyle="solid"/>
            </v:line>
            <v:shape style="position:absolute;left:1460;top:432;width:4073;height:908" type="#_x0000_t202" filled="false" stroked="false">
              <v:textbox inset="0,0,0,0">
                <w:txbxContent>
                  <w:p>
                    <w:pPr>
                      <w:spacing w:line="237" w:lineRule="auto" w:before="0"/>
                      <w:ind w:left="200" w:right="320" w:hanging="200"/>
                      <w:jc w:val="left"/>
                      <w:rPr>
                        <w:sz w:val="20"/>
                      </w:rPr>
                    </w:pPr>
                    <w:r>
                      <w:rPr>
                        <w:color w:val="231F20"/>
                        <w:sz w:val="20"/>
                      </w:rPr>
                      <w:t>The amount of total gains for the period included in earnings attributable to the change in unrealized gains or losses relating</w:t>
                    </w:r>
                  </w:p>
                  <w:p>
                    <w:pPr>
                      <w:tabs>
                        <w:tab w:pos="3951" w:val="left" w:leader="none"/>
                      </w:tabs>
                      <w:spacing w:line="228" w:lineRule="exact" w:before="5"/>
                      <w:ind w:left="200" w:right="0" w:firstLine="0"/>
                      <w:jc w:val="left"/>
                      <w:rPr>
                        <w:sz w:val="20"/>
                      </w:rPr>
                    </w:pPr>
                    <w:r>
                      <w:rPr>
                        <w:color w:val="231F20"/>
                        <w:sz w:val="20"/>
                      </w:rPr>
                      <w:t>to assets still held at December</w:t>
                    </w:r>
                    <w:r>
                      <w:rPr>
                        <w:color w:val="231F20"/>
                        <w:spacing w:val="3"/>
                        <w:sz w:val="20"/>
                      </w:rPr>
                      <w:t> </w:t>
                    </w:r>
                    <w:r>
                      <w:rPr>
                        <w:color w:val="231F20"/>
                        <w:sz w:val="20"/>
                      </w:rPr>
                      <w:t>31, 2013</w:t>
                      <w:tab/>
                      <w:t>$</w:t>
                    </w:r>
                  </w:p>
                </w:txbxContent>
              </v:textbox>
              <w10:wrap type="none"/>
            </v:shape>
            <v:shape style="position:absolute;left:6047;top:1116;width:220;height:224" type="#_x0000_t202" filled="false" stroked="false">
              <v:textbox inset="0,0,0,0">
                <w:txbxContent>
                  <w:p>
                    <w:pPr>
                      <w:spacing w:line="223" w:lineRule="exact" w:before="0"/>
                      <w:ind w:left="0" w:right="0" w:firstLine="0"/>
                      <w:jc w:val="left"/>
                      <w:rPr>
                        <w:sz w:val="20"/>
                      </w:rPr>
                    </w:pPr>
                    <w:r>
                      <w:rPr>
                        <w:color w:val="231F20"/>
                        <w:sz w:val="20"/>
                      </w:rPr>
                      <w:t>86</w:t>
                    </w:r>
                  </w:p>
                </w:txbxContent>
              </v:textbox>
              <w10:wrap type="none"/>
            </v:shape>
            <v:shape style="position:absolute;left:6667;top:1116;width:1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shape style="position:absolute;left:7540;top:1116;width:680;height:224" type="#_x0000_t202" filled="false" stroked="false">
              <v:textbox inset="0,0,0,0">
                <w:txbxContent>
                  <w:p>
                    <w:pPr>
                      <w:tabs>
                        <w:tab w:pos="559" w:val="left" w:leader="none"/>
                      </w:tabs>
                      <w:spacing w:line="223" w:lineRule="exact" w:before="0"/>
                      <w:ind w:left="0" w:right="0" w:firstLine="0"/>
                      <w:jc w:val="left"/>
                      <w:rPr>
                        <w:sz w:val="20"/>
                      </w:rPr>
                    </w:pPr>
                    <w:r>
                      <w:rPr>
                        <w:color w:val="231F20"/>
                        <w:sz w:val="20"/>
                      </w:rPr>
                      <w:t>—</w:t>
                      <w:tab/>
                      <w:t>$</w:t>
                    </w:r>
                  </w:p>
                </w:txbxContent>
              </v:textbox>
              <w10:wrap type="none"/>
            </v:shape>
            <v:shape style="position:absolute;left:8920;top:1116;width:580;height:224" type="#_x0000_t202" filled="false" stroked="false">
              <v:textbox inset="0,0,0,0">
                <w:txbxContent>
                  <w:p>
                    <w:pPr>
                      <w:tabs>
                        <w:tab w:pos="459" w:val="left" w:leader="none"/>
                      </w:tabs>
                      <w:spacing w:line="223" w:lineRule="exact" w:before="0"/>
                      <w:ind w:left="0" w:right="0" w:firstLine="0"/>
                      <w:jc w:val="left"/>
                      <w:rPr>
                        <w:sz w:val="20"/>
                      </w:rPr>
                    </w:pPr>
                    <w:r>
                      <w:rPr>
                        <w:color w:val="231F20"/>
                        <w:sz w:val="20"/>
                      </w:rPr>
                      <w:t>—</w:t>
                      <w:tab/>
                      <w:t>$</w:t>
                    </w:r>
                  </w:p>
                </w:txbxContent>
              </v:textbox>
              <w10:wrap type="none"/>
            </v:shape>
            <v:shape style="position:absolute;left:10200;top:1116;width:220;height:224" type="#_x0000_t202" filled="false" stroked="false">
              <v:textbox inset="0,0,0,0">
                <w:txbxContent>
                  <w:p>
                    <w:pPr>
                      <w:spacing w:line="223" w:lineRule="exact" w:before="0"/>
                      <w:ind w:left="0" w:right="0" w:firstLine="0"/>
                      <w:jc w:val="left"/>
                      <w:rPr>
                        <w:sz w:val="20"/>
                      </w:rPr>
                    </w:pPr>
                    <w:r>
                      <w:rPr>
                        <w:color w:val="231F20"/>
                        <w:sz w:val="20"/>
                      </w:rPr>
                      <w:t>86</w:t>
                    </w:r>
                  </w:p>
                </w:txbxContent>
              </v:textbox>
              <w10:wrap type="none"/>
            </v:shape>
            <w10:wrap type="topAndBottom"/>
          </v:group>
        </w:pict>
      </w:r>
      <w:r>
        <w:rPr>
          <w:color w:val="231F20"/>
          <w:sz w:val="20"/>
        </w:rPr>
        <w:t>Balance at December</w:t>
      </w:r>
      <w:r>
        <w:rPr>
          <w:color w:val="231F20"/>
          <w:spacing w:val="1"/>
          <w:sz w:val="20"/>
        </w:rPr>
        <w:t> </w:t>
      </w:r>
      <w:r>
        <w:rPr>
          <w:color w:val="231F20"/>
          <w:sz w:val="20"/>
        </w:rPr>
        <w:t>31, 2013</w:t>
        <w:tab/>
        <w:t>$</w:t>
        <w:tab/>
        <w:t>172</w:t>
        <w:tab/>
        <w:t>$</w:t>
        <w:tab/>
        <w:t>39</w:t>
      </w:r>
      <w:r>
        <w:rPr>
          <w:color w:val="231F20"/>
          <w:spacing w:val="33"/>
          <w:sz w:val="20"/>
        </w:rPr>
        <w:t> </w:t>
      </w:r>
      <w:r>
        <w:rPr>
          <w:color w:val="231F20"/>
          <w:sz w:val="20"/>
        </w:rPr>
        <w:t>(b) </w:t>
      </w:r>
      <w:r>
        <w:rPr>
          <w:color w:val="231F20"/>
          <w:spacing w:val="43"/>
          <w:sz w:val="20"/>
        </w:rPr>
        <w:t> </w:t>
      </w:r>
      <w:r>
        <w:rPr>
          <w:color w:val="231F20"/>
          <w:sz w:val="20"/>
        </w:rPr>
        <w:t>$</w:t>
        <w:tab/>
        <w:t>5</w:t>
        <w:tab/>
        <w:t>$</w:t>
        <w:tab/>
        <w:t>216</w:t>
      </w:r>
    </w:p>
    <w:p>
      <w:pPr>
        <w:pStyle w:val="BodyText"/>
        <w:spacing w:before="11"/>
      </w:pPr>
    </w:p>
    <w:p>
      <w:pPr>
        <w:pStyle w:val="ListParagraph"/>
        <w:numPr>
          <w:ilvl w:val="0"/>
          <w:numId w:val="21"/>
        </w:numPr>
        <w:tabs>
          <w:tab w:pos="420" w:val="left" w:leader="none"/>
        </w:tabs>
        <w:spacing w:line="249" w:lineRule="auto" w:before="0" w:after="0"/>
        <w:ind w:left="420" w:right="286" w:hanging="300"/>
        <w:jc w:val="left"/>
        <w:rPr>
          <w:sz w:val="20"/>
        </w:rPr>
      </w:pP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ListParagraph"/>
        <w:numPr>
          <w:ilvl w:val="0"/>
          <w:numId w:val="21"/>
        </w:numPr>
        <w:tabs>
          <w:tab w:pos="404" w:val="left" w:leader="none"/>
        </w:tabs>
        <w:spacing w:line="240" w:lineRule="auto" w:before="1" w:after="0"/>
        <w:ind w:left="404" w:right="0" w:hanging="284"/>
        <w:jc w:val="left"/>
        <w:rPr>
          <w:sz w:val="20"/>
        </w:rPr>
      </w:pPr>
      <w:r>
        <w:rPr>
          <w:color w:val="231F20"/>
          <w:sz w:val="20"/>
        </w:rPr>
        <w:t>Included in Other assets in the Consolidated Balance</w:t>
      </w:r>
      <w:r>
        <w:rPr>
          <w:color w:val="231F20"/>
          <w:spacing w:val="3"/>
          <w:sz w:val="20"/>
        </w:rPr>
        <w:t> </w:t>
      </w:r>
      <w:r>
        <w:rPr>
          <w:color w:val="231F20"/>
          <w:sz w:val="20"/>
        </w:rPr>
        <w:t>Sheet.</w:t>
      </w:r>
    </w:p>
    <w:p>
      <w:pPr>
        <w:spacing w:after="0" w:line="240" w:lineRule="auto"/>
        <w:jc w:val="left"/>
        <w:rPr>
          <w:sz w:val="20"/>
        </w:rPr>
        <w:sectPr>
          <w:pgSz w:w="11880" w:h="15480"/>
          <w:pgMar w:header="0" w:footer="1240" w:top="1240" w:bottom="1420" w:left="1260" w:right="1260"/>
        </w:sectPr>
      </w:pPr>
    </w:p>
    <w:p>
      <w:pPr>
        <w:pStyle w:val="BodyText"/>
        <w:spacing w:line="247" w:lineRule="auto" w:before="74"/>
        <w:ind w:left="120" w:right="118" w:firstLine="720"/>
        <w:jc w:val="both"/>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respectively, for the Company’s derivative option contracts. The significant unobservable inputs used  in the fair value measurement of the Company’s auction rate securities are time to principal recovery, an illiquidity premium, and counterparty credit spread. Holding other inputs constant, a significant increase (decrease) in such unobservable inputs would result in a significantly lower (higher) fair value measurement, respectively.</w:t>
      </w:r>
    </w:p>
    <w:p>
      <w:pPr>
        <w:pStyle w:val="BodyText"/>
        <w:spacing w:line="247" w:lineRule="auto" w:before="183"/>
        <w:ind w:left="120" w:right="118" w:firstLine="720"/>
        <w:jc w:val="both"/>
      </w:pPr>
      <w:r>
        <w:rPr>
          <w:color w:val="231F20"/>
        </w:rPr>
        <w:t>The following table presents a range of the unobservable inputs utilized in the fair value measurements of the Company’s assets and liabilities classified as Level 3 at December 31, 2014:</w:t>
      </w:r>
    </w:p>
    <w:p>
      <w:pPr>
        <w:spacing w:before="182" w:after="26"/>
        <w:ind w:left="1923" w:right="0" w:firstLine="0"/>
        <w:jc w:val="left"/>
        <w:rPr>
          <w:b/>
          <w:sz w:val="20"/>
        </w:rPr>
      </w:pPr>
      <w:r>
        <w:rPr>
          <w:b/>
          <w:color w:val="231F20"/>
          <w:sz w:val="20"/>
        </w:rPr>
        <w:t>Quantitative information about Level 3 fair value measurements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87"/>
        <w:gridCol w:w="2110"/>
        <w:gridCol w:w="2413"/>
        <w:gridCol w:w="1663"/>
        <w:gridCol w:w="847"/>
      </w:tblGrid>
      <w:tr>
        <w:trPr>
          <w:trHeight w:val="320" w:hRule="exact"/>
        </w:trPr>
        <w:tc>
          <w:tcPr>
            <w:tcW w:w="2087" w:type="dxa"/>
            <w:tcBorders>
              <w:top w:val="single" w:sz="8" w:space="0" w:color="231F20"/>
              <w:bottom w:val="single" w:sz="8" w:space="0" w:color="231F20"/>
            </w:tcBorders>
          </w:tcPr>
          <w:p>
            <w:pPr/>
          </w:p>
        </w:tc>
        <w:tc>
          <w:tcPr>
            <w:tcW w:w="2110" w:type="dxa"/>
            <w:tcBorders>
              <w:top w:val="single" w:sz="8" w:space="0" w:color="231F20"/>
              <w:bottom w:val="single" w:sz="8" w:space="0" w:color="231F20"/>
            </w:tcBorders>
          </w:tcPr>
          <w:p>
            <w:pPr>
              <w:pStyle w:val="TableParagraph"/>
              <w:ind w:right="148"/>
              <w:jc w:val="right"/>
              <w:rPr>
                <w:b/>
                <w:sz w:val="20"/>
              </w:rPr>
            </w:pPr>
            <w:r>
              <w:rPr>
                <w:b/>
                <w:color w:val="231F20"/>
                <w:sz w:val="20"/>
              </w:rPr>
              <w:t>Valuation technique</w:t>
            </w:r>
          </w:p>
        </w:tc>
        <w:tc>
          <w:tcPr>
            <w:tcW w:w="2413" w:type="dxa"/>
            <w:tcBorders>
              <w:top w:val="single" w:sz="8" w:space="0" w:color="231F20"/>
              <w:bottom w:val="single" w:sz="8" w:space="0" w:color="231F20"/>
            </w:tcBorders>
          </w:tcPr>
          <w:p>
            <w:pPr>
              <w:pStyle w:val="TableParagraph"/>
              <w:ind w:right="118"/>
              <w:jc w:val="right"/>
              <w:rPr>
                <w:b/>
                <w:sz w:val="20"/>
              </w:rPr>
            </w:pPr>
            <w:r>
              <w:rPr>
                <w:b/>
                <w:color w:val="231F20"/>
                <w:sz w:val="20"/>
              </w:rPr>
              <w:t>Unobservable input</w:t>
            </w:r>
          </w:p>
        </w:tc>
        <w:tc>
          <w:tcPr>
            <w:tcW w:w="1663" w:type="dxa"/>
            <w:tcBorders>
              <w:top w:val="single" w:sz="8" w:space="0" w:color="231F20"/>
              <w:bottom w:val="single" w:sz="8" w:space="0" w:color="231F20"/>
            </w:tcBorders>
          </w:tcPr>
          <w:p>
            <w:pPr>
              <w:pStyle w:val="TableParagraph"/>
              <w:ind w:right="151"/>
              <w:jc w:val="right"/>
              <w:rPr>
                <w:b/>
                <w:sz w:val="20"/>
              </w:rPr>
            </w:pPr>
            <w:r>
              <w:rPr>
                <w:b/>
                <w:color w:val="231F20"/>
                <w:sz w:val="20"/>
              </w:rPr>
              <w:t>Period (by year)</w:t>
            </w:r>
          </w:p>
        </w:tc>
        <w:tc>
          <w:tcPr>
            <w:tcW w:w="847" w:type="dxa"/>
            <w:tcBorders>
              <w:top w:val="single" w:sz="8" w:space="0" w:color="231F20"/>
              <w:bottom w:val="single" w:sz="8" w:space="0" w:color="231F20"/>
            </w:tcBorders>
          </w:tcPr>
          <w:p>
            <w:pPr>
              <w:pStyle w:val="TableParagraph"/>
              <w:ind w:right="57"/>
              <w:jc w:val="right"/>
              <w:rPr>
                <w:b/>
                <w:sz w:val="20"/>
              </w:rPr>
            </w:pPr>
            <w:r>
              <w:rPr>
                <w:b/>
                <w:color w:val="231F20"/>
                <w:w w:val="95"/>
                <w:sz w:val="20"/>
              </w:rPr>
              <w:t>Range</w:t>
            </w:r>
          </w:p>
        </w:tc>
      </w:tr>
      <w:tr>
        <w:trPr>
          <w:trHeight w:val="293" w:hRule="exact"/>
        </w:trPr>
        <w:tc>
          <w:tcPr>
            <w:tcW w:w="2087" w:type="dxa"/>
            <w:tcBorders>
              <w:top w:val="single" w:sz="8" w:space="0" w:color="231F20"/>
            </w:tcBorders>
            <w:shd w:val="clear" w:color="auto" w:fill="CCECFC"/>
          </w:tcPr>
          <w:p>
            <w:pPr>
              <w:pStyle w:val="TableParagraph"/>
              <w:spacing w:before="36"/>
              <w:ind w:left="60"/>
              <w:rPr>
                <w:sz w:val="20"/>
              </w:rPr>
            </w:pPr>
            <w:r>
              <w:rPr>
                <w:color w:val="231F20"/>
                <w:sz w:val="20"/>
              </w:rPr>
              <w:t>Fuel derivatives</w:t>
            </w:r>
          </w:p>
        </w:tc>
        <w:tc>
          <w:tcPr>
            <w:tcW w:w="2110" w:type="dxa"/>
            <w:tcBorders>
              <w:top w:val="single" w:sz="8" w:space="0" w:color="231F20"/>
            </w:tcBorders>
            <w:shd w:val="clear" w:color="auto" w:fill="CCECFC"/>
          </w:tcPr>
          <w:p>
            <w:pPr>
              <w:pStyle w:val="TableParagraph"/>
              <w:spacing w:before="36"/>
              <w:ind w:right="148"/>
              <w:jc w:val="right"/>
              <w:rPr>
                <w:sz w:val="20"/>
              </w:rPr>
            </w:pPr>
            <w:r>
              <w:rPr>
                <w:color w:val="231F20"/>
                <w:sz w:val="20"/>
              </w:rPr>
              <w:t>Option model</w:t>
            </w:r>
          </w:p>
        </w:tc>
        <w:tc>
          <w:tcPr>
            <w:tcW w:w="2413" w:type="dxa"/>
            <w:tcBorders>
              <w:top w:val="single" w:sz="8" w:space="0" w:color="231F20"/>
            </w:tcBorders>
            <w:shd w:val="clear" w:color="auto" w:fill="CCECFC"/>
          </w:tcPr>
          <w:p>
            <w:pPr>
              <w:pStyle w:val="TableParagraph"/>
              <w:spacing w:before="36"/>
              <w:ind w:right="120"/>
              <w:jc w:val="right"/>
              <w:rPr>
                <w:sz w:val="20"/>
              </w:rPr>
            </w:pPr>
            <w:r>
              <w:rPr>
                <w:color w:val="231F20"/>
                <w:sz w:val="20"/>
              </w:rPr>
              <w:t>Implied volatility</w:t>
            </w:r>
          </w:p>
        </w:tc>
        <w:tc>
          <w:tcPr>
            <w:tcW w:w="1663" w:type="dxa"/>
            <w:tcBorders>
              <w:top w:val="single" w:sz="8" w:space="0" w:color="231F20"/>
            </w:tcBorders>
            <w:shd w:val="clear" w:color="auto" w:fill="CCECFC"/>
          </w:tcPr>
          <w:p>
            <w:pPr>
              <w:pStyle w:val="TableParagraph"/>
              <w:spacing w:before="36"/>
              <w:ind w:right="152"/>
              <w:jc w:val="right"/>
              <w:rPr>
                <w:sz w:val="20"/>
              </w:rPr>
            </w:pPr>
            <w:r>
              <w:rPr>
                <w:color w:val="231F20"/>
                <w:sz w:val="20"/>
              </w:rPr>
              <w:t>2015</w:t>
            </w:r>
          </w:p>
        </w:tc>
        <w:tc>
          <w:tcPr>
            <w:tcW w:w="847" w:type="dxa"/>
            <w:tcBorders>
              <w:top w:val="single" w:sz="8" w:space="0" w:color="231F20"/>
            </w:tcBorders>
            <w:shd w:val="clear" w:color="auto" w:fill="CCECFC"/>
          </w:tcPr>
          <w:p>
            <w:pPr>
              <w:pStyle w:val="TableParagraph"/>
              <w:spacing w:before="36"/>
              <w:ind w:right="58"/>
              <w:jc w:val="right"/>
              <w:rPr>
                <w:sz w:val="20"/>
              </w:rPr>
            </w:pPr>
            <w:r>
              <w:rPr>
                <w:color w:val="231F20"/>
                <w:sz w:val="20"/>
              </w:rPr>
              <w:t>23-47%</w:t>
            </w:r>
          </w:p>
        </w:tc>
      </w:tr>
      <w:tr>
        <w:trPr>
          <w:trHeight w:val="283" w:hRule="exact"/>
        </w:trPr>
        <w:tc>
          <w:tcPr>
            <w:tcW w:w="2087" w:type="dxa"/>
          </w:tcPr>
          <w:p>
            <w:pPr/>
          </w:p>
        </w:tc>
        <w:tc>
          <w:tcPr>
            <w:tcW w:w="2110" w:type="dxa"/>
          </w:tcPr>
          <w:p>
            <w:pPr/>
          </w:p>
        </w:tc>
        <w:tc>
          <w:tcPr>
            <w:tcW w:w="2413" w:type="dxa"/>
          </w:tcPr>
          <w:p>
            <w:pPr/>
          </w:p>
        </w:tc>
        <w:tc>
          <w:tcPr>
            <w:tcW w:w="1663" w:type="dxa"/>
          </w:tcPr>
          <w:p>
            <w:pPr>
              <w:pStyle w:val="TableParagraph"/>
              <w:spacing w:before="36"/>
              <w:ind w:right="151"/>
              <w:jc w:val="right"/>
              <w:rPr>
                <w:sz w:val="20"/>
              </w:rPr>
            </w:pPr>
            <w:r>
              <w:rPr>
                <w:color w:val="231F20"/>
                <w:sz w:val="20"/>
              </w:rPr>
              <w:t>2016</w:t>
            </w:r>
          </w:p>
        </w:tc>
        <w:tc>
          <w:tcPr>
            <w:tcW w:w="847" w:type="dxa"/>
          </w:tcPr>
          <w:p>
            <w:pPr>
              <w:pStyle w:val="TableParagraph"/>
              <w:spacing w:before="36"/>
              <w:ind w:right="58"/>
              <w:jc w:val="right"/>
              <w:rPr>
                <w:sz w:val="20"/>
              </w:rPr>
            </w:pPr>
            <w:r>
              <w:rPr>
                <w:color w:val="231F20"/>
                <w:sz w:val="20"/>
              </w:rPr>
              <w:t>24-36%</w:t>
            </w:r>
          </w:p>
        </w:tc>
      </w:tr>
      <w:tr>
        <w:trPr>
          <w:trHeight w:val="283" w:hRule="exact"/>
        </w:trPr>
        <w:tc>
          <w:tcPr>
            <w:tcW w:w="2087" w:type="dxa"/>
            <w:shd w:val="clear" w:color="auto" w:fill="CCECFC"/>
          </w:tcPr>
          <w:p>
            <w:pPr/>
          </w:p>
        </w:tc>
        <w:tc>
          <w:tcPr>
            <w:tcW w:w="2110" w:type="dxa"/>
            <w:shd w:val="clear" w:color="auto" w:fill="CCECFC"/>
          </w:tcPr>
          <w:p>
            <w:pPr/>
          </w:p>
        </w:tc>
        <w:tc>
          <w:tcPr>
            <w:tcW w:w="2413" w:type="dxa"/>
            <w:shd w:val="clear" w:color="auto" w:fill="CCECFC"/>
          </w:tcPr>
          <w:p>
            <w:pPr/>
          </w:p>
        </w:tc>
        <w:tc>
          <w:tcPr>
            <w:tcW w:w="1663" w:type="dxa"/>
            <w:shd w:val="clear" w:color="auto" w:fill="CCECFC"/>
          </w:tcPr>
          <w:p>
            <w:pPr>
              <w:pStyle w:val="TableParagraph"/>
              <w:spacing w:before="36"/>
              <w:ind w:right="151"/>
              <w:jc w:val="right"/>
              <w:rPr>
                <w:sz w:val="20"/>
              </w:rPr>
            </w:pPr>
            <w:r>
              <w:rPr>
                <w:color w:val="231F20"/>
                <w:sz w:val="20"/>
              </w:rPr>
              <w:t>2017</w:t>
            </w:r>
          </w:p>
        </w:tc>
        <w:tc>
          <w:tcPr>
            <w:tcW w:w="847" w:type="dxa"/>
            <w:shd w:val="clear" w:color="auto" w:fill="CCECFC"/>
          </w:tcPr>
          <w:p>
            <w:pPr>
              <w:pStyle w:val="TableParagraph"/>
              <w:spacing w:before="36"/>
              <w:ind w:right="58"/>
              <w:jc w:val="right"/>
              <w:rPr>
                <w:sz w:val="20"/>
              </w:rPr>
            </w:pPr>
            <w:r>
              <w:rPr>
                <w:color w:val="231F20"/>
                <w:sz w:val="20"/>
              </w:rPr>
              <w:t>19-30%</w:t>
            </w:r>
          </w:p>
        </w:tc>
      </w:tr>
      <w:tr>
        <w:trPr>
          <w:trHeight w:val="283" w:hRule="exact"/>
        </w:trPr>
        <w:tc>
          <w:tcPr>
            <w:tcW w:w="2087" w:type="dxa"/>
          </w:tcPr>
          <w:p>
            <w:pPr/>
          </w:p>
        </w:tc>
        <w:tc>
          <w:tcPr>
            <w:tcW w:w="2110" w:type="dxa"/>
          </w:tcPr>
          <w:p>
            <w:pPr/>
          </w:p>
        </w:tc>
        <w:tc>
          <w:tcPr>
            <w:tcW w:w="2413" w:type="dxa"/>
          </w:tcPr>
          <w:p>
            <w:pPr/>
          </w:p>
        </w:tc>
        <w:tc>
          <w:tcPr>
            <w:tcW w:w="1663" w:type="dxa"/>
          </w:tcPr>
          <w:p>
            <w:pPr>
              <w:pStyle w:val="TableParagraph"/>
              <w:spacing w:before="36"/>
              <w:ind w:right="151"/>
              <w:jc w:val="right"/>
              <w:rPr>
                <w:sz w:val="20"/>
              </w:rPr>
            </w:pPr>
            <w:r>
              <w:rPr>
                <w:color w:val="231F20"/>
                <w:sz w:val="20"/>
              </w:rPr>
              <w:t>2018</w:t>
            </w:r>
          </w:p>
        </w:tc>
        <w:tc>
          <w:tcPr>
            <w:tcW w:w="847" w:type="dxa"/>
          </w:tcPr>
          <w:p>
            <w:pPr>
              <w:pStyle w:val="TableParagraph"/>
              <w:spacing w:before="36"/>
              <w:ind w:right="58"/>
              <w:jc w:val="right"/>
              <w:rPr>
                <w:sz w:val="20"/>
              </w:rPr>
            </w:pPr>
            <w:r>
              <w:rPr>
                <w:color w:val="231F20"/>
                <w:sz w:val="20"/>
              </w:rPr>
              <w:t>25-27%</w:t>
            </w:r>
          </w:p>
        </w:tc>
      </w:tr>
      <w:tr>
        <w:trPr>
          <w:trHeight w:val="283" w:hRule="exact"/>
        </w:trPr>
        <w:tc>
          <w:tcPr>
            <w:tcW w:w="2087" w:type="dxa"/>
            <w:shd w:val="clear" w:color="auto" w:fill="CCECFC"/>
          </w:tcPr>
          <w:p>
            <w:pPr>
              <w:pStyle w:val="TableParagraph"/>
              <w:spacing w:before="36"/>
              <w:ind w:left="60"/>
              <w:rPr>
                <w:sz w:val="20"/>
              </w:rPr>
            </w:pPr>
            <w:r>
              <w:rPr>
                <w:color w:val="231F20"/>
                <w:sz w:val="20"/>
              </w:rPr>
              <w:t>Auction rate securities</w:t>
            </w:r>
          </w:p>
        </w:tc>
        <w:tc>
          <w:tcPr>
            <w:tcW w:w="2110" w:type="dxa"/>
            <w:shd w:val="clear" w:color="auto" w:fill="CCECFC"/>
          </w:tcPr>
          <w:p>
            <w:pPr>
              <w:pStyle w:val="TableParagraph"/>
              <w:spacing w:before="36"/>
              <w:ind w:right="148"/>
              <w:jc w:val="right"/>
              <w:rPr>
                <w:sz w:val="20"/>
              </w:rPr>
            </w:pPr>
            <w:r>
              <w:rPr>
                <w:color w:val="231F20"/>
                <w:sz w:val="20"/>
              </w:rPr>
              <w:t>Discounted cash flow</w:t>
            </w:r>
          </w:p>
        </w:tc>
        <w:tc>
          <w:tcPr>
            <w:tcW w:w="2413" w:type="dxa"/>
            <w:shd w:val="clear" w:color="auto" w:fill="CCECFC"/>
          </w:tcPr>
          <w:p>
            <w:pPr>
              <w:pStyle w:val="TableParagraph"/>
              <w:spacing w:before="36"/>
              <w:ind w:right="119"/>
              <w:jc w:val="right"/>
              <w:rPr>
                <w:sz w:val="20"/>
              </w:rPr>
            </w:pPr>
            <w:r>
              <w:rPr>
                <w:color w:val="231F20"/>
                <w:sz w:val="20"/>
              </w:rPr>
              <w:t>Time to principal recovery</w:t>
            </w:r>
          </w:p>
        </w:tc>
        <w:tc>
          <w:tcPr>
            <w:tcW w:w="1663" w:type="dxa"/>
            <w:shd w:val="clear" w:color="auto" w:fill="CCECFC"/>
          </w:tcPr>
          <w:p>
            <w:pPr/>
          </w:p>
        </w:tc>
        <w:tc>
          <w:tcPr>
            <w:tcW w:w="847" w:type="dxa"/>
            <w:shd w:val="clear" w:color="auto" w:fill="CCECFC"/>
          </w:tcPr>
          <w:p>
            <w:pPr>
              <w:pStyle w:val="TableParagraph"/>
              <w:spacing w:before="36"/>
              <w:ind w:right="58"/>
              <w:jc w:val="right"/>
              <w:rPr>
                <w:sz w:val="20"/>
              </w:rPr>
            </w:pPr>
            <w:r>
              <w:rPr>
                <w:color w:val="231F20"/>
                <w:sz w:val="20"/>
              </w:rPr>
              <w:t>8 years</w:t>
            </w:r>
          </w:p>
        </w:tc>
      </w:tr>
      <w:tr>
        <w:trPr>
          <w:trHeight w:val="283" w:hRule="exact"/>
        </w:trPr>
        <w:tc>
          <w:tcPr>
            <w:tcW w:w="2087" w:type="dxa"/>
          </w:tcPr>
          <w:p>
            <w:pPr/>
          </w:p>
        </w:tc>
        <w:tc>
          <w:tcPr>
            <w:tcW w:w="2110" w:type="dxa"/>
          </w:tcPr>
          <w:p>
            <w:pPr/>
          </w:p>
        </w:tc>
        <w:tc>
          <w:tcPr>
            <w:tcW w:w="2413" w:type="dxa"/>
          </w:tcPr>
          <w:p>
            <w:pPr>
              <w:pStyle w:val="TableParagraph"/>
              <w:spacing w:before="36"/>
              <w:ind w:right="119"/>
              <w:jc w:val="right"/>
              <w:rPr>
                <w:sz w:val="20"/>
              </w:rPr>
            </w:pPr>
            <w:r>
              <w:rPr>
                <w:color w:val="231F20"/>
                <w:sz w:val="20"/>
              </w:rPr>
              <w:t>Illiquidity premium</w:t>
            </w:r>
          </w:p>
        </w:tc>
        <w:tc>
          <w:tcPr>
            <w:tcW w:w="1663" w:type="dxa"/>
          </w:tcPr>
          <w:p>
            <w:pPr/>
          </w:p>
        </w:tc>
        <w:tc>
          <w:tcPr>
            <w:tcW w:w="847" w:type="dxa"/>
          </w:tcPr>
          <w:p>
            <w:pPr>
              <w:pStyle w:val="TableParagraph"/>
              <w:spacing w:before="36"/>
              <w:ind w:right="58"/>
              <w:jc w:val="right"/>
              <w:rPr>
                <w:sz w:val="20"/>
              </w:rPr>
            </w:pPr>
            <w:r>
              <w:rPr>
                <w:color w:val="231F20"/>
                <w:sz w:val="20"/>
              </w:rPr>
              <w:t>3%</w:t>
            </w:r>
          </w:p>
        </w:tc>
      </w:tr>
      <w:tr>
        <w:trPr>
          <w:trHeight w:val="283" w:hRule="exact"/>
        </w:trPr>
        <w:tc>
          <w:tcPr>
            <w:tcW w:w="2087" w:type="dxa"/>
            <w:shd w:val="clear" w:color="auto" w:fill="CCECFC"/>
          </w:tcPr>
          <w:p>
            <w:pPr/>
          </w:p>
        </w:tc>
        <w:tc>
          <w:tcPr>
            <w:tcW w:w="2110" w:type="dxa"/>
            <w:shd w:val="clear" w:color="auto" w:fill="CCECFC"/>
          </w:tcPr>
          <w:p>
            <w:pPr/>
          </w:p>
        </w:tc>
        <w:tc>
          <w:tcPr>
            <w:tcW w:w="2413" w:type="dxa"/>
            <w:shd w:val="clear" w:color="auto" w:fill="CCECFC"/>
          </w:tcPr>
          <w:p>
            <w:pPr>
              <w:pStyle w:val="TableParagraph"/>
              <w:spacing w:before="36"/>
              <w:ind w:right="118"/>
              <w:jc w:val="right"/>
              <w:rPr>
                <w:sz w:val="20"/>
              </w:rPr>
            </w:pPr>
            <w:r>
              <w:rPr>
                <w:color w:val="231F20"/>
                <w:sz w:val="20"/>
              </w:rPr>
              <w:t>Counterparty credit spread</w:t>
            </w:r>
          </w:p>
        </w:tc>
        <w:tc>
          <w:tcPr>
            <w:tcW w:w="1663" w:type="dxa"/>
            <w:shd w:val="clear" w:color="auto" w:fill="CCECFC"/>
          </w:tcPr>
          <w:p>
            <w:pPr/>
          </w:p>
        </w:tc>
        <w:tc>
          <w:tcPr>
            <w:tcW w:w="847" w:type="dxa"/>
            <w:shd w:val="clear" w:color="auto" w:fill="CCECFC"/>
          </w:tcPr>
          <w:p>
            <w:pPr>
              <w:pStyle w:val="TableParagraph"/>
              <w:spacing w:before="36"/>
              <w:ind w:right="58"/>
              <w:jc w:val="right"/>
              <w:rPr>
                <w:sz w:val="20"/>
              </w:rPr>
            </w:pPr>
            <w:r>
              <w:rPr>
                <w:color w:val="231F20"/>
                <w:sz w:val="20"/>
              </w:rPr>
              <w:t>1-2%</w:t>
            </w:r>
          </w:p>
        </w:tc>
      </w:tr>
    </w:tbl>
    <w:p>
      <w:pPr>
        <w:pStyle w:val="BodyText"/>
        <w:spacing w:before="8"/>
        <w:rPr>
          <w:b/>
          <w:sz w:val="20"/>
        </w:rPr>
      </w:pPr>
    </w:p>
    <w:p>
      <w:pPr>
        <w:pStyle w:val="BodyText"/>
        <w:spacing w:line="247" w:lineRule="auto"/>
        <w:ind w:left="120" w:right="117" w:firstLine="720"/>
        <w:jc w:val="both"/>
      </w:pPr>
      <w:r>
        <w:rPr>
          <w:color w:val="231F20"/>
        </w:rPr>
        <w:t>The carrying amounts and estimated fair values of the Company’s long-term debt (including current maturities), as well as the applicable fair value hierarchy tier, at December 31, 2014,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Six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 items.</w:t>
      </w:r>
    </w:p>
    <w:p>
      <w:pPr>
        <w:spacing w:after="0" w:line="247" w:lineRule="auto"/>
        <w:jc w:val="both"/>
        <w:sectPr>
          <w:footerReference w:type="default" r:id="rId26"/>
          <w:pgSz w:w="11880" w:h="15480"/>
          <w:pgMar w:footer="1240" w:header="0" w:top="1240" w:bottom="1420" w:left="1260" w:right="1260"/>
          <w:pgNumType w:start="128"/>
        </w:sectPr>
      </w:pPr>
    </w:p>
    <w:p>
      <w:pPr>
        <w:pStyle w:val="BodyText"/>
      </w:pPr>
    </w:p>
    <w:p>
      <w:pPr>
        <w:tabs>
          <w:tab w:pos="4911" w:val="left" w:leader="none"/>
        </w:tabs>
        <w:spacing w:before="169"/>
        <w:ind w:left="120" w:right="0" w:firstLine="0"/>
        <w:jc w:val="left"/>
        <w:rPr>
          <w:b/>
          <w:sz w:val="20"/>
        </w:rPr>
      </w:pPr>
      <w:r>
        <w:rPr/>
        <w:pict>
          <v:line style="position:absolute;mso-position-horizontal-relative:page;mso-position-vertical-relative:paragraph;z-index:-402928" from="69pt,21.285931pt" to="120.55pt,21.285931pt" stroked="true" strokeweight="1pt" strokecolor="#231f20">
            <v:stroke dashstyle="solid"/>
            <w10:wrap type="none"/>
          </v:line>
        </w:pict>
      </w:r>
      <w:r>
        <w:rPr>
          <w:b/>
          <w:color w:val="231F20"/>
          <w:sz w:val="20"/>
        </w:rPr>
        <w:t>(in millions)</w:t>
        <w:tab/>
        <w:t>Carrying value</w:t>
      </w:r>
    </w:p>
    <w:p>
      <w:pPr>
        <w:spacing w:line="249" w:lineRule="auto" w:before="181"/>
        <w:ind w:left="507" w:right="-18" w:hanging="387"/>
        <w:jc w:val="left"/>
        <w:rPr>
          <w:b/>
          <w:sz w:val="20"/>
        </w:rPr>
      </w:pPr>
      <w:r>
        <w:rPr/>
        <w:br w:type="column"/>
      </w:r>
      <w:r>
        <w:rPr>
          <w:b/>
          <w:color w:val="231F20"/>
          <w:sz w:val="20"/>
        </w:rPr>
        <w:t>Estimated fair</w:t>
      </w:r>
      <w:r>
        <w:rPr>
          <w:b/>
          <w:color w:val="231F20"/>
          <w:w w:val="100"/>
          <w:sz w:val="20"/>
        </w:rPr>
        <w:t> </w:t>
      </w:r>
      <w:r>
        <w:rPr>
          <w:b/>
          <w:color w:val="231F20"/>
          <w:sz w:val="20"/>
        </w:rPr>
        <w:t>value</w:t>
      </w:r>
    </w:p>
    <w:p>
      <w:pPr>
        <w:spacing w:line="249" w:lineRule="auto" w:before="181"/>
        <w:ind w:left="358" w:right="153" w:hanging="239"/>
        <w:jc w:val="left"/>
        <w:rPr>
          <w:b/>
          <w:sz w:val="20"/>
        </w:rPr>
      </w:pPr>
      <w:r>
        <w:rPr/>
        <w:br w:type="column"/>
      </w:r>
      <w:r>
        <w:rPr>
          <w:b/>
          <w:color w:val="231F20"/>
          <w:sz w:val="20"/>
        </w:rPr>
        <w:t>Fair value level hierarchy</w:t>
      </w:r>
    </w:p>
    <w:p>
      <w:pPr>
        <w:spacing w:after="0" w:line="249" w:lineRule="auto"/>
        <w:jc w:val="left"/>
        <w:rPr>
          <w:sz w:val="20"/>
        </w:rPr>
        <w:sectPr>
          <w:type w:val="continuous"/>
          <w:pgSz w:w="11880" w:h="15480"/>
          <w:pgMar w:top="1260" w:bottom="280" w:left="1260" w:right="1260"/>
          <w:cols w:num="3" w:equalWidth="0">
            <w:col w:w="6207" w:space="100"/>
            <w:col w:w="1350" w:space="100"/>
            <w:col w:w="1603"/>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42"/>
        <w:gridCol w:w="1395"/>
        <w:gridCol w:w="120"/>
        <w:gridCol w:w="1330"/>
        <w:gridCol w:w="120"/>
        <w:gridCol w:w="1413"/>
      </w:tblGrid>
      <w:tr>
        <w:trPr>
          <w:trHeight w:val="293" w:hRule="exact"/>
        </w:trPr>
        <w:tc>
          <w:tcPr>
            <w:tcW w:w="4742" w:type="dxa"/>
            <w:shd w:val="clear" w:color="auto" w:fill="CCECFC"/>
          </w:tcPr>
          <w:p>
            <w:pPr>
              <w:pStyle w:val="TableParagraph"/>
              <w:spacing w:before="36"/>
              <w:ind w:left="80"/>
              <w:rPr>
                <w:sz w:val="20"/>
              </w:rPr>
            </w:pPr>
            <w:r>
              <w:rPr>
                <w:color w:val="231F20"/>
                <w:sz w:val="20"/>
              </w:rPr>
              <w:t>5.75% Notes due 2016</w:t>
            </w:r>
          </w:p>
        </w:tc>
        <w:tc>
          <w:tcPr>
            <w:tcW w:w="1395" w:type="dxa"/>
            <w:tcBorders>
              <w:top w:val="single" w:sz="8" w:space="0" w:color="231F20"/>
            </w:tcBorders>
            <w:shd w:val="clear" w:color="auto" w:fill="CCECFC"/>
          </w:tcPr>
          <w:p>
            <w:pPr>
              <w:pStyle w:val="TableParagraph"/>
              <w:spacing w:before="36"/>
              <w:ind w:right="99"/>
              <w:jc w:val="right"/>
              <w:rPr>
                <w:sz w:val="20"/>
              </w:rPr>
            </w:pPr>
            <w:r>
              <w:rPr>
                <w:color w:val="231F20"/>
                <w:sz w:val="20"/>
              </w:rPr>
              <w:t>313</w:t>
            </w:r>
          </w:p>
        </w:tc>
        <w:tc>
          <w:tcPr>
            <w:tcW w:w="120" w:type="dxa"/>
            <w:shd w:val="clear" w:color="auto" w:fill="CCECFC"/>
          </w:tcPr>
          <w:p>
            <w:pPr/>
          </w:p>
        </w:tc>
        <w:tc>
          <w:tcPr>
            <w:tcW w:w="1330" w:type="dxa"/>
            <w:tcBorders>
              <w:top w:val="single" w:sz="8" w:space="0" w:color="231F20"/>
            </w:tcBorders>
            <w:shd w:val="clear" w:color="auto" w:fill="CCECFC"/>
          </w:tcPr>
          <w:p>
            <w:pPr>
              <w:pStyle w:val="TableParagraph"/>
              <w:spacing w:before="36"/>
              <w:ind w:right="99"/>
              <w:jc w:val="right"/>
              <w:rPr>
                <w:sz w:val="20"/>
              </w:rPr>
            </w:pPr>
            <w:r>
              <w:rPr>
                <w:color w:val="231F20"/>
                <w:sz w:val="20"/>
              </w:rPr>
              <w:t>335</w:t>
            </w:r>
          </w:p>
        </w:tc>
        <w:tc>
          <w:tcPr>
            <w:tcW w:w="120" w:type="dxa"/>
            <w:shd w:val="clear" w:color="auto" w:fill="CCECFC"/>
          </w:tcPr>
          <w:p>
            <w:pPr/>
          </w:p>
        </w:tc>
        <w:tc>
          <w:tcPr>
            <w:tcW w:w="1413" w:type="dxa"/>
            <w:tcBorders>
              <w:top w:val="single" w:sz="8" w:space="0" w:color="231F20"/>
            </w:tcBorders>
            <w:shd w:val="clear" w:color="auto" w:fill="CCECFC"/>
          </w:tcPr>
          <w:p>
            <w:pPr>
              <w:pStyle w:val="TableParagraph"/>
              <w:spacing w:before="36"/>
              <w:ind w:left="383" w:right="383"/>
              <w:jc w:val="center"/>
              <w:rPr>
                <w:sz w:val="20"/>
              </w:rPr>
            </w:pPr>
            <w:r>
              <w:rPr>
                <w:color w:val="231F20"/>
                <w:sz w:val="20"/>
              </w:rPr>
              <w:t>Level 2</w:t>
            </w:r>
          </w:p>
        </w:tc>
      </w:tr>
      <w:tr>
        <w:trPr>
          <w:trHeight w:val="283" w:hRule="exact"/>
        </w:trPr>
        <w:tc>
          <w:tcPr>
            <w:tcW w:w="4742" w:type="dxa"/>
          </w:tcPr>
          <w:p>
            <w:pPr>
              <w:pStyle w:val="TableParagraph"/>
              <w:spacing w:before="36"/>
              <w:ind w:left="80"/>
              <w:rPr>
                <w:sz w:val="20"/>
              </w:rPr>
            </w:pPr>
            <w:r>
              <w:rPr>
                <w:color w:val="231F20"/>
                <w:sz w:val="20"/>
              </w:rPr>
              <w:t>5.25% Convertible Senior Notes due 2016</w:t>
            </w:r>
          </w:p>
        </w:tc>
        <w:tc>
          <w:tcPr>
            <w:tcW w:w="1395" w:type="dxa"/>
          </w:tcPr>
          <w:p>
            <w:pPr>
              <w:pStyle w:val="TableParagraph"/>
              <w:spacing w:before="36"/>
              <w:ind w:right="97"/>
              <w:jc w:val="right"/>
              <w:rPr>
                <w:sz w:val="20"/>
              </w:rPr>
            </w:pPr>
            <w:r>
              <w:rPr>
                <w:color w:val="231F20"/>
                <w:sz w:val="20"/>
              </w:rPr>
              <w:t>113</w:t>
            </w:r>
          </w:p>
        </w:tc>
        <w:tc>
          <w:tcPr>
            <w:tcW w:w="120" w:type="dxa"/>
          </w:tcPr>
          <w:p>
            <w:pPr/>
          </w:p>
        </w:tc>
        <w:tc>
          <w:tcPr>
            <w:tcW w:w="1330" w:type="dxa"/>
          </w:tcPr>
          <w:p>
            <w:pPr>
              <w:pStyle w:val="TableParagraph"/>
              <w:spacing w:before="36"/>
              <w:ind w:right="97"/>
              <w:jc w:val="right"/>
              <w:rPr>
                <w:sz w:val="20"/>
              </w:rPr>
            </w:pPr>
            <w:r>
              <w:rPr>
                <w:color w:val="231F20"/>
                <w:sz w:val="20"/>
              </w:rPr>
              <w:t>318</w:t>
            </w:r>
          </w:p>
        </w:tc>
        <w:tc>
          <w:tcPr>
            <w:tcW w:w="120" w:type="dxa"/>
          </w:tcPr>
          <w:p>
            <w:pPr/>
          </w:p>
        </w:tc>
        <w:tc>
          <w:tcPr>
            <w:tcW w:w="1413" w:type="dxa"/>
          </w:tcPr>
          <w:p>
            <w:pPr>
              <w:pStyle w:val="TableParagraph"/>
              <w:spacing w:before="36"/>
              <w:ind w:left="383" w:right="383"/>
              <w:jc w:val="center"/>
              <w:rPr>
                <w:sz w:val="20"/>
              </w:rPr>
            </w:pPr>
            <w:r>
              <w:rPr>
                <w:color w:val="231F20"/>
                <w:sz w:val="20"/>
              </w:rPr>
              <w:t>Level 2</w:t>
            </w:r>
          </w:p>
        </w:tc>
      </w:tr>
      <w:tr>
        <w:trPr>
          <w:trHeight w:val="283" w:hRule="exact"/>
        </w:trPr>
        <w:tc>
          <w:tcPr>
            <w:tcW w:w="4742" w:type="dxa"/>
            <w:shd w:val="clear" w:color="auto" w:fill="CCECFC"/>
          </w:tcPr>
          <w:p>
            <w:pPr>
              <w:pStyle w:val="TableParagraph"/>
              <w:spacing w:before="36"/>
              <w:ind w:left="80"/>
              <w:rPr>
                <w:sz w:val="20"/>
              </w:rPr>
            </w:pPr>
            <w:r>
              <w:rPr>
                <w:color w:val="231F20"/>
                <w:sz w:val="20"/>
              </w:rPr>
              <w:t>5.125% Notes due 2017</w:t>
            </w:r>
          </w:p>
        </w:tc>
        <w:tc>
          <w:tcPr>
            <w:tcW w:w="1395" w:type="dxa"/>
            <w:shd w:val="clear" w:color="auto" w:fill="CCECFC"/>
          </w:tcPr>
          <w:p>
            <w:pPr>
              <w:pStyle w:val="TableParagraph"/>
              <w:spacing w:before="36"/>
              <w:ind w:right="99"/>
              <w:jc w:val="right"/>
              <w:rPr>
                <w:sz w:val="20"/>
              </w:rPr>
            </w:pPr>
            <w:r>
              <w:rPr>
                <w:color w:val="231F20"/>
                <w:sz w:val="20"/>
              </w:rPr>
              <w:t>316</w:t>
            </w:r>
          </w:p>
        </w:tc>
        <w:tc>
          <w:tcPr>
            <w:tcW w:w="120" w:type="dxa"/>
            <w:shd w:val="clear" w:color="auto" w:fill="CCECFC"/>
          </w:tcPr>
          <w:p>
            <w:pPr/>
          </w:p>
        </w:tc>
        <w:tc>
          <w:tcPr>
            <w:tcW w:w="1330" w:type="dxa"/>
            <w:shd w:val="clear" w:color="auto" w:fill="CCECFC"/>
          </w:tcPr>
          <w:p>
            <w:pPr>
              <w:pStyle w:val="TableParagraph"/>
              <w:spacing w:before="36"/>
              <w:ind w:right="99"/>
              <w:jc w:val="right"/>
              <w:rPr>
                <w:sz w:val="20"/>
              </w:rPr>
            </w:pPr>
            <w:r>
              <w:rPr>
                <w:color w:val="231F20"/>
                <w:sz w:val="20"/>
              </w:rPr>
              <w:t>338</w:t>
            </w:r>
          </w:p>
        </w:tc>
        <w:tc>
          <w:tcPr>
            <w:tcW w:w="120" w:type="dxa"/>
            <w:shd w:val="clear" w:color="auto" w:fill="CCECFC"/>
          </w:tcPr>
          <w:p>
            <w:pPr/>
          </w:p>
        </w:tc>
        <w:tc>
          <w:tcPr>
            <w:tcW w:w="1413" w:type="dxa"/>
            <w:shd w:val="clear" w:color="auto" w:fill="CCECFC"/>
          </w:tcPr>
          <w:p>
            <w:pPr>
              <w:pStyle w:val="TableParagraph"/>
              <w:spacing w:before="36"/>
              <w:ind w:left="383" w:right="383"/>
              <w:jc w:val="center"/>
              <w:rPr>
                <w:sz w:val="20"/>
              </w:rPr>
            </w:pPr>
            <w:r>
              <w:rPr>
                <w:color w:val="231F20"/>
                <w:sz w:val="20"/>
              </w:rPr>
              <w:t>Level 2</w:t>
            </w:r>
          </w:p>
        </w:tc>
      </w:tr>
      <w:tr>
        <w:trPr>
          <w:trHeight w:val="283" w:hRule="exact"/>
        </w:trPr>
        <w:tc>
          <w:tcPr>
            <w:tcW w:w="4742" w:type="dxa"/>
          </w:tcPr>
          <w:p>
            <w:pPr>
              <w:pStyle w:val="TableParagraph"/>
              <w:spacing w:before="36"/>
              <w:ind w:left="80"/>
              <w:rPr>
                <w:sz w:val="20"/>
              </w:rPr>
            </w:pPr>
            <w:r>
              <w:rPr>
                <w:color w:val="231F20"/>
                <w:sz w:val="20"/>
              </w:rPr>
              <w:t>French Credit Agreements due 2018 - 1.06%</w:t>
            </w:r>
          </w:p>
        </w:tc>
        <w:tc>
          <w:tcPr>
            <w:tcW w:w="1395" w:type="dxa"/>
          </w:tcPr>
          <w:p>
            <w:pPr>
              <w:pStyle w:val="TableParagraph"/>
              <w:spacing w:before="36"/>
              <w:ind w:right="97"/>
              <w:jc w:val="right"/>
              <w:rPr>
                <w:sz w:val="20"/>
              </w:rPr>
            </w:pPr>
            <w:r>
              <w:rPr>
                <w:color w:val="231F20"/>
                <w:sz w:val="20"/>
              </w:rPr>
              <w:t>36</w:t>
            </w:r>
          </w:p>
        </w:tc>
        <w:tc>
          <w:tcPr>
            <w:tcW w:w="120" w:type="dxa"/>
          </w:tcPr>
          <w:p>
            <w:pPr/>
          </w:p>
        </w:tc>
        <w:tc>
          <w:tcPr>
            <w:tcW w:w="1330" w:type="dxa"/>
          </w:tcPr>
          <w:p>
            <w:pPr>
              <w:pStyle w:val="TableParagraph"/>
              <w:spacing w:before="36"/>
              <w:ind w:right="97"/>
              <w:jc w:val="right"/>
              <w:rPr>
                <w:sz w:val="20"/>
              </w:rPr>
            </w:pPr>
            <w:r>
              <w:rPr>
                <w:color w:val="231F20"/>
                <w:sz w:val="20"/>
              </w:rPr>
              <w:t>36</w:t>
            </w:r>
          </w:p>
        </w:tc>
        <w:tc>
          <w:tcPr>
            <w:tcW w:w="120" w:type="dxa"/>
          </w:tcPr>
          <w:p>
            <w:pPr/>
          </w:p>
        </w:tc>
        <w:tc>
          <w:tcPr>
            <w:tcW w:w="1413" w:type="dxa"/>
          </w:tcPr>
          <w:p>
            <w:pPr>
              <w:pStyle w:val="TableParagraph"/>
              <w:spacing w:before="36"/>
              <w:ind w:left="383" w:right="383"/>
              <w:jc w:val="center"/>
              <w:rPr>
                <w:sz w:val="20"/>
              </w:rPr>
            </w:pPr>
            <w:r>
              <w:rPr>
                <w:color w:val="231F20"/>
                <w:sz w:val="20"/>
              </w:rPr>
              <w:t>Level 3</w:t>
            </w:r>
          </w:p>
        </w:tc>
      </w:tr>
      <w:tr>
        <w:trPr>
          <w:trHeight w:val="506" w:hRule="exact"/>
        </w:trPr>
        <w:tc>
          <w:tcPr>
            <w:tcW w:w="4742" w:type="dxa"/>
            <w:shd w:val="clear" w:color="auto" w:fill="CCECFC"/>
          </w:tcPr>
          <w:p>
            <w:pPr>
              <w:pStyle w:val="TableParagraph"/>
              <w:spacing w:line="222" w:lineRule="exact" w:before="45"/>
              <w:ind w:left="280" w:right="554" w:hanging="200"/>
              <w:rPr>
                <w:sz w:val="20"/>
              </w:rPr>
            </w:pPr>
            <w:r>
              <w:rPr>
                <w:color w:val="231F20"/>
                <w:spacing w:val="-4"/>
                <w:sz w:val="20"/>
              </w:rPr>
              <w:t>Fixed-rate </w:t>
            </w:r>
            <w:r>
              <w:rPr>
                <w:color w:val="231F20"/>
                <w:spacing w:val="-3"/>
                <w:sz w:val="20"/>
              </w:rPr>
              <w:t>737 </w:t>
            </w:r>
            <w:r>
              <w:rPr>
                <w:color w:val="231F20"/>
                <w:spacing w:val="-4"/>
                <w:sz w:val="20"/>
              </w:rPr>
              <w:t>Aircraft Notes payable through </w:t>
            </w:r>
            <w:r>
              <w:rPr>
                <w:color w:val="231F20"/>
                <w:spacing w:val="-3"/>
                <w:sz w:val="20"/>
              </w:rPr>
              <w:t>2018 </w:t>
            </w:r>
            <w:r>
              <w:rPr>
                <w:color w:val="231F20"/>
                <w:sz w:val="20"/>
              </w:rPr>
              <w:t>- </w:t>
            </w:r>
            <w:r>
              <w:rPr>
                <w:color w:val="231F20"/>
                <w:spacing w:val="-4"/>
                <w:sz w:val="20"/>
              </w:rPr>
              <w:t>7.02%</w:t>
            </w:r>
          </w:p>
        </w:tc>
        <w:tc>
          <w:tcPr>
            <w:tcW w:w="1395" w:type="dxa"/>
            <w:shd w:val="clear" w:color="auto" w:fill="CCECFC"/>
          </w:tcPr>
          <w:p>
            <w:pPr>
              <w:pStyle w:val="TableParagraph"/>
              <w:spacing w:before="6"/>
              <w:rPr>
                <w:b/>
                <w:sz w:val="22"/>
              </w:rPr>
            </w:pPr>
          </w:p>
          <w:p>
            <w:pPr>
              <w:pStyle w:val="TableParagraph"/>
              <w:spacing w:before="0"/>
              <w:ind w:right="99"/>
              <w:jc w:val="right"/>
              <w:rPr>
                <w:sz w:val="20"/>
              </w:rPr>
            </w:pPr>
            <w:r>
              <w:rPr>
                <w:color w:val="231F20"/>
                <w:sz w:val="20"/>
              </w:rPr>
              <w:t>24</w:t>
            </w:r>
          </w:p>
        </w:tc>
        <w:tc>
          <w:tcPr>
            <w:tcW w:w="120" w:type="dxa"/>
            <w:shd w:val="clear" w:color="auto" w:fill="CCECFC"/>
          </w:tcPr>
          <w:p>
            <w:pPr/>
          </w:p>
        </w:tc>
        <w:tc>
          <w:tcPr>
            <w:tcW w:w="1330" w:type="dxa"/>
            <w:shd w:val="clear" w:color="auto" w:fill="CCECFC"/>
          </w:tcPr>
          <w:p>
            <w:pPr>
              <w:pStyle w:val="TableParagraph"/>
              <w:spacing w:before="6"/>
              <w:rPr>
                <w:b/>
                <w:sz w:val="22"/>
              </w:rPr>
            </w:pPr>
          </w:p>
          <w:p>
            <w:pPr>
              <w:pStyle w:val="TableParagraph"/>
              <w:spacing w:before="0"/>
              <w:ind w:right="99"/>
              <w:jc w:val="right"/>
              <w:rPr>
                <w:sz w:val="20"/>
              </w:rPr>
            </w:pPr>
            <w:r>
              <w:rPr>
                <w:color w:val="231F20"/>
                <w:sz w:val="20"/>
              </w:rPr>
              <w:t>25</w:t>
            </w:r>
          </w:p>
        </w:tc>
        <w:tc>
          <w:tcPr>
            <w:tcW w:w="120" w:type="dxa"/>
            <w:shd w:val="clear" w:color="auto" w:fill="CCECFC"/>
          </w:tcPr>
          <w:p>
            <w:pPr/>
          </w:p>
        </w:tc>
        <w:tc>
          <w:tcPr>
            <w:tcW w:w="1413" w:type="dxa"/>
            <w:shd w:val="clear" w:color="auto" w:fill="CCECFC"/>
          </w:tcPr>
          <w:p>
            <w:pPr>
              <w:pStyle w:val="TableParagraph"/>
              <w:spacing w:before="6"/>
              <w:rPr>
                <w:b/>
                <w:sz w:val="22"/>
              </w:rPr>
            </w:pPr>
          </w:p>
          <w:p>
            <w:pPr>
              <w:pStyle w:val="TableParagraph"/>
              <w:spacing w:before="0"/>
              <w:ind w:left="383" w:right="383"/>
              <w:jc w:val="center"/>
              <w:rPr>
                <w:sz w:val="20"/>
              </w:rPr>
            </w:pPr>
            <w:r>
              <w:rPr>
                <w:color w:val="231F20"/>
                <w:sz w:val="20"/>
              </w:rPr>
              <w:t>Level 3</w:t>
            </w:r>
          </w:p>
        </w:tc>
      </w:tr>
      <w:tr>
        <w:trPr>
          <w:trHeight w:val="283" w:hRule="exact"/>
        </w:trPr>
        <w:tc>
          <w:tcPr>
            <w:tcW w:w="4742" w:type="dxa"/>
          </w:tcPr>
          <w:p>
            <w:pPr>
              <w:pStyle w:val="TableParagraph"/>
              <w:spacing w:before="36"/>
              <w:ind w:left="80"/>
              <w:rPr>
                <w:sz w:val="20"/>
              </w:rPr>
            </w:pPr>
            <w:r>
              <w:rPr>
                <w:color w:val="231F20"/>
                <w:sz w:val="20"/>
              </w:rPr>
              <w:t>2.75% Notes due 2019</w:t>
            </w:r>
          </w:p>
        </w:tc>
        <w:tc>
          <w:tcPr>
            <w:tcW w:w="1395" w:type="dxa"/>
          </w:tcPr>
          <w:p>
            <w:pPr>
              <w:pStyle w:val="TableParagraph"/>
              <w:spacing w:before="36"/>
              <w:ind w:right="99"/>
              <w:jc w:val="right"/>
              <w:rPr>
                <w:sz w:val="20"/>
              </w:rPr>
            </w:pPr>
            <w:r>
              <w:rPr>
                <w:color w:val="231F20"/>
                <w:sz w:val="20"/>
              </w:rPr>
              <w:t>300</w:t>
            </w:r>
          </w:p>
        </w:tc>
        <w:tc>
          <w:tcPr>
            <w:tcW w:w="120" w:type="dxa"/>
          </w:tcPr>
          <w:p>
            <w:pPr/>
          </w:p>
        </w:tc>
        <w:tc>
          <w:tcPr>
            <w:tcW w:w="1330" w:type="dxa"/>
          </w:tcPr>
          <w:p>
            <w:pPr>
              <w:pStyle w:val="TableParagraph"/>
              <w:spacing w:before="36"/>
              <w:ind w:right="99"/>
              <w:jc w:val="right"/>
              <w:rPr>
                <w:sz w:val="20"/>
              </w:rPr>
            </w:pPr>
            <w:r>
              <w:rPr>
                <w:color w:val="231F20"/>
                <w:sz w:val="20"/>
              </w:rPr>
              <w:t>304</w:t>
            </w:r>
          </w:p>
        </w:tc>
        <w:tc>
          <w:tcPr>
            <w:tcW w:w="120" w:type="dxa"/>
          </w:tcPr>
          <w:p>
            <w:pPr/>
          </w:p>
        </w:tc>
        <w:tc>
          <w:tcPr>
            <w:tcW w:w="1413" w:type="dxa"/>
          </w:tcPr>
          <w:p>
            <w:pPr>
              <w:pStyle w:val="TableParagraph"/>
              <w:spacing w:before="36"/>
              <w:ind w:left="383" w:right="383"/>
              <w:jc w:val="center"/>
              <w:rPr>
                <w:sz w:val="20"/>
              </w:rPr>
            </w:pPr>
            <w:r>
              <w:rPr>
                <w:color w:val="231F20"/>
                <w:sz w:val="20"/>
              </w:rPr>
              <w:t>Level 2</w:t>
            </w:r>
          </w:p>
        </w:tc>
      </w:tr>
      <w:tr>
        <w:trPr>
          <w:trHeight w:val="283" w:hRule="exact"/>
        </w:trPr>
        <w:tc>
          <w:tcPr>
            <w:tcW w:w="4742" w:type="dxa"/>
            <w:shd w:val="clear" w:color="auto" w:fill="CCECFC"/>
          </w:tcPr>
          <w:p>
            <w:pPr>
              <w:pStyle w:val="TableParagraph"/>
              <w:spacing w:before="36"/>
              <w:ind w:left="80"/>
              <w:rPr>
                <w:sz w:val="20"/>
              </w:rPr>
            </w:pPr>
            <w:r>
              <w:rPr>
                <w:color w:val="231F20"/>
                <w:sz w:val="20"/>
              </w:rPr>
              <w:t>Term Loan Agreement due 2019 - 6.315%</w:t>
            </w:r>
          </w:p>
        </w:tc>
        <w:tc>
          <w:tcPr>
            <w:tcW w:w="1395" w:type="dxa"/>
            <w:shd w:val="clear" w:color="auto" w:fill="CCECFC"/>
          </w:tcPr>
          <w:p>
            <w:pPr>
              <w:pStyle w:val="TableParagraph"/>
              <w:spacing w:before="36"/>
              <w:ind w:right="97"/>
              <w:jc w:val="right"/>
              <w:rPr>
                <w:sz w:val="20"/>
              </w:rPr>
            </w:pPr>
            <w:r>
              <w:rPr>
                <w:color w:val="231F20"/>
                <w:sz w:val="20"/>
              </w:rPr>
              <w:t>178</w:t>
            </w:r>
          </w:p>
        </w:tc>
        <w:tc>
          <w:tcPr>
            <w:tcW w:w="120" w:type="dxa"/>
            <w:shd w:val="clear" w:color="auto" w:fill="CCECFC"/>
          </w:tcPr>
          <w:p>
            <w:pPr/>
          </w:p>
        </w:tc>
        <w:tc>
          <w:tcPr>
            <w:tcW w:w="1330" w:type="dxa"/>
            <w:shd w:val="clear" w:color="auto" w:fill="CCECFC"/>
          </w:tcPr>
          <w:p>
            <w:pPr>
              <w:pStyle w:val="TableParagraph"/>
              <w:spacing w:before="36"/>
              <w:ind w:right="97"/>
              <w:jc w:val="right"/>
              <w:rPr>
                <w:sz w:val="20"/>
              </w:rPr>
            </w:pPr>
            <w:r>
              <w:rPr>
                <w:color w:val="231F20"/>
                <w:sz w:val="20"/>
              </w:rPr>
              <w:t>178</w:t>
            </w:r>
          </w:p>
        </w:tc>
        <w:tc>
          <w:tcPr>
            <w:tcW w:w="120" w:type="dxa"/>
            <w:shd w:val="clear" w:color="auto" w:fill="CCECFC"/>
          </w:tcPr>
          <w:p>
            <w:pPr/>
          </w:p>
        </w:tc>
        <w:tc>
          <w:tcPr>
            <w:tcW w:w="1413" w:type="dxa"/>
            <w:shd w:val="clear" w:color="auto" w:fill="CCECFC"/>
          </w:tcPr>
          <w:p>
            <w:pPr>
              <w:pStyle w:val="TableParagraph"/>
              <w:spacing w:before="36"/>
              <w:ind w:left="383" w:right="383"/>
              <w:jc w:val="center"/>
              <w:rPr>
                <w:sz w:val="20"/>
              </w:rPr>
            </w:pPr>
            <w:r>
              <w:rPr>
                <w:color w:val="231F20"/>
                <w:sz w:val="20"/>
              </w:rPr>
              <w:t>Level 3</w:t>
            </w:r>
          </w:p>
        </w:tc>
      </w:tr>
      <w:tr>
        <w:trPr>
          <w:trHeight w:val="283" w:hRule="exact"/>
        </w:trPr>
        <w:tc>
          <w:tcPr>
            <w:tcW w:w="4742" w:type="dxa"/>
          </w:tcPr>
          <w:p>
            <w:pPr>
              <w:pStyle w:val="TableParagraph"/>
              <w:spacing w:before="36"/>
              <w:ind w:left="80"/>
              <w:rPr>
                <w:sz w:val="20"/>
              </w:rPr>
            </w:pPr>
            <w:r>
              <w:rPr>
                <w:color w:val="231F20"/>
                <w:sz w:val="20"/>
              </w:rPr>
              <w:t>Term Loan Agreement due 2019 - 6.84%</w:t>
            </w:r>
          </w:p>
        </w:tc>
        <w:tc>
          <w:tcPr>
            <w:tcW w:w="1395" w:type="dxa"/>
          </w:tcPr>
          <w:p>
            <w:pPr>
              <w:pStyle w:val="TableParagraph"/>
              <w:spacing w:before="36"/>
              <w:ind w:right="97"/>
              <w:jc w:val="right"/>
              <w:rPr>
                <w:sz w:val="20"/>
              </w:rPr>
            </w:pPr>
            <w:r>
              <w:rPr>
                <w:color w:val="231F20"/>
                <w:sz w:val="20"/>
              </w:rPr>
              <w:t>73</w:t>
            </w:r>
          </w:p>
        </w:tc>
        <w:tc>
          <w:tcPr>
            <w:tcW w:w="120" w:type="dxa"/>
          </w:tcPr>
          <w:p>
            <w:pPr/>
          </w:p>
        </w:tc>
        <w:tc>
          <w:tcPr>
            <w:tcW w:w="1330" w:type="dxa"/>
          </w:tcPr>
          <w:p>
            <w:pPr>
              <w:pStyle w:val="TableParagraph"/>
              <w:spacing w:before="36"/>
              <w:ind w:right="97"/>
              <w:jc w:val="right"/>
              <w:rPr>
                <w:sz w:val="20"/>
              </w:rPr>
            </w:pPr>
            <w:r>
              <w:rPr>
                <w:color w:val="231F20"/>
                <w:sz w:val="20"/>
              </w:rPr>
              <w:t>79</w:t>
            </w:r>
          </w:p>
        </w:tc>
        <w:tc>
          <w:tcPr>
            <w:tcW w:w="120" w:type="dxa"/>
          </w:tcPr>
          <w:p>
            <w:pPr/>
          </w:p>
        </w:tc>
        <w:tc>
          <w:tcPr>
            <w:tcW w:w="1413" w:type="dxa"/>
          </w:tcPr>
          <w:p>
            <w:pPr>
              <w:pStyle w:val="TableParagraph"/>
              <w:spacing w:before="36"/>
              <w:ind w:left="383" w:right="383"/>
              <w:jc w:val="center"/>
              <w:rPr>
                <w:sz w:val="20"/>
              </w:rPr>
            </w:pPr>
            <w:r>
              <w:rPr>
                <w:color w:val="231F20"/>
                <w:sz w:val="20"/>
              </w:rPr>
              <w:t>Level 3</w:t>
            </w:r>
          </w:p>
        </w:tc>
      </w:tr>
      <w:tr>
        <w:trPr>
          <w:trHeight w:val="283" w:hRule="exact"/>
        </w:trPr>
        <w:tc>
          <w:tcPr>
            <w:tcW w:w="4742" w:type="dxa"/>
            <w:shd w:val="clear" w:color="auto" w:fill="CCECFC"/>
          </w:tcPr>
          <w:p>
            <w:pPr>
              <w:pStyle w:val="TableParagraph"/>
              <w:spacing w:before="36"/>
              <w:ind w:left="80"/>
              <w:rPr>
                <w:sz w:val="20"/>
              </w:rPr>
            </w:pPr>
            <w:r>
              <w:rPr>
                <w:color w:val="231F20"/>
                <w:sz w:val="20"/>
              </w:rPr>
              <w:t>Term Loan Agreement due 2020 - 5.223%</w:t>
            </w:r>
          </w:p>
        </w:tc>
        <w:tc>
          <w:tcPr>
            <w:tcW w:w="1395" w:type="dxa"/>
            <w:shd w:val="clear" w:color="auto" w:fill="CCECFC"/>
          </w:tcPr>
          <w:p>
            <w:pPr>
              <w:pStyle w:val="TableParagraph"/>
              <w:spacing w:before="36"/>
              <w:ind w:right="97"/>
              <w:jc w:val="right"/>
              <w:rPr>
                <w:sz w:val="20"/>
              </w:rPr>
            </w:pPr>
            <w:r>
              <w:rPr>
                <w:color w:val="231F20"/>
                <w:sz w:val="20"/>
              </w:rPr>
              <w:t>372</w:t>
            </w:r>
          </w:p>
        </w:tc>
        <w:tc>
          <w:tcPr>
            <w:tcW w:w="120" w:type="dxa"/>
            <w:shd w:val="clear" w:color="auto" w:fill="CCECFC"/>
          </w:tcPr>
          <w:p>
            <w:pPr/>
          </w:p>
        </w:tc>
        <w:tc>
          <w:tcPr>
            <w:tcW w:w="1330" w:type="dxa"/>
            <w:shd w:val="clear" w:color="auto" w:fill="CCECFC"/>
          </w:tcPr>
          <w:p>
            <w:pPr>
              <w:pStyle w:val="TableParagraph"/>
              <w:spacing w:before="36"/>
              <w:ind w:right="97"/>
              <w:jc w:val="right"/>
              <w:rPr>
                <w:sz w:val="20"/>
              </w:rPr>
            </w:pPr>
            <w:r>
              <w:rPr>
                <w:color w:val="231F20"/>
                <w:sz w:val="20"/>
              </w:rPr>
              <w:t>367</w:t>
            </w:r>
          </w:p>
        </w:tc>
        <w:tc>
          <w:tcPr>
            <w:tcW w:w="120" w:type="dxa"/>
            <w:shd w:val="clear" w:color="auto" w:fill="CCECFC"/>
          </w:tcPr>
          <w:p>
            <w:pPr/>
          </w:p>
        </w:tc>
        <w:tc>
          <w:tcPr>
            <w:tcW w:w="1413" w:type="dxa"/>
            <w:shd w:val="clear" w:color="auto" w:fill="CCECFC"/>
          </w:tcPr>
          <w:p>
            <w:pPr>
              <w:pStyle w:val="TableParagraph"/>
              <w:spacing w:before="36"/>
              <w:ind w:left="383" w:right="383"/>
              <w:jc w:val="center"/>
              <w:rPr>
                <w:sz w:val="20"/>
              </w:rPr>
            </w:pPr>
            <w:r>
              <w:rPr>
                <w:color w:val="231F20"/>
                <w:sz w:val="20"/>
              </w:rPr>
              <w:t>Level 3</w:t>
            </w:r>
          </w:p>
        </w:tc>
      </w:tr>
      <w:tr>
        <w:trPr>
          <w:trHeight w:val="283" w:hRule="exact"/>
        </w:trPr>
        <w:tc>
          <w:tcPr>
            <w:tcW w:w="4742" w:type="dxa"/>
          </w:tcPr>
          <w:p>
            <w:pPr>
              <w:pStyle w:val="TableParagraph"/>
              <w:spacing w:before="36"/>
              <w:ind w:left="80"/>
              <w:rPr>
                <w:sz w:val="20"/>
              </w:rPr>
            </w:pPr>
            <w:r>
              <w:rPr>
                <w:color w:val="231F20"/>
                <w:sz w:val="20"/>
              </w:rPr>
              <w:t>Floating-rate 737 Aircraft Notes payable through 2020</w:t>
            </w:r>
          </w:p>
        </w:tc>
        <w:tc>
          <w:tcPr>
            <w:tcW w:w="1395" w:type="dxa"/>
          </w:tcPr>
          <w:p>
            <w:pPr>
              <w:pStyle w:val="TableParagraph"/>
              <w:spacing w:before="36"/>
              <w:ind w:right="97"/>
              <w:jc w:val="right"/>
              <w:rPr>
                <w:sz w:val="20"/>
              </w:rPr>
            </w:pPr>
            <w:r>
              <w:rPr>
                <w:color w:val="231F20"/>
                <w:sz w:val="20"/>
              </w:rPr>
              <w:t>300</w:t>
            </w:r>
          </w:p>
        </w:tc>
        <w:tc>
          <w:tcPr>
            <w:tcW w:w="120" w:type="dxa"/>
          </w:tcPr>
          <w:p>
            <w:pPr/>
          </w:p>
        </w:tc>
        <w:tc>
          <w:tcPr>
            <w:tcW w:w="1330" w:type="dxa"/>
          </w:tcPr>
          <w:p>
            <w:pPr>
              <w:pStyle w:val="TableParagraph"/>
              <w:spacing w:before="36"/>
              <w:ind w:right="97"/>
              <w:jc w:val="right"/>
              <w:rPr>
                <w:sz w:val="20"/>
              </w:rPr>
            </w:pPr>
            <w:r>
              <w:rPr>
                <w:color w:val="231F20"/>
                <w:sz w:val="20"/>
              </w:rPr>
              <w:t>293</w:t>
            </w:r>
          </w:p>
        </w:tc>
        <w:tc>
          <w:tcPr>
            <w:tcW w:w="120" w:type="dxa"/>
          </w:tcPr>
          <w:p>
            <w:pPr/>
          </w:p>
        </w:tc>
        <w:tc>
          <w:tcPr>
            <w:tcW w:w="1413" w:type="dxa"/>
          </w:tcPr>
          <w:p>
            <w:pPr>
              <w:pStyle w:val="TableParagraph"/>
              <w:spacing w:before="36"/>
              <w:ind w:left="383" w:right="383"/>
              <w:jc w:val="center"/>
              <w:rPr>
                <w:sz w:val="20"/>
              </w:rPr>
            </w:pPr>
            <w:r>
              <w:rPr>
                <w:color w:val="231F20"/>
                <w:sz w:val="20"/>
              </w:rPr>
              <w:t>Level 3</w:t>
            </w:r>
          </w:p>
        </w:tc>
      </w:tr>
      <w:tr>
        <w:trPr>
          <w:trHeight w:val="283" w:hRule="exact"/>
        </w:trPr>
        <w:tc>
          <w:tcPr>
            <w:tcW w:w="4742" w:type="dxa"/>
            <w:shd w:val="clear" w:color="auto" w:fill="CCECFC"/>
          </w:tcPr>
          <w:p>
            <w:pPr>
              <w:pStyle w:val="TableParagraph"/>
              <w:spacing w:before="36"/>
              <w:ind w:left="80"/>
              <w:rPr>
                <w:sz w:val="20"/>
              </w:rPr>
            </w:pPr>
            <w:r>
              <w:rPr>
                <w:color w:val="231F20"/>
                <w:sz w:val="20"/>
              </w:rPr>
              <w:t>Pass Through Certificates due 2022 - 6.24%</w:t>
            </w:r>
          </w:p>
        </w:tc>
        <w:tc>
          <w:tcPr>
            <w:tcW w:w="1395" w:type="dxa"/>
            <w:shd w:val="clear" w:color="auto" w:fill="CCECFC"/>
          </w:tcPr>
          <w:p>
            <w:pPr>
              <w:pStyle w:val="TableParagraph"/>
              <w:spacing w:before="36"/>
              <w:ind w:right="97"/>
              <w:jc w:val="right"/>
              <w:rPr>
                <w:sz w:val="20"/>
              </w:rPr>
            </w:pPr>
            <w:r>
              <w:rPr>
                <w:color w:val="231F20"/>
                <w:sz w:val="20"/>
              </w:rPr>
              <w:t>355</w:t>
            </w:r>
          </w:p>
        </w:tc>
        <w:tc>
          <w:tcPr>
            <w:tcW w:w="120" w:type="dxa"/>
            <w:shd w:val="clear" w:color="auto" w:fill="CCECFC"/>
          </w:tcPr>
          <w:p>
            <w:pPr/>
          </w:p>
        </w:tc>
        <w:tc>
          <w:tcPr>
            <w:tcW w:w="1330" w:type="dxa"/>
            <w:shd w:val="clear" w:color="auto" w:fill="CCECFC"/>
          </w:tcPr>
          <w:p>
            <w:pPr>
              <w:pStyle w:val="TableParagraph"/>
              <w:spacing w:before="36"/>
              <w:ind w:right="97"/>
              <w:jc w:val="right"/>
              <w:rPr>
                <w:sz w:val="20"/>
              </w:rPr>
            </w:pPr>
            <w:r>
              <w:rPr>
                <w:color w:val="231F20"/>
                <w:sz w:val="20"/>
              </w:rPr>
              <w:t>410</w:t>
            </w:r>
          </w:p>
        </w:tc>
        <w:tc>
          <w:tcPr>
            <w:tcW w:w="120" w:type="dxa"/>
            <w:shd w:val="clear" w:color="auto" w:fill="CCECFC"/>
          </w:tcPr>
          <w:p>
            <w:pPr/>
          </w:p>
        </w:tc>
        <w:tc>
          <w:tcPr>
            <w:tcW w:w="1413" w:type="dxa"/>
            <w:shd w:val="clear" w:color="auto" w:fill="CCECFC"/>
          </w:tcPr>
          <w:p>
            <w:pPr>
              <w:pStyle w:val="TableParagraph"/>
              <w:spacing w:before="36"/>
              <w:ind w:left="383" w:right="383"/>
              <w:jc w:val="center"/>
              <w:rPr>
                <w:sz w:val="20"/>
              </w:rPr>
            </w:pPr>
            <w:r>
              <w:rPr>
                <w:color w:val="231F20"/>
                <w:sz w:val="20"/>
              </w:rPr>
              <w:t>Level 2</w:t>
            </w:r>
          </w:p>
        </w:tc>
      </w:tr>
      <w:tr>
        <w:trPr>
          <w:trHeight w:val="267" w:hRule="exact"/>
        </w:trPr>
        <w:tc>
          <w:tcPr>
            <w:tcW w:w="4742" w:type="dxa"/>
          </w:tcPr>
          <w:p>
            <w:pPr>
              <w:pStyle w:val="TableParagraph"/>
              <w:spacing w:before="36"/>
              <w:ind w:left="80"/>
              <w:rPr>
                <w:sz w:val="20"/>
              </w:rPr>
            </w:pPr>
            <w:r>
              <w:rPr>
                <w:color w:val="231F20"/>
                <w:sz w:val="20"/>
              </w:rPr>
              <w:t>7.375% Debentures due 2027</w:t>
            </w:r>
          </w:p>
        </w:tc>
        <w:tc>
          <w:tcPr>
            <w:tcW w:w="1395" w:type="dxa"/>
          </w:tcPr>
          <w:p>
            <w:pPr>
              <w:pStyle w:val="TableParagraph"/>
              <w:spacing w:before="36"/>
              <w:ind w:right="97"/>
              <w:jc w:val="right"/>
              <w:rPr>
                <w:sz w:val="20"/>
              </w:rPr>
            </w:pPr>
            <w:r>
              <w:rPr>
                <w:color w:val="231F20"/>
                <w:sz w:val="20"/>
              </w:rPr>
              <w:t>134</w:t>
            </w:r>
          </w:p>
        </w:tc>
        <w:tc>
          <w:tcPr>
            <w:tcW w:w="120" w:type="dxa"/>
          </w:tcPr>
          <w:p>
            <w:pPr/>
          </w:p>
        </w:tc>
        <w:tc>
          <w:tcPr>
            <w:tcW w:w="1330" w:type="dxa"/>
          </w:tcPr>
          <w:p>
            <w:pPr>
              <w:pStyle w:val="TableParagraph"/>
              <w:spacing w:before="36"/>
              <w:ind w:right="97"/>
              <w:jc w:val="right"/>
              <w:rPr>
                <w:sz w:val="20"/>
              </w:rPr>
            </w:pPr>
            <w:r>
              <w:rPr>
                <w:color w:val="231F20"/>
                <w:sz w:val="20"/>
              </w:rPr>
              <w:t>160</w:t>
            </w:r>
          </w:p>
        </w:tc>
        <w:tc>
          <w:tcPr>
            <w:tcW w:w="120" w:type="dxa"/>
          </w:tcPr>
          <w:p>
            <w:pPr/>
          </w:p>
        </w:tc>
        <w:tc>
          <w:tcPr>
            <w:tcW w:w="1413" w:type="dxa"/>
          </w:tcPr>
          <w:p>
            <w:pPr>
              <w:pStyle w:val="TableParagraph"/>
              <w:spacing w:before="36"/>
              <w:ind w:left="383" w:right="383"/>
              <w:jc w:val="center"/>
              <w:rPr>
                <w:sz w:val="20"/>
              </w:rPr>
            </w:pPr>
            <w:r>
              <w:rPr>
                <w:color w:val="231F20"/>
                <w:sz w:val="20"/>
              </w:rPr>
              <w:t>Level 2</w:t>
            </w:r>
          </w:p>
        </w:tc>
      </w:tr>
    </w:tbl>
    <w:p>
      <w:pPr>
        <w:spacing w:after="0"/>
        <w:jc w:val="center"/>
        <w:rPr>
          <w:sz w:val="20"/>
        </w:rPr>
        <w:sectPr>
          <w:type w:val="continuous"/>
          <w:pgSz w:w="11880" w:h="15480"/>
          <w:pgMar w:top="1260" w:bottom="280" w:left="1260" w:right="1260"/>
        </w:sectPr>
      </w:pPr>
    </w:p>
    <w:p>
      <w:pPr>
        <w:pStyle w:val="Heading1"/>
        <w:numPr>
          <w:ilvl w:val="0"/>
          <w:numId w:val="15"/>
        </w:numPr>
        <w:tabs>
          <w:tab w:pos="450" w:val="left" w:leader="none"/>
        </w:tabs>
        <w:spacing w:line="240" w:lineRule="auto" w:before="74" w:after="0"/>
        <w:ind w:left="450" w:right="0" w:hanging="330"/>
        <w:jc w:val="left"/>
      </w:pPr>
      <w:r>
        <w:rPr>
          <w:color w:val="231F20"/>
        </w:rPr>
        <w:t>ACCUMULATED OTHER COMPREHENSIVE INCOME</w:t>
      </w:r>
      <w:r>
        <w:rPr>
          <w:color w:val="231F20"/>
          <w:spacing w:val="3"/>
        </w:rPr>
        <w:t> </w:t>
      </w:r>
      <w:r>
        <w:rPr>
          <w:color w:val="231F20"/>
        </w:rPr>
        <w:t>(LOSS)</w:t>
      </w:r>
    </w:p>
    <w:p>
      <w:pPr>
        <w:pStyle w:val="BodyText"/>
        <w:spacing w:before="7"/>
        <w:rPr>
          <w:b/>
        </w:rPr>
      </w:pPr>
    </w:p>
    <w:p>
      <w:pPr>
        <w:pStyle w:val="BodyText"/>
        <w:spacing w:line="247" w:lineRule="auto"/>
        <w:ind w:left="120" w:right="117" w:firstLine="720"/>
        <w:jc w:val="both"/>
      </w:pPr>
      <w:r>
        <w:rPr>
          <w:color w:val="231F20"/>
        </w:rPr>
        <w:t>Comprehensive income includes changes in the fair value of certain financial derivative instruments that qualify for hedge accounting, unrealized gains and losses on certain investments, and actuarial gains/losses arising from the Company’s postretirement benefit obligation. A rollforward of the amounts included in AOCI, net of taxes, is shown below for 2014 and 2013:</w:t>
      </w:r>
    </w:p>
    <w:p>
      <w:pPr>
        <w:pStyle w:val="BodyText"/>
        <w:spacing w:before="3"/>
        <w:rPr>
          <w:sz w:val="13"/>
        </w:rPr>
      </w:pPr>
    </w:p>
    <w:p>
      <w:pPr>
        <w:spacing w:after="0"/>
        <w:rPr>
          <w:sz w:val="13"/>
        </w:rPr>
        <w:sectPr>
          <w:pgSz w:w="11880" w:h="15480"/>
          <w:pgMar w:header="0" w:footer="1240" w:top="1240" w:bottom="1420" w:left="1260" w:right="1260"/>
        </w:sectPr>
      </w:pPr>
    </w:p>
    <w:p>
      <w:pPr>
        <w:pStyle w:val="BodyText"/>
      </w:pPr>
    </w:p>
    <w:p>
      <w:pPr>
        <w:pStyle w:val="BodyText"/>
        <w:spacing w:before="4"/>
        <w:rPr>
          <w:sz w:val="28"/>
        </w:rPr>
      </w:pPr>
    </w:p>
    <w:p>
      <w:pPr>
        <w:spacing w:before="0"/>
        <w:ind w:left="160" w:right="0" w:firstLine="0"/>
        <w:jc w:val="left"/>
        <w:rPr>
          <w:b/>
          <w:sz w:val="20"/>
        </w:rPr>
      </w:pPr>
      <w:r>
        <w:rPr>
          <w:b/>
          <w:color w:val="231F20"/>
          <w:sz w:val="20"/>
        </w:rPr>
        <w:t>(in millions)</w:t>
      </w:r>
    </w:p>
    <w:p>
      <w:pPr>
        <w:pStyle w:val="BodyText"/>
        <w:spacing w:before="6"/>
        <w:rPr>
          <w:b/>
          <w:sz w:val="29"/>
        </w:rPr>
      </w:pPr>
      <w:r>
        <w:rPr/>
        <w:br w:type="column"/>
      </w:r>
      <w:r>
        <w:rPr>
          <w:b/>
          <w:sz w:val="29"/>
        </w:rPr>
      </w:r>
    </w:p>
    <w:p>
      <w:pPr>
        <w:spacing w:line="249" w:lineRule="auto" w:before="0"/>
        <w:ind w:left="160" w:right="-20" w:firstLine="278"/>
        <w:jc w:val="left"/>
        <w:rPr>
          <w:b/>
          <w:sz w:val="20"/>
        </w:rPr>
      </w:pPr>
      <w:r>
        <w:rPr>
          <w:b/>
          <w:color w:val="231F20"/>
          <w:sz w:val="20"/>
        </w:rPr>
        <w:t>Fuel derivatives</w:t>
      </w:r>
    </w:p>
    <w:p>
      <w:pPr>
        <w:spacing w:line="249" w:lineRule="auto" w:before="99"/>
        <w:ind w:left="81" w:right="0" w:hanging="1"/>
        <w:jc w:val="center"/>
        <w:rPr>
          <w:b/>
          <w:sz w:val="20"/>
        </w:rPr>
      </w:pPr>
      <w:r>
        <w:rPr/>
        <w:br w:type="column"/>
      </w:r>
      <w:r>
        <w:rPr>
          <w:b/>
          <w:color w:val="231F20"/>
          <w:sz w:val="20"/>
        </w:rPr>
        <w:t>Interest rate derivatives</w:t>
      </w:r>
    </w:p>
    <w:p>
      <w:pPr>
        <w:spacing w:line="249" w:lineRule="auto" w:before="99"/>
        <w:ind w:left="81" w:right="613" w:firstLine="175"/>
        <w:jc w:val="left"/>
        <w:rPr>
          <w:b/>
          <w:sz w:val="20"/>
        </w:rPr>
      </w:pPr>
      <w:r>
        <w:rPr/>
        <w:br w:type="column"/>
      </w:r>
      <w:r>
        <w:rPr>
          <w:b/>
          <w:color w:val="231F20"/>
          <w:sz w:val="20"/>
        </w:rPr>
        <w:t>Defined benefit plan</w:t>
      </w:r>
    </w:p>
    <w:p>
      <w:pPr>
        <w:tabs>
          <w:tab w:pos="1219" w:val="left" w:leader="none"/>
        </w:tabs>
        <w:spacing w:before="0"/>
        <w:ind w:left="361" w:right="0" w:firstLine="0"/>
        <w:jc w:val="left"/>
        <w:rPr>
          <w:b/>
          <w:sz w:val="20"/>
        </w:rPr>
      </w:pPr>
      <w:r>
        <w:rPr>
          <w:b/>
          <w:color w:val="231F20"/>
          <w:sz w:val="20"/>
        </w:rPr>
        <w:t>items</w:t>
        <w:tab/>
        <w:t>Other</w:t>
      </w:r>
    </w:p>
    <w:p>
      <w:pPr>
        <w:spacing w:line="249" w:lineRule="auto" w:before="99"/>
        <w:ind w:left="80" w:right="0" w:firstLine="0"/>
        <w:jc w:val="center"/>
        <w:rPr>
          <w:b/>
          <w:sz w:val="20"/>
        </w:rPr>
      </w:pPr>
      <w:r>
        <w:rPr/>
        <w:br w:type="column"/>
      </w:r>
      <w:r>
        <w:rPr>
          <w:b/>
          <w:color w:val="231F20"/>
          <w:sz w:val="20"/>
        </w:rPr>
        <w:t>Deferred</w:t>
      </w:r>
      <w:r>
        <w:rPr>
          <w:b/>
          <w:color w:val="231F20"/>
          <w:w w:val="100"/>
          <w:sz w:val="20"/>
        </w:rPr>
        <w:t> </w:t>
      </w:r>
      <w:r>
        <w:rPr>
          <w:b/>
          <w:color w:val="231F20"/>
          <w:sz w:val="20"/>
        </w:rPr>
        <w:t>tax impact</w:t>
      </w:r>
    </w:p>
    <w:p>
      <w:pPr>
        <w:spacing w:line="249" w:lineRule="auto" w:before="99"/>
        <w:ind w:left="80" w:right="118" w:firstLine="0"/>
        <w:jc w:val="center"/>
        <w:rPr>
          <w:b/>
          <w:sz w:val="20"/>
        </w:rPr>
      </w:pPr>
      <w:r>
        <w:rPr/>
        <w:br w:type="column"/>
      </w:r>
      <w:r>
        <w:rPr>
          <w:b/>
          <w:color w:val="231F20"/>
          <w:sz w:val="20"/>
        </w:rPr>
        <w:t>Accumulated other</w:t>
      </w:r>
      <w:r>
        <w:rPr>
          <w:b/>
          <w:color w:val="231F20"/>
          <w:w w:val="99"/>
          <w:sz w:val="20"/>
        </w:rPr>
        <w:t> </w:t>
      </w:r>
      <w:r>
        <w:rPr>
          <w:b/>
          <w:color w:val="231F20"/>
          <w:sz w:val="20"/>
        </w:rPr>
        <w:t>comprehensive income (loss)</w:t>
      </w:r>
    </w:p>
    <w:p>
      <w:pPr>
        <w:spacing w:after="0" w:line="249" w:lineRule="auto"/>
        <w:jc w:val="center"/>
        <w:rPr>
          <w:sz w:val="20"/>
        </w:rPr>
        <w:sectPr>
          <w:type w:val="continuous"/>
          <w:pgSz w:w="11880" w:h="15480"/>
          <w:pgMar w:top="1260" w:bottom="280" w:left="1260" w:right="1260"/>
          <w:cols w:num="6" w:equalWidth="0">
            <w:col w:w="1189" w:space="1484"/>
            <w:col w:w="1094" w:space="40"/>
            <w:col w:w="1016" w:space="40"/>
            <w:col w:w="1731" w:space="40"/>
            <w:col w:w="848" w:space="40"/>
            <w:col w:w="1838"/>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13"/>
        <w:gridCol w:w="935"/>
        <w:gridCol w:w="120"/>
        <w:gridCol w:w="935"/>
        <w:gridCol w:w="120"/>
        <w:gridCol w:w="1018"/>
        <w:gridCol w:w="120"/>
        <w:gridCol w:w="512"/>
        <w:gridCol w:w="120"/>
        <w:gridCol w:w="767"/>
        <w:gridCol w:w="120"/>
        <w:gridCol w:w="1640"/>
      </w:tblGrid>
      <w:tr>
        <w:trPr>
          <w:trHeight w:val="310" w:hRule="exact"/>
        </w:trPr>
        <w:tc>
          <w:tcPr>
            <w:tcW w:w="2713" w:type="dxa"/>
            <w:tcBorders>
              <w:top w:val="single" w:sz="8" w:space="0" w:color="231F20"/>
            </w:tcBorders>
            <w:shd w:val="clear" w:color="auto" w:fill="CCECFC"/>
          </w:tcPr>
          <w:p>
            <w:pPr>
              <w:pStyle w:val="TableParagraph"/>
              <w:spacing w:before="50"/>
              <w:ind w:left="40"/>
              <w:rPr>
                <w:sz w:val="20"/>
              </w:rPr>
            </w:pPr>
            <w:r>
              <w:rPr>
                <w:color w:val="231F20"/>
                <w:sz w:val="20"/>
              </w:rPr>
              <w:t>Balance at December 31, 2012</w:t>
            </w:r>
          </w:p>
        </w:tc>
        <w:tc>
          <w:tcPr>
            <w:tcW w:w="935" w:type="dxa"/>
            <w:tcBorders>
              <w:top w:val="single" w:sz="8" w:space="0" w:color="231F20"/>
            </w:tcBorders>
            <w:shd w:val="clear" w:color="auto" w:fill="CCECFC"/>
          </w:tcPr>
          <w:p>
            <w:pPr>
              <w:pStyle w:val="TableParagraph"/>
              <w:tabs>
                <w:tab w:pos="450" w:val="left" w:leader="none"/>
              </w:tabs>
              <w:spacing w:before="50"/>
              <w:ind w:right="48"/>
              <w:jc w:val="right"/>
              <w:rPr>
                <w:sz w:val="20"/>
              </w:rPr>
            </w:pPr>
            <w:r>
              <w:rPr>
                <w:color w:val="231F20"/>
                <w:sz w:val="20"/>
              </w:rPr>
              <w:t>$</w:t>
              <w:tab/>
              <w:t>(103)</w:t>
            </w:r>
          </w:p>
        </w:tc>
        <w:tc>
          <w:tcPr>
            <w:tcW w:w="120" w:type="dxa"/>
            <w:tcBorders>
              <w:top w:val="single" w:sz="8" w:space="0" w:color="231F20"/>
            </w:tcBorders>
            <w:shd w:val="clear" w:color="auto" w:fill="CCECFC"/>
          </w:tcPr>
          <w:p>
            <w:pPr/>
          </w:p>
        </w:tc>
        <w:tc>
          <w:tcPr>
            <w:tcW w:w="935" w:type="dxa"/>
            <w:tcBorders>
              <w:top w:val="single" w:sz="8" w:space="0" w:color="231F20"/>
            </w:tcBorders>
            <w:shd w:val="clear" w:color="auto" w:fill="CCECFC"/>
          </w:tcPr>
          <w:p>
            <w:pPr>
              <w:pStyle w:val="TableParagraph"/>
              <w:tabs>
                <w:tab w:pos="450" w:val="left" w:leader="none"/>
              </w:tabs>
              <w:spacing w:before="50"/>
              <w:ind w:right="48"/>
              <w:jc w:val="right"/>
              <w:rPr>
                <w:sz w:val="20"/>
              </w:rPr>
            </w:pPr>
            <w:r>
              <w:rPr>
                <w:color w:val="231F20"/>
                <w:sz w:val="20"/>
              </w:rPr>
              <w:t>$</w:t>
              <w:tab/>
              <w:t>(108)</w:t>
            </w:r>
          </w:p>
        </w:tc>
        <w:tc>
          <w:tcPr>
            <w:tcW w:w="120" w:type="dxa"/>
            <w:tcBorders>
              <w:top w:val="single" w:sz="8" w:space="0" w:color="231F20"/>
            </w:tcBorders>
            <w:shd w:val="clear" w:color="auto" w:fill="CCECFC"/>
          </w:tcPr>
          <w:p>
            <w:pPr/>
          </w:p>
        </w:tc>
        <w:tc>
          <w:tcPr>
            <w:tcW w:w="1018" w:type="dxa"/>
            <w:tcBorders>
              <w:top w:val="single" w:sz="8" w:space="0" w:color="231F20"/>
            </w:tcBorders>
            <w:shd w:val="clear" w:color="auto" w:fill="CCECFC"/>
          </w:tcPr>
          <w:p>
            <w:pPr>
              <w:pStyle w:val="TableParagraph"/>
              <w:tabs>
                <w:tab w:pos="717" w:val="left" w:leader="none"/>
              </w:tabs>
              <w:spacing w:before="50"/>
              <w:ind w:right="97"/>
              <w:jc w:val="right"/>
              <w:rPr>
                <w:sz w:val="20"/>
              </w:rPr>
            </w:pPr>
            <w:r>
              <w:rPr>
                <w:color w:val="231F20"/>
                <w:sz w:val="20"/>
              </w:rPr>
              <w:t>$</w:t>
              <w:tab/>
              <w:t>26</w:t>
            </w:r>
          </w:p>
        </w:tc>
        <w:tc>
          <w:tcPr>
            <w:tcW w:w="120" w:type="dxa"/>
            <w:tcBorders>
              <w:top w:val="single" w:sz="8" w:space="0" w:color="231F20"/>
            </w:tcBorders>
            <w:shd w:val="clear" w:color="auto" w:fill="CCECFC"/>
          </w:tcPr>
          <w:p>
            <w:pPr/>
          </w:p>
        </w:tc>
        <w:tc>
          <w:tcPr>
            <w:tcW w:w="512" w:type="dxa"/>
            <w:tcBorders>
              <w:top w:val="single" w:sz="8" w:space="0" w:color="231F20"/>
            </w:tcBorders>
            <w:shd w:val="clear" w:color="auto" w:fill="CCECFC"/>
          </w:tcPr>
          <w:p>
            <w:pPr>
              <w:pStyle w:val="TableParagraph"/>
              <w:spacing w:before="50"/>
              <w:rPr>
                <w:sz w:val="20"/>
              </w:rPr>
            </w:pPr>
            <w:r>
              <w:rPr>
                <w:color w:val="231F20"/>
                <w:sz w:val="20"/>
              </w:rPr>
              <w:t>$  (8)</w:t>
            </w:r>
          </w:p>
        </w:tc>
        <w:tc>
          <w:tcPr>
            <w:tcW w:w="120" w:type="dxa"/>
            <w:tcBorders>
              <w:top w:val="single" w:sz="8" w:space="0" w:color="231F20"/>
            </w:tcBorders>
            <w:shd w:val="clear" w:color="auto" w:fill="CCECFC"/>
          </w:tcPr>
          <w:p>
            <w:pPr/>
          </w:p>
        </w:tc>
        <w:tc>
          <w:tcPr>
            <w:tcW w:w="767" w:type="dxa"/>
            <w:tcBorders>
              <w:top w:val="single" w:sz="8" w:space="0" w:color="231F20"/>
            </w:tcBorders>
            <w:shd w:val="clear" w:color="auto" w:fill="CCECFC"/>
          </w:tcPr>
          <w:p>
            <w:pPr>
              <w:pStyle w:val="TableParagraph"/>
              <w:tabs>
                <w:tab w:pos="466" w:val="left" w:leader="none"/>
              </w:tabs>
              <w:spacing w:before="50"/>
              <w:ind w:right="97"/>
              <w:jc w:val="right"/>
              <w:rPr>
                <w:sz w:val="20"/>
              </w:rPr>
            </w:pPr>
            <w:r>
              <w:rPr>
                <w:color w:val="231F20"/>
                <w:sz w:val="20"/>
              </w:rPr>
              <w:t>$</w:t>
              <w:tab/>
              <w:t>74</w:t>
            </w:r>
          </w:p>
        </w:tc>
        <w:tc>
          <w:tcPr>
            <w:tcW w:w="120" w:type="dxa"/>
            <w:tcBorders>
              <w:top w:val="single" w:sz="8" w:space="0" w:color="231F20"/>
            </w:tcBorders>
            <w:shd w:val="clear" w:color="auto" w:fill="CCECFC"/>
          </w:tcPr>
          <w:p>
            <w:pPr/>
          </w:p>
        </w:tc>
        <w:tc>
          <w:tcPr>
            <w:tcW w:w="1640" w:type="dxa"/>
            <w:tcBorders>
              <w:top w:val="single" w:sz="8" w:space="0" w:color="231F20"/>
            </w:tcBorders>
            <w:shd w:val="clear" w:color="auto" w:fill="CCECFC"/>
          </w:tcPr>
          <w:p>
            <w:pPr>
              <w:pStyle w:val="TableParagraph"/>
              <w:tabs>
                <w:tab w:pos="1155" w:val="left" w:leader="none"/>
              </w:tabs>
              <w:spacing w:before="50"/>
              <w:ind w:right="48"/>
              <w:jc w:val="right"/>
              <w:rPr>
                <w:sz w:val="20"/>
              </w:rPr>
            </w:pPr>
            <w:r>
              <w:rPr>
                <w:color w:val="231F20"/>
                <w:sz w:val="20"/>
              </w:rPr>
              <w:t>$</w:t>
              <w:tab/>
              <w:t>(119)</w:t>
            </w:r>
          </w:p>
        </w:tc>
      </w:tr>
      <w:tr>
        <w:trPr>
          <w:trHeight w:val="300" w:hRule="exact"/>
        </w:trPr>
        <w:tc>
          <w:tcPr>
            <w:tcW w:w="2713" w:type="dxa"/>
          </w:tcPr>
          <w:p>
            <w:pPr>
              <w:pStyle w:val="TableParagraph"/>
              <w:spacing w:before="50"/>
              <w:ind w:left="240"/>
              <w:rPr>
                <w:sz w:val="20"/>
              </w:rPr>
            </w:pPr>
            <w:r>
              <w:rPr>
                <w:color w:val="231F20"/>
                <w:sz w:val="20"/>
              </w:rPr>
              <w:t>Changes in fair value</w:t>
            </w:r>
          </w:p>
        </w:tc>
        <w:tc>
          <w:tcPr>
            <w:tcW w:w="935" w:type="dxa"/>
          </w:tcPr>
          <w:p>
            <w:pPr>
              <w:pStyle w:val="TableParagraph"/>
              <w:spacing w:before="50"/>
              <w:ind w:right="48"/>
              <w:jc w:val="right"/>
              <w:rPr>
                <w:sz w:val="20"/>
              </w:rPr>
            </w:pPr>
            <w:r>
              <w:rPr>
                <w:color w:val="231F20"/>
                <w:sz w:val="20"/>
              </w:rPr>
              <w:t>(82)</w:t>
            </w:r>
          </w:p>
        </w:tc>
        <w:tc>
          <w:tcPr>
            <w:tcW w:w="120" w:type="dxa"/>
          </w:tcPr>
          <w:p>
            <w:pPr/>
          </w:p>
        </w:tc>
        <w:tc>
          <w:tcPr>
            <w:tcW w:w="935" w:type="dxa"/>
          </w:tcPr>
          <w:p>
            <w:pPr>
              <w:pStyle w:val="TableParagraph"/>
              <w:spacing w:before="50"/>
              <w:ind w:right="99"/>
              <w:jc w:val="right"/>
              <w:rPr>
                <w:sz w:val="20"/>
              </w:rPr>
            </w:pPr>
            <w:r>
              <w:rPr>
                <w:color w:val="231F20"/>
                <w:sz w:val="20"/>
              </w:rPr>
              <w:t>22</w:t>
            </w:r>
          </w:p>
        </w:tc>
        <w:tc>
          <w:tcPr>
            <w:tcW w:w="120" w:type="dxa"/>
          </w:tcPr>
          <w:p>
            <w:pPr/>
          </w:p>
        </w:tc>
        <w:tc>
          <w:tcPr>
            <w:tcW w:w="1018" w:type="dxa"/>
          </w:tcPr>
          <w:p>
            <w:pPr>
              <w:pStyle w:val="TableParagraph"/>
              <w:spacing w:before="50"/>
              <w:ind w:right="99"/>
              <w:jc w:val="right"/>
              <w:rPr>
                <w:sz w:val="20"/>
              </w:rPr>
            </w:pPr>
            <w:r>
              <w:rPr>
                <w:color w:val="231F20"/>
                <w:sz w:val="20"/>
              </w:rPr>
              <w:t>39</w:t>
            </w:r>
          </w:p>
        </w:tc>
        <w:tc>
          <w:tcPr>
            <w:tcW w:w="120" w:type="dxa"/>
          </w:tcPr>
          <w:p>
            <w:pPr/>
          </w:p>
        </w:tc>
        <w:tc>
          <w:tcPr>
            <w:tcW w:w="512" w:type="dxa"/>
          </w:tcPr>
          <w:p>
            <w:pPr>
              <w:pStyle w:val="TableParagraph"/>
              <w:spacing w:before="50"/>
              <w:ind w:left="212"/>
              <w:rPr>
                <w:sz w:val="20"/>
              </w:rPr>
            </w:pPr>
            <w:r>
              <w:rPr>
                <w:color w:val="231F20"/>
                <w:sz w:val="20"/>
              </w:rPr>
              <w:t>16</w:t>
            </w:r>
          </w:p>
        </w:tc>
        <w:tc>
          <w:tcPr>
            <w:tcW w:w="120" w:type="dxa"/>
          </w:tcPr>
          <w:p>
            <w:pPr/>
          </w:p>
        </w:tc>
        <w:tc>
          <w:tcPr>
            <w:tcW w:w="767" w:type="dxa"/>
          </w:tcPr>
          <w:p>
            <w:pPr>
              <w:pStyle w:val="TableParagraph"/>
              <w:spacing w:before="50"/>
              <w:ind w:right="99"/>
              <w:jc w:val="right"/>
              <w:rPr>
                <w:sz w:val="20"/>
              </w:rPr>
            </w:pPr>
            <w:r>
              <w:rPr>
                <w:color w:val="231F20"/>
                <w:sz w:val="20"/>
              </w:rPr>
              <w:t>—</w:t>
            </w:r>
          </w:p>
        </w:tc>
        <w:tc>
          <w:tcPr>
            <w:tcW w:w="120" w:type="dxa"/>
          </w:tcPr>
          <w:p>
            <w:pPr/>
          </w:p>
        </w:tc>
        <w:tc>
          <w:tcPr>
            <w:tcW w:w="1640" w:type="dxa"/>
          </w:tcPr>
          <w:p>
            <w:pPr>
              <w:pStyle w:val="TableParagraph"/>
              <w:spacing w:before="50"/>
              <w:ind w:right="48"/>
              <w:jc w:val="right"/>
              <w:rPr>
                <w:sz w:val="20"/>
              </w:rPr>
            </w:pPr>
            <w:r>
              <w:rPr>
                <w:color w:val="231F20"/>
                <w:sz w:val="20"/>
              </w:rPr>
              <w:t>(5)</w:t>
            </w:r>
          </w:p>
        </w:tc>
      </w:tr>
      <w:tr>
        <w:trPr>
          <w:trHeight w:val="315" w:hRule="exact"/>
        </w:trPr>
        <w:tc>
          <w:tcPr>
            <w:tcW w:w="2713" w:type="dxa"/>
            <w:shd w:val="clear" w:color="auto" w:fill="CCECFC"/>
          </w:tcPr>
          <w:p>
            <w:pPr>
              <w:pStyle w:val="TableParagraph"/>
              <w:spacing w:before="50"/>
              <w:ind w:left="240"/>
              <w:rPr>
                <w:sz w:val="20"/>
              </w:rPr>
            </w:pPr>
            <w:r>
              <w:rPr>
                <w:color w:val="231F20"/>
                <w:sz w:val="20"/>
              </w:rPr>
              <w:t>Reclassification to earnings</w:t>
            </w:r>
          </w:p>
        </w:tc>
        <w:tc>
          <w:tcPr>
            <w:tcW w:w="935" w:type="dxa"/>
            <w:tcBorders>
              <w:bottom w:val="single" w:sz="4" w:space="0" w:color="231F20"/>
            </w:tcBorders>
            <w:shd w:val="clear" w:color="auto" w:fill="CCECFC"/>
          </w:tcPr>
          <w:p>
            <w:pPr>
              <w:pStyle w:val="TableParagraph"/>
              <w:spacing w:before="50"/>
              <w:ind w:right="97"/>
              <w:jc w:val="right"/>
              <w:rPr>
                <w:sz w:val="20"/>
              </w:rPr>
            </w:pPr>
            <w:r>
              <w:rPr>
                <w:color w:val="231F20"/>
                <w:sz w:val="20"/>
              </w:rPr>
              <w:t>165</w:t>
            </w:r>
          </w:p>
        </w:tc>
        <w:tc>
          <w:tcPr>
            <w:tcW w:w="120" w:type="dxa"/>
            <w:shd w:val="clear" w:color="auto" w:fill="CCECFC"/>
          </w:tcPr>
          <w:p>
            <w:pPr/>
          </w:p>
        </w:tc>
        <w:tc>
          <w:tcPr>
            <w:tcW w:w="935" w:type="dxa"/>
            <w:tcBorders>
              <w:bottom w:val="single" w:sz="4" w:space="0" w:color="231F20"/>
            </w:tcBorders>
            <w:shd w:val="clear" w:color="auto" w:fill="CCECFC"/>
          </w:tcPr>
          <w:p>
            <w:pPr>
              <w:pStyle w:val="TableParagraph"/>
              <w:spacing w:before="50"/>
              <w:ind w:right="97"/>
              <w:jc w:val="right"/>
              <w:rPr>
                <w:sz w:val="20"/>
              </w:rPr>
            </w:pPr>
            <w:r>
              <w:rPr>
                <w:color w:val="231F20"/>
                <w:sz w:val="20"/>
              </w:rPr>
              <w:t>28</w:t>
            </w:r>
          </w:p>
        </w:tc>
        <w:tc>
          <w:tcPr>
            <w:tcW w:w="120" w:type="dxa"/>
            <w:shd w:val="clear" w:color="auto" w:fill="CCECFC"/>
          </w:tcPr>
          <w:p>
            <w:pPr/>
          </w:p>
        </w:tc>
        <w:tc>
          <w:tcPr>
            <w:tcW w:w="1018" w:type="dxa"/>
            <w:tcBorders>
              <w:bottom w:val="single" w:sz="4" w:space="0" w:color="231F20"/>
            </w:tcBorders>
            <w:shd w:val="clear" w:color="auto" w:fill="CCECFC"/>
          </w:tcPr>
          <w:p>
            <w:pPr>
              <w:pStyle w:val="TableParagraph"/>
              <w:spacing w:before="50"/>
              <w:ind w:right="97"/>
              <w:jc w:val="right"/>
              <w:rPr>
                <w:sz w:val="20"/>
              </w:rPr>
            </w:pPr>
            <w:r>
              <w:rPr>
                <w:color w:val="231F20"/>
                <w:sz w:val="20"/>
              </w:rPr>
              <w:t>—</w:t>
            </w:r>
          </w:p>
        </w:tc>
        <w:tc>
          <w:tcPr>
            <w:tcW w:w="120" w:type="dxa"/>
            <w:shd w:val="clear" w:color="auto" w:fill="CCECFC"/>
          </w:tcPr>
          <w:p>
            <w:pPr/>
          </w:p>
        </w:tc>
        <w:tc>
          <w:tcPr>
            <w:tcW w:w="512" w:type="dxa"/>
            <w:tcBorders>
              <w:bottom w:val="single" w:sz="4" w:space="0" w:color="231F20"/>
            </w:tcBorders>
            <w:shd w:val="clear" w:color="auto" w:fill="CCECFC"/>
          </w:tcPr>
          <w:p>
            <w:pPr>
              <w:pStyle w:val="TableParagraph"/>
              <w:spacing w:before="50"/>
              <w:ind w:left="212"/>
              <w:rPr>
                <w:sz w:val="20"/>
              </w:rPr>
            </w:pPr>
            <w:r>
              <w:rPr>
                <w:color w:val="231F20"/>
                <w:sz w:val="20"/>
              </w:rPr>
              <w:t>—</w:t>
            </w:r>
          </w:p>
        </w:tc>
        <w:tc>
          <w:tcPr>
            <w:tcW w:w="120" w:type="dxa"/>
            <w:shd w:val="clear" w:color="auto" w:fill="CCECFC"/>
          </w:tcPr>
          <w:p>
            <w:pPr/>
          </w:p>
        </w:tc>
        <w:tc>
          <w:tcPr>
            <w:tcW w:w="767" w:type="dxa"/>
            <w:tcBorders>
              <w:bottom w:val="single" w:sz="4" w:space="0" w:color="231F20"/>
            </w:tcBorders>
            <w:shd w:val="clear" w:color="auto" w:fill="CCECFC"/>
          </w:tcPr>
          <w:p>
            <w:pPr>
              <w:pStyle w:val="TableParagraph"/>
              <w:spacing w:before="50"/>
              <w:ind w:right="48"/>
              <w:jc w:val="right"/>
              <w:rPr>
                <w:sz w:val="20"/>
              </w:rPr>
            </w:pPr>
            <w:r>
              <w:rPr>
                <w:color w:val="231F20"/>
                <w:sz w:val="20"/>
              </w:rPr>
              <w:t>(72)</w:t>
            </w:r>
          </w:p>
        </w:tc>
        <w:tc>
          <w:tcPr>
            <w:tcW w:w="120" w:type="dxa"/>
            <w:shd w:val="clear" w:color="auto" w:fill="CCECFC"/>
          </w:tcPr>
          <w:p>
            <w:pPr/>
          </w:p>
        </w:tc>
        <w:tc>
          <w:tcPr>
            <w:tcW w:w="1640" w:type="dxa"/>
            <w:tcBorders>
              <w:bottom w:val="single" w:sz="4" w:space="0" w:color="231F20"/>
            </w:tcBorders>
            <w:shd w:val="clear" w:color="auto" w:fill="CCECFC"/>
          </w:tcPr>
          <w:p>
            <w:pPr>
              <w:pStyle w:val="TableParagraph"/>
              <w:spacing w:before="50"/>
              <w:ind w:right="97"/>
              <w:jc w:val="right"/>
              <w:rPr>
                <w:sz w:val="20"/>
              </w:rPr>
            </w:pPr>
            <w:r>
              <w:rPr>
                <w:color w:val="231F20"/>
                <w:sz w:val="20"/>
              </w:rPr>
              <w:t>121</w:t>
            </w:r>
          </w:p>
        </w:tc>
      </w:tr>
      <w:tr>
        <w:trPr>
          <w:trHeight w:val="305" w:hRule="exact"/>
        </w:trPr>
        <w:tc>
          <w:tcPr>
            <w:tcW w:w="3648" w:type="dxa"/>
            <w:gridSpan w:val="2"/>
          </w:tcPr>
          <w:p>
            <w:pPr>
              <w:pStyle w:val="TableParagraph"/>
              <w:tabs>
                <w:tab w:pos="2712" w:val="left" w:leader="none"/>
                <w:tab w:pos="3213" w:val="left" w:leader="none"/>
              </w:tabs>
              <w:spacing w:before="50"/>
              <w:ind w:left="40"/>
              <w:rPr>
                <w:sz w:val="20"/>
              </w:rPr>
            </w:pPr>
            <w:r>
              <w:rPr>
                <w:color w:val="231F20"/>
                <w:sz w:val="20"/>
              </w:rPr>
              <w:t>Balance at December</w:t>
            </w:r>
            <w:r>
              <w:rPr>
                <w:color w:val="231F20"/>
                <w:spacing w:val="1"/>
                <w:sz w:val="20"/>
              </w:rPr>
              <w:t> </w:t>
            </w:r>
            <w:r>
              <w:rPr>
                <w:color w:val="231F20"/>
                <w:sz w:val="20"/>
              </w:rPr>
              <w:t>31, 2013</w:t>
              <w:tab/>
              <w:t>$</w:t>
              <w:tab/>
              <w:t>(20)</w:t>
            </w:r>
          </w:p>
        </w:tc>
        <w:tc>
          <w:tcPr>
            <w:tcW w:w="1055" w:type="dxa"/>
            <w:gridSpan w:val="2"/>
          </w:tcPr>
          <w:p>
            <w:pPr>
              <w:pStyle w:val="TableParagraph"/>
              <w:tabs>
                <w:tab w:pos="670" w:val="left" w:leader="none"/>
              </w:tabs>
              <w:spacing w:before="50"/>
              <w:ind w:left="120"/>
              <w:rPr>
                <w:sz w:val="20"/>
              </w:rPr>
            </w:pPr>
            <w:r>
              <w:rPr>
                <w:color w:val="231F20"/>
                <w:sz w:val="20"/>
              </w:rPr>
              <w:t>$</w:t>
              <w:tab/>
              <w:t>(58)</w:t>
            </w:r>
          </w:p>
        </w:tc>
        <w:tc>
          <w:tcPr>
            <w:tcW w:w="1138" w:type="dxa"/>
            <w:gridSpan w:val="2"/>
          </w:tcPr>
          <w:p>
            <w:pPr>
              <w:pStyle w:val="TableParagraph"/>
              <w:tabs>
                <w:tab w:pos="837" w:val="left" w:leader="none"/>
              </w:tabs>
              <w:spacing w:before="50"/>
              <w:ind w:left="120"/>
              <w:rPr>
                <w:sz w:val="20"/>
              </w:rPr>
            </w:pPr>
            <w:r>
              <w:rPr>
                <w:color w:val="231F20"/>
                <w:sz w:val="20"/>
              </w:rPr>
              <w:t>$</w:t>
              <w:tab/>
              <w:t>65</w:t>
            </w:r>
          </w:p>
        </w:tc>
        <w:tc>
          <w:tcPr>
            <w:tcW w:w="632" w:type="dxa"/>
            <w:gridSpan w:val="2"/>
          </w:tcPr>
          <w:p>
            <w:pPr>
              <w:pStyle w:val="TableParagraph"/>
              <w:tabs>
                <w:tab w:pos="431" w:val="left" w:leader="none"/>
              </w:tabs>
              <w:spacing w:before="50"/>
              <w:ind w:left="120"/>
              <w:rPr>
                <w:sz w:val="20"/>
              </w:rPr>
            </w:pPr>
            <w:r>
              <w:rPr>
                <w:color w:val="231F20"/>
                <w:sz w:val="20"/>
              </w:rPr>
              <w:t>$</w:t>
              <w:tab/>
              <w:t>8</w:t>
            </w:r>
          </w:p>
        </w:tc>
        <w:tc>
          <w:tcPr>
            <w:tcW w:w="887" w:type="dxa"/>
            <w:gridSpan w:val="2"/>
          </w:tcPr>
          <w:p>
            <w:pPr>
              <w:pStyle w:val="TableParagraph"/>
              <w:tabs>
                <w:tab w:pos="686" w:val="left" w:leader="none"/>
              </w:tabs>
              <w:spacing w:before="50"/>
              <w:ind w:left="120"/>
              <w:rPr>
                <w:sz w:val="20"/>
              </w:rPr>
            </w:pPr>
            <w:r>
              <w:rPr>
                <w:color w:val="231F20"/>
                <w:sz w:val="20"/>
              </w:rPr>
              <w:t>$</w:t>
              <w:tab/>
              <w:t>2</w:t>
            </w:r>
          </w:p>
        </w:tc>
        <w:tc>
          <w:tcPr>
            <w:tcW w:w="1760" w:type="dxa"/>
            <w:gridSpan w:val="2"/>
          </w:tcPr>
          <w:p>
            <w:pPr>
              <w:pStyle w:val="TableParagraph"/>
              <w:tabs>
                <w:tab w:pos="1475" w:val="left" w:leader="none"/>
              </w:tabs>
              <w:spacing w:before="50"/>
              <w:ind w:left="120"/>
              <w:rPr>
                <w:sz w:val="20"/>
              </w:rPr>
            </w:pPr>
            <w:r>
              <w:rPr>
                <w:color w:val="231F20"/>
                <w:sz w:val="20"/>
              </w:rPr>
              <w:t>$</w:t>
              <w:tab/>
              <w:t>(3)</w:t>
            </w:r>
          </w:p>
        </w:tc>
      </w:tr>
      <w:tr>
        <w:trPr>
          <w:trHeight w:val="300" w:hRule="exact"/>
        </w:trPr>
        <w:tc>
          <w:tcPr>
            <w:tcW w:w="3648" w:type="dxa"/>
            <w:gridSpan w:val="2"/>
            <w:shd w:val="clear" w:color="auto" w:fill="CCECFC"/>
          </w:tcPr>
          <w:p>
            <w:pPr>
              <w:pStyle w:val="TableParagraph"/>
              <w:tabs>
                <w:tab w:pos="3013" w:val="left" w:leader="none"/>
              </w:tabs>
              <w:spacing w:before="50"/>
              <w:ind w:left="240"/>
              <w:rPr>
                <w:sz w:val="20"/>
              </w:rPr>
            </w:pPr>
            <w:r>
              <w:rPr>
                <w:color w:val="231F20"/>
                <w:sz w:val="20"/>
              </w:rPr>
              <w:t>Changes in fair</w:t>
            </w:r>
            <w:r>
              <w:rPr>
                <w:color w:val="231F20"/>
                <w:spacing w:val="1"/>
                <w:sz w:val="20"/>
              </w:rPr>
              <w:t> </w:t>
            </w:r>
            <w:r>
              <w:rPr>
                <w:color w:val="231F20"/>
                <w:sz w:val="20"/>
              </w:rPr>
              <w:t>value</w:t>
              <w:tab/>
              <w:t>(1,191)</w:t>
            </w:r>
          </w:p>
        </w:tc>
        <w:tc>
          <w:tcPr>
            <w:tcW w:w="1055" w:type="dxa"/>
            <w:gridSpan w:val="2"/>
            <w:shd w:val="clear" w:color="auto" w:fill="CCECFC"/>
          </w:tcPr>
          <w:p>
            <w:pPr>
              <w:pStyle w:val="TableParagraph"/>
              <w:spacing w:before="50"/>
              <w:ind w:left="671"/>
              <w:rPr>
                <w:sz w:val="20"/>
              </w:rPr>
            </w:pPr>
            <w:r>
              <w:rPr>
                <w:color w:val="231F20"/>
                <w:sz w:val="20"/>
              </w:rPr>
              <w:t>(10)</w:t>
            </w:r>
          </w:p>
        </w:tc>
        <w:tc>
          <w:tcPr>
            <w:tcW w:w="1138" w:type="dxa"/>
            <w:gridSpan w:val="2"/>
            <w:shd w:val="clear" w:color="auto" w:fill="CCECFC"/>
          </w:tcPr>
          <w:p>
            <w:pPr>
              <w:pStyle w:val="TableParagraph"/>
              <w:spacing w:before="50"/>
              <w:ind w:left="754"/>
              <w:rPr>
                <w:sz w:val="20"/>
              </w:rPr>
            </w:pPr>
            <w:r>
              <w:rPr>
                <w:color w:val="231F20"/>
                <w:sz w:val="20"/>
              </w:rPr>
              <w:t>(24)</w:t>
            </w:r>
          </w:p>
        </w:tc>
        <w:tc>
          <w:tcPr>
            <w:tcW w:w="632" w:type="dxa"/>
            <w:gridSpan w:val="2"/>
            <w:shd w:val="clear" w:color="auto" w:fill="CCECFC"/>
          </w:tcPr>
          <w:p>
            <w:pPr>
              <w:pStyle w:val="TableParagraph"/>
              <w:spacing w:before="50"/>
              <w:ind w:left="332"/>
              <w:rPr>
                <w:sz w:val="20"/>
              </w:rPr>
            </w:pPr>
            <w:r>
              <w:rPr>
                <w:color w:val="231F20"/>
                <w:sz w:val="20"/>
              </w:rPr>
              <w:t>—</w:t>
            </w:r>
          </w:p>
        </w:tc>
        <w:tc>
          <w:tcPr>
            <w:tcW w:w="887" w:type="dxa"/>
            <w:gridSpan w:val="2"/>
            <w:shd w:val="clear" w:color="auto" w:fill="CCECFC"/>
          </w:tcPr>
          <w:p>
            <w:pPr>
              <w:pStyle w:val="TableParagraph"/>
              <w:spacing w:before="50"/>
              <w:ind w:left="487"/>
              <w:rPr>
                <w:sz w:val="20"/>
              </w:rPr>
            </w:pPr>
            <w:r>
              <w:rPr>
                <w:color w:val="231F20"/>
                <w:sz w:val="20"/>
              </w:rPr>
              <w:t>454</w:t>
            </w:r>
          </w:p>
        </w:tc>
        <w:tc>
          <w:tcPr>
            <w:tcW w:w="1760" w:type="dxa"/>
            <w:gridSpan w:val="2"/>
            <w:shd w:val="clear" w:color="auto" w:fill="CCECFC"/>
          </w:tcPr>
          <w:p>
            <w:pPr>
              <w:pStyle w:val="TableParagraph"/>
              <w:spacing w:before="50"/>
              <w:ind w:right="48"/>
              <w:jc w:val="right"/>
              <w:rPr>
                <w:sz w:val="20"/>
              </w:rPr>
            </w:pPr>
            <w:r>
              <w:rPr>
                <w:color w:val="231F20"/>
                <w:sz w:val="20"/>
              </w:rPr>
              <w:t>(771)</w:t>
            </w:r>
          </w:p>
        </w:tc>
      </w:tr>
      <w:tr>
        <w:trPr>
          <w:trHeight w:val="315" w:hRule="exact"/>
        </w:trPr>
        <w:tc>
          <w:tcPr>
            <w:tcW w:w="2713" w:type="dxa"/>
          </w:tcPr>
          <w:p>
            <w:pPr>
              <w:pStyle w:val="TableParagraph"/>
              <w:spacing w:before="50"/>
              <w:ind w:left="240"/>
              <w:rPr>
                <w:sz w:val="20"/>
              </w:rPr>
            </w:pPr>
            <w:r>
              <w:rPr>
                <w:color w:val="231F20"/>
                <w:sz w:val="20"/>
              </w:rPr>
              <w:t>Reclassification to earnings</w:t>
            </w:r>
          </w:p>
        </w:tc>
        <w:tc>
          <w:tcPr>
            <w:tcW w:w="935" w:type="dxa"/>
            <w:tcBorders>
              <w:bottom w:val="single" w:sz="4" w:space="0" w:color="231F20"/>
            </w:tcBorders>
          </w:tcPr>
          <w:p>
            <w:pPr>
              <w:pStyle w:val="TableParagraph"/>
              <w:spacing w:before="50"/>
              <w:ind w:right="97"/>
              <w:jc w:val="right"/>
              <w:rPr>
                <w:sz w:val="20"/>
              </w:rPr>
            </w:pPr>
            <w:r>
              <w:rPr>
                <w:color w:val="231F20"/>
                <w:sz w:val="20"/>
              </w:rPr>
              <w:t>34</w:t>
            </w:r>
          </w:p>
        </w:tc>
        <w:tc>
          <w:tcPr>
            <w:tcW w:w="120" w:type="dxa"/>
          </w:tcPr>
          <w:p>
            <w:pPr/>
          </w:p>
        </w:tc>
        <w:tc>
          <w:tcPr>
            <w:tcW w:w="935" w:type="dxa"/>
            <w:tcBorders>
              <w:bottom w:val="single" w:sz="4" w:space="0" w:color="231F20"/>
            </w:tcBorders>
          </w:tcPr>
          <w:p>
            <w:pPr>
              <w:pStyle w:val="TableParagraph"/>
              <w:spacing w:before="50"/>
              <w:ind w:right="97"/>
              <w:jc w:val="right"/>
              <w:rPr>
                <w:sz w:val="20"/>
              </w:rPr>
            </w:pPr>
            <w:r>
              <w:rPr>
                <w:color w:val="231F20"/>
                <w:sz w:val="20"/>
              </w:rPr>
              <w:t>23</w:t>
            </w:r>
          </w:p>
        </w:tc>
        <w:tc>
          <w:tcPr>
            <w:tcW w:w="120" w:type="dxa"/>
          </w:tcPr>
          <w:p>
            <w:pPr/>
          </w:p>
        </w:tc>
        <w:tc>
          <w:tcPr>
            <w:tcW w:w="1018" w:type="dxa"/>
            <w:tcBorders>
              <w:bottom w:val="single" w:sz="4" w:space="0" w:color="231F20"/>
            </w:tcBorders>
          </w:tcPr>
          <w:p>
            <w:pPr>
              <w:pStyle w:val="TableParagraph"/>
              <w:spacing w:before="50"/>
              <w:ind w:right="97"/>
              <w:jc w:val="right"/>
              <w:rPr>
                <w:sz w:val="20"/>
              </w:rPr>
            </w:pPr>
            <w:r>
              <w:rPr>
                <w:color w:val="231F20"/>
                <w:sz w:val="20"/>
              </w:rPr>
              <w:t>—</w:t>
            </w:r>
          </w:p>
        </w:tc>
        <w:tc>
          <w:tcPr>
            <w:tcW w:w="120" w:type="dxa"/>
          </w:tcPr>
          <w:p>
            <w:pPr/>
          </w:p>
        </w:tc>
        <w:tc>
          <w:tcPr>
            <w:tcW w:w="512" w:type="dxa"/>
            <w:tcBorders>
              <w:bottom w:val="single" w:sz="4" w:space="0" w:color="231F20"/>
            </w:tcBorders>
          </w:tcPr>
          <w:p>
            <w:pPr>
              <w:pStyle w:val="TableParagraph"/>
              <w:spacing w:before="50"/>
              <w:ind w:left="212"/>
              <w:rPr>
                <w:sz w:val="20"/>
              </w:rPr>
            </w:pPr>
            <w:r>
              <w:rPr>
                <w:color w:val="231F20"/>
                <w:sz w:val="20"/>
              </w:rPr>
              <w:t>—</w:t>
            </w:r>
          </w:p>
        </w:tc>
        <w:tc>
          <w:tcPr>
            <w:tcW w:w="120" w:type="dxa"/>
          </w:tcPr>
          <w:p>
            <w:pPr/>
          </w:p>
        </w:tc>
        <w:tc>
          <w:tcPr>
            <w:tcW w:w="767" w:type="dxa"/>
            <w:tcBorders>
              <w:bottom w:val="single" w:sz="4" w:space="0" w:color="231F20"/>
            </w:tcBorders>
          </w:tcPr>
          <w:p>
            <w:pPr>
              <w:pStyle w:val="TableParagraph"/>
              <w:spacing w:before="50"/>
              <w:ind w:right="48"/>
              <w:jc w:val="right"/>
              <w:rPr>
                <w:sz w:val="20"/>
              </w:rPr>
            </w:pPr>
            <w:r>
              <w:rPr>
                <w:color w:val="231F20"/>
                <w:sz w:val="20"/>
              </w:rPr>
              <w:t>(21)</w:t>
            </w:r>
          </w:p>
        </w:tc>
        <w:tc>
          <w:tcPr>
            <w:tcW w:w="120" w:type="dxa"/>
          </w:tcPr>
          <w:p>
            <w:pPr/>
          </w:p>
        </w:tc>
        <w:tc>
          <w:tcPr>
            <w:tcW w:w="1640" w:type="dxa"/>
            <w:tcBorders>
              <w:bottom w:val="single" w:sz="4" w:space="0" w:color="231F20"/>
            </w:tcBorders>
          </w:tcPr>
          <w:p>
            <w:pPr>
              <w:pStyle w:val="TableParagraph"/>
              <w:spacing w:before="50"/>
              <w:ind w:right="97"/>
              <w:jc w:val="right"/>
              <w:rPr>
                <w:sz w:val="20"/>
              </w:rPr>
            </w:pPr>
            <w:r>
              <w:rPr>
                <w:color w:val="231F20"/>
                <w:sz w:val="20"/>
              </w:rPr>
              <w:t>36</w:t>
            </w:r>
          </w:p>
        </w:tc>
      </w:tr>
      <w:tr>
        <w:trPr>
          <w:trHeight w:val="360" w:hRule="exact"/>
        </w:trPr>
        <w:tc>
          <w:tcPr>
            <w:tcW w:w="2713" w:type="dxa"/>
            <w:shd w:val="clear" w:color="auto" w:fill="CCECFC"/>
          </w:tcPr>
          <w:p>
            <w:pPr>
              <w:pStyle w:val="TableParagraph"/>
              <w:spacing w:before="50"/>
              <w:ind w:left="40"/>
              <w:rPr>
                <w:sz w:val="20"/>
              </w:rPr>
            </w:pPr>
            <w:r>
              <w:rPr>
                <w:color w:val="231F20"/>
                <w:sz w:val="20"/>
              </w:rPr>
              <w:t>Balance at December 31, 2014</w:t>
            </w:r>
          </w:p>
        </w:tc>
        <w:tc>
          <w:tcPr>
            <w:tcW w:w="935" w:type="dxa"/>
            <w:tcBorders>
              <w:top w:val="single" w:sz="4" w:space="0" w:color="231F20"/>
              <w:bottom w:val="single" w:sz="4" w:space="0" w:color="231F20"/>
            </w:tcBorders>
            <w:shd w:val="clear" w:color="auto" w:fill="CCECFC"/>
          </w:tcPr>
          <w:p>
            <w:pPr>
              <w:pStyle w:val="TableParagraph"/>
              <w:tabs>
                <w:tab w:pos="300" w:val="left" w:leader="none"/>
              </w:tabs>
              <w:spacing w:before="50"/>
              <w:ind w:right="48"/>
              <w:jc w:val="right"/>
              <w:rPr>
                <w:sz w:val="20"/>
              </w:rPr>
            </w:pPr>
            <w:r>
              <w:rPr>
                <w:color w:val="231F20"/>
                <w:sz w:val="20"/>
              </w:rPr>
              <w:t>$</w:t>
              <w:tab/>
              <w:t>(1,177)</w:t>
            </w:r>
          </w:p>
        </w:tc>
        <w:tc>
          <w:tcPr>
            <w:tcW w:w="120" w:type="dxa"/>
            <w:shd w:val="clear" w:color="auto" w:fill="CCECFC"/>
          </w:tcPr>
          <w:p>
            <w:pPr/>
          </w:p>
        </w:tc>
        <w:tc>
          <w:tcPr>
            <w:tcW w:w="935" w:type="dxa"/>
            <w:tcBorders>
              <w:top w:val="single" w:sz="4" w:space="0" w:color="231F20"/>
              <w:bottom w:val="single" w:sz="4" w:space="0" w:color="231F20"/>
            </w:tcBorders>
            <w:shd w:val="clear" w:color="auto" w:fill="CCECFC"/>
          </w:tcPr>
          <w:p>
            <w:pPr>
              <w:pStyle w:val="TableParagraph"/>
              <w:tabs>
                <w:tab w:pos="550" w:val="left" w:leader="none"/>
              </w:tabs>
              <w:spacing w:before="50"/>
              <w:ind w:right="48"/>
              <w:jc w:val="right"/>
              <w:rPr>
                <w:sz w:val="20"/>
              </w:rPr>
            </w:pPr>
            <w:r>
              <w:rPr>
                <w:color w:val="231F20"/>
                <w:sz w:val="20"/>
              </w:rPr>
              <w:t>$</w:t>
              <w:tab/>
              <w:t>(45)</w:t>
            </w:r>
          </w:p>
        </w:tc>
        <w:tc>
          <w:tcPr>
            <w:tcW w:w="120" w:type="dxa"/>
            <w:shd w:val="clear" w:color="auto" w:fill="CCECFC"/>
          </w:tcPr>
          <w:p>
            <w:pPr/>
          </w:p>
        </w:tc>
        <w:tc>
          <w:tcPr>
            <w:tcW w:w="1018" w:type="dxa"/>
            <w:tcBorders>
              <w:top w:val="single" w:sz="4" w:space="0" w:color="231F20"/>
              <w:bottom w:val="single" w:sz="4" w:space="0" w:color="231F20"/>
            </w:tcBorders>
            <w:shd w:val="clear" w:color="auto" w:fill="CCECFC"/>
          </w:tcPr>
          <w:p>
            <w:pPr>
              <w:pStyle w:val="TableParagraph"/>
              <w:tabs>
                <w:tab w:pos="717" w:val="left" w:leader="none"/>
              </w:tabs>
              <w:spacing w:before="50"/>
              <w:ind w:right="97"/>
              <w:jc w:val="right"/>
              <w:rPr>
                <w:sz w:val="20"/>
              </w:rPr>
            </w:pPr>
            <w:r>
              <w:rPr>
                <w:color w:val="231F20"/>
                <w:sz w:val="20"/>
              </w:rPr>
              <w:t>$</w:t>
              <w:tab/>
              <w:t>41</w:t>
            </w:r>
          </w:p>
        </w:tc>
        <w:tc>
          <w:tcPr>
            <w:tcW w:w="120" w:type="dxa"/>
            <w:shd w:val="clear" w:color="auto" w:fill="CCECFC"/>
          </w:tcPr>
          <w:p>
            <w:pPr/>
          </w:p>
        </w:tc>
        <w:tc>
          <w:tcPr>
            <w:tcW w:w="512" w:type="dxa"/>
            <w:tcBorders>
              <w:top w:val="single" w:sz="4" w:space="0" w:color="231F20"/>
              <w:bottom w:val="single" w:sz="4" w:space="0" w:color="231F20"/>
            </w:tcBorders>
            <w:shd w:val="clear" w:color="auto" w:fill="CCECFC"/>
          </w:tcPr>
          <w:p>
            <w:pPr>
              <w:pStyle w:val="TableParagraph"/>
              <w:tabs>
                <w:tab w:pos="311" w:val="left" w:leader="none"/>
              </w:tabs>
              <w:spacing w:before="50"/>
              <w:rPr>
                <w:sz w:val="20"/>
              </w:rPr>
            </w:pPr>
            <w:r>
              <w:rPr>
                <w:color w:val="231F20"/>
                <w:sz w:val="20"/>
              </w:rPr>
              <w:t>$</w:t>
              <w:tab/>
              <w:t>8</w:t>
            </w:r>
          </w:p>
        </w:tc>
        <w:tc>
          <w:tcPr>
            <w:tcW w:w="120" w:type="dxa"/>
            <w:shd w:val="clear" w:color="auto" w:fill="CCECFC"/>
          </w:tcPr>
          <w:p>
            <w:pPr/>
          </w:p>
        </w:tc>
        <w:tc>
          <w:tcPr>
            <w:tcW w:w="767" w:type="dxa"/>
            <w:tcBorders>
              <w:top w:val="single" w:sz="4" w:space="0" w:color="231F20"/>
              <w:bottom w:val="single" w:sz="4" w:space="0" w:color="231F20"/>
            </w:tcBorders>
            <w:shd w:val="clear" w:color="auto" w:fill="CCECFC"/>
          </w:tcPr>
          <w:p>
            <w:pPr>
              <w:pStyle w:val="TableParagraph"/>
              <w:tabs>
                <w:tab w:pos="366" w:val="left" w:leader="none"/>
              </w:tabs>
              <w:spacing w:before="50"/>
              <w:ind w:right="97"/>
              <w:jc w:val="right"/>
              <w:rPr>
                <w:sz w:val="20"/>
              </w:rPr>
            </w:pPr>
            <w:r>
              <w:rPr>
                <w:color w:val="231F20"/>
                <w:sz w:val="20"/>
              </w:rPr>
              <w:t>$</w:t>
              <w:tab/>
              <w:t>435</w:t>
            </w:r>
          </w:p>
        </w:tc>
        <w:tc>
          <w:tcPr>
            <w:tcW w:w="120" w:type="dxa"/>
            <w:shd w:val="clear" w:color="auto" w:fill="CCECFC"/>
          </w:tcPr>
          <w:p>
            <w:pPr/>
          </w:p>
        </w:tc>
        <w:tc>
          <w:tcPr>
            <w:tcW w:w="1640" w:type="dxa"/>
            <w:tcBorders>
              <w:top w:val="single" w:sz="4" w:space="0" w:color="231F20"/>
              <w:bottom w:val="single" w:sz="4" w:space="0" w:color="231F20"/>
            </w:tcBorders>
            <w:shd w:val="clear" w:color="auto" w:fill="CCECFC"/>
          </w:tcPr>
          <w:p>
            <w:pPr>
              <w:pStyle w:val="TableParagraph"/>
              <w:tabs>
                <w:tab w:pos="1155" w:val="left" w:leader="none"/>
              </w:tabs>
              <w:spacing w:before="45"/>
              <w:ind w:right="48"/>
              <w:jc w:val="right"/>
              <w:rPr>
                <w:sz w:val="20"/>
              </w:rPr>
            </w:pPr>
            <w:r>
              <w:rPr>
                <w:color w:val="231F20"/>
                <w:sz w:val="20"/>
              </w:rPr>
              <w:t>$</w:t>
              <w:tab/>
              <w:t>(738)</w:t>
            </w:r>
          </w:p>
        </w:tc>
      </w:tr>
    </w:tbl>
    <w:p>
      <w:pPr>
        <w:pStyle w:val="BodyText"/>
        <w:spacing w:before="1"/>
        <w:rPr>
          <w:b/>
          <w:sz w:val="18"/>
        </w:rPr>
      </w:pPr>
    </w:p>
    <w:p>
      <w:pPr>
        <w:pStyle w:val="BodyText"/>
        <w:spacing w:line="247" w:lineRule="auto" w:before="93"/>
        <w:ind w:left="120" w:firstLine="720"/>
      </w:pPr>
      <w:r>
        <w:rPr/>
        <w:pict>
          <v:line style="position:absolute;mso-position-horizontal-relative:page;mso-position-vertical-relative:paragraph;z-index:-402856" from="204.649994pt,-13.030475pt" to="251.399994pt,-13.030475pt" stroked="true" strokeweight=".5pt" strokecolor="#231f20">
            <v:stroke dashstyle="solid"/>
            <w10:wrap type="none"/>
          </v:line>
        </w:pict>
      </w:r>
      <w:r>
        <w:rPr/>
        <w:pict>
          <v:line style="position:absolute;mso-position-horizontal-relative:page;mso-position-vertical-relative:paragraph;z-index:-402832" from="257.399994pt,-13.030475pt" to="304.149994pt,-13.030475pt" stroked="true" strokeweight=".5pt" strokecolor="#231f20">
            <v:stroke dashstyle="solid"/>
            <w10:wrap type="none"/>
          </v:line>
        </w:pict>
      </w:r>
      <w:r>
        <w:rPr/>
        <w:pict>
          <v:line style="position:absolute;mso-position-horizontal-relative:page;mso-position-vertical-relative:paragraph;z-index:-402808" from="310.149994pt,-13.030475pt" to="361.049994pt,-13.030475pt" stroked="true" strokeweight=".5pt" strokecolor="#231f20">
            <v:stroke dashstyle="solid"/>
            <w10:wrap type="none"/>
          </v:line>
        </w:pict>
      </w:r>
      <w:r>
        <w:rPr/>
        <w:pict>
          <v:line style="position:absolute;mso-position-horizontal-relative:page;mso-position-vertical-relative:paragraph;z-index:-402784" from="367.049988pt,-13.030475pt" to="392.649988pt,-13.030475pt" stroked="true" strokeweight=".5pt" strokecolor="#231f20">
            <v:stroke dashstyle="solid"/>
            <w10:wrap type="none"/>
          </v:line>
        </w:pict>
      </w:r>
      <w:r>
        <w:rPr/>
        <w:pict>
          <v:line style="position:absolute;mso-position-horizontal-relative:page;mso-position-vertical-relative:paragraph;z-index:-402760" from="398.649994pt,-13.030475pt" to="436.999994pt,-13.030475pt" stroked="true" strokeweight=".5pt" strokecolor="#231f20">
            <v:stroke dashstyle="solid"/>
            <w10:wrap type="none"/>
          </v:line>
        </w:pict>
      </w:r>
      <w:r>
        <w:rPr>
          <w:color w:val="231F20"/>
        </w:rPr>
        <w:t>The following table illustrates the significant amounts reclassified out of each component of AOCI for the year ended December 31, 2014:</w:t>
      </w:r>
    </w:p>
    <w:p>
      <w:pPr>
        <w:pStyle w:val="BodyText"/>
        <w:spacing w:before="3"/>
        <w:rPr>
          <w:sz w:val="13"/>
        </w:rPr>
      </w:pPr>
    </w:p>
    <w:p>
      <w:pPr>
        <w:spacing w:after="0"/>
        <w:rPr>
          <w:sz w:val="13"/>
        </w:rPr>
        <w:sectPr>
          <w:type w:val="continuous"/>
          <w:pgSz w:w="11880" w:h="15480"/>
          <w:pgMar w:top="1260" w:bottom="280" w:left="1260" w:right="1260"/>
        </w:sectPr>
      </w:pPr>
    </w:p>
    <w:p>
      <w:pPr>
        <w:pStyle w:val="BodyText"/>
      </w:pPr>
    </w:p>
    <w:p>
      <w:pPr>
        <w:spacing w:line="360" w:lineRule="atLeast" w:before="157"/>
        <w:ind w:left="180" w:right="1135" w:firstLine="0"/>
        <w:jc w:val="left"/>
        <w:rPr>
          <w:b/>
          <w:sz w:val="20"/>
        </w:rPr>
      </w:pPr>
      <w:r>
        <w:rPr>
          <w:b/>
          <w:color w:val="231F20"/>
          <w:sz w:val="20"/>
        </w:rPr>
        <w:t>(in  millions) AOCI components</w:t>
      </w:r>
    </w:p>
    <w:p>
      <w:pPr>
        <w:spacing w:before="70"/>
        <w:ind w:left="180" w:right="0" w:firstLine="0"/>
        <w:jc w:val="left"/>
        <w:rPr>
          <w:sz w:val="20"/>
        </w:rPr>
      </w:pPr>
      <w:r>
        <w:rPr>
          <w:color w:val="231F20"/>
          <w:sz w:val="20"/>
        </w:rPr>
        <w:t>Unrealized gain on fuel derivative</w:t>
      </w:r>
    </w:p>
    <w:p>
      <w:pPr>
        <w:spacing w:before="100"/>
        <w:ind w:left="179" w:right="0" w:firstLine="0"/>
        <w:jc w:val="center"/>
        <w:rPr>
          <w:b/>
          <w:sz w:val="20"/>
        </w:rPr>
      </w:pPr>
      <w:r>
        <w:rPr/>
        <w:br w:type="column"/>
      </w:r>
      <w:r>
        <w:rPr>
          <w:b/>
          <w:color w:val="231F20"/>
          <w:sz w:val="20"/>
        </w:rPr>
        <w:t>Year ended December 31, 2014</w:t>
      </w:r>
    </w:p>
    <w:p>
      <w:pPr>
        <w:pStyle w:val="BodyText"/>
        <w:spacing w:before="8"/>
        <w:rPr>
          <w:b/>
          <w:sz w:val="28"/>
        </w:rPr>
      </w:pPr>
    </w:p>
    <w:p>
      <w:pPr>
        <w:spacing w:line="249" w:lineRule="auto" w:before="0"/>
        <w:ind w:left="641" w:right="402" w:firstLine="0"/>
        <w:jc w:val="center"/>
        <w:rPr>
          <w:b/>
          <w:sz w:val="20"/>
        </w:rPr>
      </w:pPr>
      <w:r>
        <w:rPr/>
        <w:pict>
          <v:line style="position:absolute;mso-position-horizontal-relative:page;mso-position-vertical-relative:paragraph;z-index:-402688" from="525pt,23.835949pt" to="69pt,23.835949pt" stroked="true" strokeweight="1pt" strokecolor="#231f20">
            <v:stroke dashstyle="solid"/>
            <w10:wrap type="none"/>
          </v:line>
        </w:pict>
      </w:r>
      <w:r>
        <w:rPr/>
        <w:pict>
          <v:line style="position:absolute;mso-position-horizontal-relative:page;mso-position-vertical-relative:paragraph;z-index:7192" from="69pt,-15.16405pt" to="525pt,-15.16405pt" stroked="true" strokeweight="1pt" strokecolor="#231f20">
            <v:stroke dashstyle="solid"/>
            <w10:wrap type="none"/>
          </v:line>
        </w:pict>
      </w:r>
      <w:r>
        <w:rPr>
          <w:b/>
          <w:color w:val="231F20"/>
          <w:sz w:val="20"/>
        </w:rPr>
        <w:t>Amounts reclassified from AOCI</w:t>
      </w:r>
    </w:p>
    <w:p>
      <w:pPr>
        <w:pStyle w:val="BodyText"/>
        <w:rPr>
          <w:b/>
        </w:rPr>
      </w:pPr>
      <w:r>
        <w:rPr/>
        <w:br w:type="column"/>
      </w:r>
      <w:r>
        <w:rPr>
          <w:b/>
        </w:rPr>
      </w:r>
    </w:p>
    <w:p>
      <w:pPr>
        <w:spacing w:line="249" w:lineRule="auto" w:before="167"/>
        <w:ind w:left="180" w:right="733" w:hanging="1"/>
        <w:jc w:val="center"/>
        <w:rPr>
          <w:b/>
          <w:sz w:val="20"/>
        </w:rPr>
      </w:pPr>
      <w:r>
        <w:rPr>
          <w:b/>
          <w:color w:val="231F20"/>
          <w:sz w:val="20"/>
        </w:rPr>
        <w:t>Affected line item in the Consolidated Statement of Comprehensive Income</w:t>
      </w:r>
    </w:p>
    <w:p>
      <w:pPr>
        <w:spacing w:after="0" w:line="249" w:lineRule="auto"/>
        <w:jc w:val="center"/>
        <w:rPr>
          <w:sz w:val="20"/>
        </w:rPr>
        <w:sectPr>
          <w:type w:val="continuous"/>
          <w:pgSz w:w="11880" w:h="15480"/>
          <w:pgMar w:top="1260" w:bottom="280" w:left="1260" w:right="1260"/>
          <w:cols w:num="3" w:equalWidth="0">
            <w:col w:w="2916" w:space="289"/>
            <w:col w:w="2831" w:space="151"/>
            <w:col w:w="3173"/>
          </w:cols>
        </w:sectPr>
      </w:pPr>
    </w:p>
    <w:p>
      <w:pPr>
        <w:tabs>
          <w:tab w:pos="3846" w:val="left" w:leader="none"/>
          <w:tab w:pos="5332" w:val="left" w:leader="none"/>
          <w:tab w:pos="5752" w:val="left" w:leader="none"/>
        </w:tabs>
        <w:spacing w:before="10"/>
        <w:ind w:left="380" w:right="0" w:firstLine="0"/>
        <w:jc w:val="left"/>
        <w:rPr>
          <w:sz w:val="20"/>
        </w:rPr>
      </w:pPr>
      <w:r>
        <w:rPr>
          <w:color w:val="231F20"/>
          <w:sz w:val="20"/>
        </w:rPr>
        <w:t>instruments</w:t>
        <w:tab/>
        <w:t>$</w:t>
        <w:tab/>
        <w:t>34</w:t>
        <w:tab/>
        <w:t>Fuel and oil expense</w:t>
      </w:r>
    </w:p>
    <w:p>
      <w:pPr>
        <w:tabs>
          <w:tab w:pos="5332" w:val="left" w:leader="none"/>
          <w:tab w:pos="5752" w:val="left" w:leader="none"/>
          <w:tab w:pos="9239" w:val="left" w:leader="none"/>
        </w:tabs>
        <w:spacing w:before="70"/>
        <w:ind w:left="120" w:right="0" w:firstLine="0"/>
        <w:jc w:val="left"/>
        <w:rPr>
          <w:sz w:val="20"/>
        </w:rPr>
      </w:pPr>
      <w:r>
        <w:rPr/>
        <w:pict>
          <v:line style="position:absolute;mso-position-horizontal-relative:page;mso-position-vertical-relative:paragraph;z-index:6952;mso-wrap-distance-left:0;mso-wrap-distance-right:0" from="255.350006pt,16.585949pt" to="344.650006pt,16.585949pt" stroked="true" strokeweight=".5pt" strokecolor="#231f20">
            <v:stroke dashstyle="solid"/>
            <w10:wrap type="topAndBottom"/>
          </v:line>
        </w:pict>
      </w:r>
      <w:r>
        <w:rPr>
          <w:color w:val="231F20"/>
          <w:sz w:val="20"/>
          <w:shd w:fill="CCECFC" w:color="auto" w:val="clear"/>
        </w:rPr>
        <w:t> </w:t>
        <w:tab/>
        <w:t>12</w:t>
        <w:tab/>
        <w:t>Less: Tax expense</w:t>
        <w:tab/>
      </w:r>
    </w:p>
    <w:p>
      <w:pPr>
        <w:tabs>
          <w:tab w:pos="5332" w:val="left" w:leader="none"/>
          <w:tab w:pos="5752" w:val="left" w:leader="none"/>
        </w:tabs>
        <w:spacing w:before="24"/>
        <w:ind w:left="3847" w:right="0" w:firstLine="0"/>
        <w:jc w:val="left"/>
        <w:rPr>
          <w:sz w:val="20"/>
        </w:rPr>
      </w:pPr>
      <w:r>
        <w:rPr>
          <w:color w:val="231F20"/>
          <w:sz w:val="20"/>
        </w:rPr>
        <w:t>$</w:t>
        <w:tab/>
        <w:t>22</w:t>
        <w:tab/>
        <w:t>Net of tax</w:t>
      </w:r>
    </w:p>
    <w:p>
      <w:pPr>
        <w:spacing w:before="89"/>
        <w:ind w:left="180" w:right="0" w:firstLine="0"/>
        <w:jc w:val="left"/>
        <w:rPr>
          <w:sz w:val="20"/>
        </w:rPr>
      </w:pPr>
      <w:r>
        <w:rPr/>
        <w:pict>
          <v:group style="position:absolute;margin-left:69pt;margin-top:1.285950pt;width:456pt;height:27.5pt;mso-position-horizontal-relative:page;mso-position-vertical-relative:paragraph;z-index:-402736" coordorigin="1380,26" coordsize="9120,550">
            <v:rect style="position:absolute;left:1380;top:36;width:9120;height:540" filled="true" fillcolor="#ccecfc" stroked="false">
              <v:fill type="solid"/>
            </v:rect>
            <v:line style="position:absolute" from="5107,31" to="6893,31" stroked="true" strokeweight=".5pt" strokecolor="#231f20">
              <v:stroke dashstyle="solid"/>
            </v:line>
            <w10:wrap type="none"/>
          </v:group>
        </w:pict>
      </w:r>
      <w:r>
        <w:rPr>
          <w:color w:val="231F20"/>
          <w:sz w:val="20"/>
        </w:rPr>
        <w:t>Unrealized gain on interest rate derivative</w:t>
      </w:r>
    </w:p>
    <w:p>
      <w:pPr>
        <w:tabs>
          <w:tab w:pos="3846" w:val="left" w:leader="none"/>
          <w:tab w:pos="5332" w:val="left" w:leader="none"/>
          <w:tab w:pos="5752" w:val="left" w:leader="none"/>
        </w:tabs>
        <w:spacing w:before="9"/>
        <w:ind w:left="380" w:right="0" w:firstLine="0"/>
        <w:jc w:val="left"/>
        <w:rPr>
          <w:sz w:val="20"/>
        </w:rPr>
      </w:pPr>
      <w:r>
        <w:rPr>
          <w:color w:val="231F20"/>
          <w:sz w:val="20"/>
        </w:rPr>
        <w:t>instruments</w:t>
        <w:tab/>
        <w:t>$</w:t>
        <w:tab/>
        <w:t>23</w:t>
        <w:tab/>
        <w:t>Interest</w:t>
      </w:r>
      <w:r>
        <w:rPr>
          <w:color w:val="231F20"/>
          <w:spacing w:val="2"/>
          <w:sz w:val="20"/>
        </w:rPr>
        <w:t> </w:t>
      </w:r>
      <w:r>
        <w:rPr>
          <w:color w:val="231F20"/>
          <w:sz w:val="20"/>
        </w:rPr>
        <w:t>expense</w:t>
      </w:r>
    </w:p>
    <w:p>
      <w:pPr>
        <w:tabs>
          <w:tab w:pos="5752" w:val="left" w:leader="none"/>
        </w:tabs>
        <w:spacing w:before="69"/>
        <w:ind w:left="5433" w:right="0" w:firstLine="0"/>
        <w:jc w:val="left"/>
        <w:rPr>
          <w:sz w:val="20"/>
        </w:rPr>
      </w:pPr>
      <w:r>
        <w:rPr/>
        <w:pict>
          <v:group style="position:absolute;margin-left:69pt;margin-top:16.28595pt;width:456pt;height:16.5pt;mso-position-horizontal-relative:page;mso-position-vertical-relative:paragraph;z-index:-402712" coordorigin="1380,326" coordsize="9120,330">
            <v:rect style="position:absolute;left:1380;top:336;width:9120;height:300" filled="true" fillcolor="#ccecfc" stroked="false">
              <v:fill type="solid"/>
            </v:rect>
            <v:line style="position:absolute" from="5107,331" to="6893,331" stroked="true" strokeweight=".5pt" strokecolor="#231f20">
              <v:stroke dashstyle="solid"/>
            </v:line>
            <v:line style="position:absolute" from="5107,651" to="6893,651" stroked="true" strokeweight=".5pt" strokecolor="#231f20">
              <v:stroke dashstyle="solid"/>
            </v:line>
            <w10:wrap type="none"/>
          </v:group>
        </w:pict>
      </w:r>
      <w:r>
        <w:rPr>
          <w:color w:val="231F20"/>
          <w:sz w:val="20"/>
        </w:rPr>
        <w:t>9</w:t>
        <w:tab/>
        <w:t>Less: Tax expense</w:t>
      </w:r>
    </w:p>
    <w:p>
      <w:pPr>
        <w:tabs>
          <w:tab w:pos="5332" w:val="left" w:leader="none"/>
          <w:tab w:pos="5752" w:val="left" w:leader="none"/>
        </w:tabs>
        <w:spacing w:before="89"/>
        <w:ind w:left="3847" w:right="0" w:firstLine="0"/>
        <w:jc w:val="left"/>
        <w:rPr>
          <w:sz w:val="20"/>
        </w:rPr>
      </w:pPr>
      <w:r>
        <w:rPr>
          <w:color w:val="231F20"/>
          <w:sz w:val="20"/>
        </w:rPr>
        <w:t>$</w:t>
        <w:tab/>
        <w:t>14</w:t>
        <w:tab/>
        <w:t>Net of tax</w:t>
      </w:r>
    </w:p>
    <w:p>
      <w:pPr>
        <w:tabs>
          <w:tab w:pos="3846" w:val="left" w:leader="none"/>
          <w:tab w:pos="5332" w:val="left" w:leader="none"/>
          <w:tab w:pos="5752" w:val="left" w:leader="none"/>
        </w:tabs>
        <w:spacing w:before="89"/>
        <w:ind w:left="180" w:right="0" w:firstLine="0"/>
        <w:jc w:val="left"/>
        <w:rPr>
          <w:sz w:val="20"/>
        </w:rPr>
      </w:pPr>
      <w:r>
        <w:rPr/>
        <w:pict>
          <v:group style="position:absolute;margin-left:255.100006pt;margin-top:17.285934pt;width:89.8pt;height:2.5pt;mso-position-horizontal-relative:page;mso-position-vertical-relative:paragraph;z-index:6976;mso-wrap-distance-left:0;mso-wrap-distance-right:0" coordorigin="5102,346" coordsize="1796,50">
            <v:line style="position:absolute" from="5107,351" to="6893,351" stroked="true" strokeweight=".5pt" strokecolor="#231f20">
              <v:stroke dashstyle="solid"/>
            </v:line>
            <v:line style="position:absolute" from="5107,391" to="6893,391" stroked="true" strokeweight=".5pt" strokecolor="#231f20">
              <v:stroke dashstyle="solid"/>
            </v:line>
            <w10:wrap type="topAndBottom"/>
          </v:group>
        </w:pict>
      </w:r>
      <w:r>
        <w:rPr>
          <w:color w:val="231F20"/>
          <w:sz w:val="20"/>
        </w:rPr>
        <w:t>Total reclassifications for</w:t>
      </w:r>
      <w:r>
        <w:rPr>
          <w:color w:val="231F20"/>
          <w:spacing w:val="4"/>
          <w:sz w:val="20"/>
        </w:rPr>
        <w:t> </w:t>
      </w:r>
      <w:r>
        <w:rPr>
          <w:color w:val="231F20"/>
          <w:sz w:val="20"/>
        </w:rPr>
        <w:t>the period</w:t>
        <w:tab/>
        <w:t>$</w:t>
        <w:tab/>
        <w:t>36</w:t>
        <w:tab/>
        <w:t>Net of tax</w:t>
      </w:r>
    </w:p>
    <w:p>
      <w:pPr>
        <w:pStyle w:val="BodyText"/>
        <w:spacing w:before="7"/>
        <w:rPr>
          <w:sz w:val="15"/>
        </w:rPr>
      </w:pPr>
    </w:p>
    <w:p>
      <w:pPr>
        <w:pStyle w:val="Heading1"/>
        <w:numPr>
          <w:ilvl w:val="0"/>
          <w:numId w:val="15"/>
        </w:numPr>
        <w:tabs>
          <w:tab w:pos="450" w:val="left" w:leader="none"/>
        </w:tabs>
        <w:spacing w:line="240" w:lineRule="auto" w:before="100" w:after="0"/>
        <w:ind w:left="450" w:right="0" w:hanging="330"/>
        <w:jc w:val="left"/>
      </w:pPr>
      <w:r>
        <w:rPr>
          <w:color w:val="231F20"/>
        </w:rPr>
        <w:t>EMPLOYEE RETIREMENT</w:t>
      </w:r>
      <w:r>
        <w:rPr>
          <w:color w:val="231F20"/>
          <w:spacing w:val="2"/>
        </w:rPr>
        <w:t> </w:t>
      </w:r>
      <w:r>
        <w:rPr>
          <w:color w:val="231F20"/>
        </w:rPr>
        <w:t>PLANS</w:t>
      </w:r>
    </w:p>
    <w:p>
      <w:pPr>
        <w:pStyle w:val="BodyText"/>
        <w:spacing w:before="7"/>
        <w:rPr>
          <w:b/>
        </w:rPr>
      </w:pPr>
    </w:p>
    <w:p>
      <w:pPr>
        <w:pStyle w:val="Heading2"/>
        <w:spacing w:before="1"/>
        <w:ind w:left="480"/>
        <w:rPr>
          <w:i/>
        </w:rPr>
      </w:pPr>
      <w:r>
        <w:rPr>
          <w:i/>
          <w:color w:val="231F20"/>
        </w:rPr>
        <w:t>Defined contribution plans</w:t>
      </w:r>
    </w:p>
    <w:p>
      <w:pPr>
        <w:pStyle w:val="BodyText"/>
        <w:spacing w:before="8"/>
        <w:rPr>
          <w:b/>
          <w:i/>
        </w:rPr>
      </w:pPr>
    </w:p>
    <w:p>
      <w:pPr>
        <w:pStyle w:val="BodyText"/>
        <w:spacing w:line="247" w:lineRule="auto"/>
        <w:ind w:left="120" w:right="117" w:firstLine="720"/>
        <w:jc w:val="both"/>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which include Company matching contributions. In addition, the  Southwest Airlines Co. ProfitSharing Plan (ProfitSharing Plan) is a defined contribution plan to which the Company may contribute a percentage of its eligible pre-tax profits, as defined, on an annual </w:t>
      </w:r>
      <w:r>
        <w:rPr>
          <w:color w:val="231F20"/>
          <w:spacing w:val="22"/>
        </w:rPr>
        <w:t> </w:t>
      </w:r>
      <w:r>
        <w:rPr>
          <w:color w:val="231F20"/>
        </w:rPr>
        <w:t>basis.</w:t>
      </w:r>
    </w:p>
    <w:p>
      <w:pPr>
        <w:spacing w:after="0" w:line="247" w:lineRule="auto"/>
        <w:jc w:val="both"/>
        <w:sectPr>
          <w:type w:val="continuous"/>
          <w:pgSz w:w="11880" w:h="15480"/>
          <w:pgMar w:top="1260" w:bottom="280" w:left="1260" w:right="1260"/>
        </w:sectPr>
      </w:pPr>
    </w:p>
    <w:p>
      <w:pPr>
        <w:pStyle w:val="BodyText"/>
        <w:spacing w:line="247" w:lineRule="auto" w:before="74"/>
        <w:ind w:left="120" w:right="171"/>
      </w:pPr>
      <w:r>
        <w:rPr>
          <w:color w:val="231F20"/>
        </w:rPr>
        <w:t>No Employee contributions to the ProfitSharing Plan are allowed. AirTran Employees became eligible to participate in Southwest’s ProfitSharing Plan beginning January 1, 2012.</w:t>
      </w:r>
    </w:p>
    <w:p>
      <w:pPr>
        <w:pStyle w:val="BodyText"/>
        <w:spacing w:before="9"/>
        <w:rPr>
          <w:sz w:val="20"/>
        </w:rPr>
      </w:pPr>
    </w:p>
    <w:p>
      <w:pPr>
        <w:pStyle w:val="BodyText"/>
        <w:spacing w:line="247" w:lineRule="auto"/>
        <w:ind w:left="120" w:right="138" w:firstLine="720"/>
        <w:jc w:val="both"/>
      </w:pPr>
      <w:r>
        <w:rPr>
          <w:color w:val="231F20"/>
        </w:rPr>
        <w:t>Company contributions to all defined contribution plans expensed in 2014, 2013, and 2012, reflected as a component of Salaries, wages, and benefits, were $644 million, $497 million, and $370 million, respectively.</w:t>
      </w:r>
    </w:p>
    <w:p>
      <w:pPr>
        <w:pStyle w:val="BodyText"/>
        <w:spacing w:before="9"/>
        <w:rPr>
          <w:sz w:val="20"/>
        </w:rPr>
      </w:pPr>
    </w:p>
    <w:p>
      <w:pPr>
        <w:pStyle w:val="Heading2"/>
        <w:ind w:left="480"/>
        <w:rPr>
          <w:i/>
        </w:rPr>
      </w:pPr>
      <w:r>
        <w:rPr>
          <w:i/>
          <w:color w:val="231F20"/>
        </w:rPr>
        <w:t>Postretirement benefit plans</w:t>
      </w:r>
    </w:p>
    <w:p>
      <w:pPr>
        <w:pStyle w:val="BodyText"/>
        <w:spacing w:before="4"/>
        <w:rPr>
          <w:b/>
          <w:i/>
          <w:sz w:val="21"/>
        </w:rPr>
      </w:pPr>
    </w:p>
    <w:p>
      <w:pPr>
        <w:pStyle w:val="BodyText"/>
        <w:spacing w:line="247" w:lineRule="auto" w:before="1"/>
        <w:ind w:left="120" w:right="137" w:firstLine="720"/>
        <w:jc w:val="both"/>
      </w:pPr>
      <w:r>
        <w:rPr>
          <w:color w:val="231F20"/>
        </w:rPr>
        <w:t>The Company provides postretirement benefits to qualified retirees in the form of medical and dental coverage. Employees must meet minimum levels of service and age requirements as set forth by the Company, or as specified in collective bargaining agreements with specific workgroups.  Employees meeting these requirements, as defined, may use accrued unused sick time to pay for medical and dental premiums from the age of retirement until age</w:t>
      </w:r>
      <w:r>
        <w:rPr>
          <w:color w:val="231F20"/>
          <w:spacing w:val="-3"/>
        </w:rPr>
        <w:t> </w:t>
      </w:r>
      <w:r>
        <w:rPr>
          <w:color w:val="231F20"/>
        </w:rPr>
        <w:t>65.</w:t>
      </w:r>
    </w:p>
    <w:p>
      <w:pPr>
        <w:pStyle w:val="BodyText"/>
        <w:spacing w:before="9"/>
        <w:rPr>
          <w:sz w:val="20"/>
        </w:rPr>
      </w:pPr>
    </w:p>
    <w:p>
      <w:pPr>
        <w:pStyle w:val="BodyText"/>
        <w:spacing w:line="247" w:lineRule="auto" w:before="1"/>
        <w:ind w:left="120" w:right="137" w:firstLine="720"/>
        <w:jc w:val="both"/>
      </w:pPr>
      <w:r>
        <w:rPr/>
        <w:pict>
          <v:line style="position:absolute;mso-position-horizontal-relative:page;mso-position-vertical-relative:paragraph;z-index:-402640" from="69pt,48.822124pt" to="345pt,48.822124pt" stroked="true" strokeweight="1pt" strokecolor="#231f20">
            <v:stroke dashstyle="solid"/>
            <w10:wrap type="none"/>
          </v:line>
        </w:pict>
      </w:r>
      <w:r>
        <w:rPr>
          <w:color w:val="231F20"/>
        </w:rPr>
        <w:t>The following table shows the change in the accumulated postretirement benefit obligation (APBO) for the years ended December 31, 2014 and 2013:</w:t>
      </w:r>
    </w:p>
    <w:p>
      <w:pPr>
        <w:pStyle w:val="BodyText"/>
        <w:spacing w:before="3" w:after="1"/>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640"/>
        <w:gridCol w:w="160"/>
        <w:gridCol w:w="1640"/>
      </w:tblGrid>
      <w:tr>
        <w:trPr>
          <w:trHeight w:val="256" w:hRule="exact"/>
        </w:trPr>
        <w:tc>
          <w:tcPr>
            <w:tcW w:w="5520" w:type="dxa"/>
          </w:tcPr>
          <w:p>
            <w:pPr>
              <w:pStyle w:val="TableParagraph"/>
              <w:spacing w:line="229" w:lineRule="exact" w:before="0"/>
              <w:ind w:left="60"/>
              <w:rPr>
                <w:b/>
                <w:sz w:val="20"/>
              </w:rPr>
            </w:pPr>
            <w:r>
              <w:rPr>
                <w:b/>
                <w:color w:val="231F20"/>
                <w:sz w:val="20"/>
              </w:rPr>
              <w:t>(in millions)</w:t>
            </w:r>
          </w:p>
        </w:tc>
        <w:tc>
          <w:tcPr>
            <w:tcW w:w="160" w:type="dxa"/>
          </w:tcPr>
          <w:p>
            <w:pPr/>
          </w:p>
        </w:tc>
        <w:tc>
          <w:tcPr>
            <w:tcW w:w="1640" w:type="dxa"/>
            <w:tcBorders>
              <w:bottom w:val="single" w:sz="8" w:space="0" w:color="231F20"/>
            </w:tcBorders>
          </w:tcPr>
          <w:p>
            <w:pPr>
              <w:pStyle w:val="TableParagraph"/>
              <w:spacing w:line="229" w:lineRule="exact" w:before="0"/>
              <w:ind w:left="600" w:right="600"/>
              <w:jc w:val="center"/>
              <w:rPr>
                <w:b/>
                <w:sz w:val="20"/>
              </w:rPr>
            </w:pPr>
            <w:r>
              <w:rPr>
                <w:b/>
                <w:color w:val="231F20"/>
                <w:sz w:val="20"/>
              </w:rPr>
              <w:t>2014</w:t>
            </w:r>
          </w:p>
        </w:tc>
        <w:tc>
          <w:tcPr>
            <w:tcW w:w="160" w:type="dxa"/>
          </w:tcPr>
          <w:p>
            <w:pPr/>
          </w:p>
        </w:tc>
        <w:tc>
          <w:tcPr>
            <w:tcW w:w="1640" w:type="dxa"/>
            <w:tcBorders>
              <w:bottom w:val="single" w:sz="8" w:space="0" w:color="231F20"/>
            </w:tcBorders>
          </w:tcPr>
          <w:p>
            <w:pPr>
              <w:pStyle w:val="TableParagraph"/>
              <w:spacing w:line="229" w:lineRule="exact" w:before="0"/>
              <w:ind w:left="600" w:right="600"/>
              <w:jc w:val="center"/>
              <w:rPr>
                <w:b/>
                <w:sz w:val="20"/>
              </w:rPr>
            </w:pPr>
            <w:r>
              <w:rPr>
                <w:b/>
                <w:color w:val="231F20"/>
                <w:sz w:val="20"/>
              </w:rPr>
              <w:t>2013</w:t>
            </w:r>
          </w:p>
        </w:tc>
      </w:tr>
      <w:tr>
        <w:trPr>
          <w:trHeight w:val="310" w:hRule="exact"/>
        </w:trPr>
        <w:tc>
          <w:tcPr>
            <w:tcW w:w="5520" w:type="dxa"/>
            <w:shd w:val="clear" w:color="auto" w:fill="CCECFC"/>
          </w:tcPr>
          <w:p>
            <w:pPr>
              <w:pStyle w:val="TableParagraph"/>
              <w:ind w:left="60"/>
              <w:rPr>
                <w:sz w:val="20"/>
              </w:rPr>
            </w:pPr>
            <w:r>
              <w:rPr>
                <w:color w:val="231F20"/>
                <w:sz w:val="20"/>
              </w:rPr>
              <w:t>APBO at beginning of period</w:t>
            </w:r>
          </w:p>
        </w:tc>
        <w:tc>
          <w:tcPr>
            <w:tcW w:w="160" w:type="dxa"/>
            <w:shd w:val="clear" w:color="auto" w:fill="CCECFC"/>
          </w:tcPr>
          <w:p>
            <w:pPr/>
          </w:p>
        </w:tc>
        <w:tc>
          <w:tcPr>
            <w:tcW w:w="1640" w:type="dxa"/>
            <w:tcBorders>
              <w:top w:val="single" w:sz="8" w:space="0" w:color="231F20"/>
            </w:tcBorders>
            <w:shd w:val="clear" w:color="auto" w:fill="CCECFC"/>
          </w:tcPr>
          <w:p>
            <w:pPr>
              <w:pStyle w:val="TableParagraph"/>
              <w:tabs>
                <w:tab w:pos="1239" w:val="left" w:leader="none"/>
              </w:tabs>
              <w:ind w:right="97"/>
              <w:jc w:val="right"/>
              <w:rPr>
                <w:sz w:val="20"/>
              </w:rPr>
            </w:pPr>
            <w:r>
              <w:rPr>
                <w:color w:val="231F20"/>
                <w:sz w:val="20"/>
              </w:rPr>
              <w:t>$</w:t>
              <w:tab/>
              <w:t>138</w:t>
            </w:r>
          </w:p>
        </w:tc>
        <w:tc>
          <w:tcPr>
            <w:tcW w:w="160" w:type="dxa"/>
            <w:shd w:val="clear" w:color="auto" w:fill="CCECFC"/>
          </w:tcPr>
          <w:p>
            <w:pPr/>
          </w:p>
        </w:tc>
        <w:tc>
          <w:tcPr>
            <w:tcW w:w="1640" w:type="dxa"/>
            <w:tcBorders>
              <w:top w:val="single" w:sz="8" w:space="0" w:color="231F20"/>
            </w:tcBorders>
            <w:shd w:val="clear" w:color="auto" w:fill="CCECFC"/>
          </w:tcPr>
          <w:p>
            <w:pPr>
              <w:pStyle w:val="TableParagraph"/>
              <w:tabs>
                <w:tab w:pos="1239" w:val="left" w:leader="none"/>
              </w:tabs>
              <w:ind w:right="97"/>
              <w:jc w:val="right"/>
              <w:rPr>
                <w:sz w:val="20"/>
              </w:rPr>
            </w:pPr>
            <w:r>
              <w:rPr>
                <w:color w:val="231F20"/>
                <w:sz w:val="20"/>
              </w:rPr>
              <w:t>$</w:t>
              <w:tab/>
              <w:t>148</w:t>
            </w:r>
          </w:p>
        </w:tc>
      </w:tr>
      <w:tr>
        <w:trPr>
          <w:trHeight w:val="300" w:hRule="exact"/>
        </w:trPr>
        <w:tc>
          <w:tcPr>
            <w:tcW w:w="5520" w:type="dxa"/>
          </w:tcPr>
          <w:p>
            <w:pPr>
              <w:pStyle w:val="TableParagraph"/>
              <w:ind w:left="260"/>
              <w:rPr>
                <w:sz w:val="20"/>
              </w:rPr>
            </w:pPr>
            <w:r>
              <w:rPr>
                <w:color w:val="231F20"/>
                <w:sz w:val="20"/>
              </w:rPr>
              <w:t>Service cost</w:t>
            </w:r>
          </w:p>
        </w:tc>
        <w:tc>
          <w:tcPr>
            <w:tcW w:w="160" w:type="dxa"/>
          </w:tcPr>
          <w:p>
            <w:pPr/>
          </w:p>
        </w:tc>
        <w:tc>
          <w:tcPr>
            <w:tcW w:w="1640" w:type="dxa"/>
          </w:tcPr>
          <w:p>
            <w:pPr>
              <w:pStyle w:val="TableParagraph"/>
              <w:ind w:right="99"/>
              <w:jc w:val="right"/>
              <w:rPr>
                <w:sz w:val="20"/>
              </w:rPr>
            </w:pPr>
            <w:r>
              <w:rPr>
                <w:color w:val="231F20"/>
                <w:sz w:val="20"/>
              </w:rPr>
              <w:t>10</w:t>
            </w:r>
          </w:p>
        </w:tc>
        <w:tc>
          <w:tcPr>
            <w:tcW w:w="160" w:type="dxa"/>
          </w:tcPr>
          <w:p>
            <w:pPr/>
          </w:p>
        </w:tc>
        <w:tc>
          <w:tcPr>
            <w:tcW w:w="1640" w:type="dxa"/>
          </w:tcPr>
          <w:p>
            <w:pPr>
              <w:pStyle w:val="TableParagraph"/>
              <w:ind w:right="99"/>
              <w:jc w:val="right"/>
              <w:rPr>
                <w:sz w:val="20"/>
              </w:rPr>
            </w:pPr>
            <w:r>
              <w:rPr>
                <w:color w:val="231F20"/>
                <w:sz w:val="20"/>
              </w:rPr>
              <w:t>30</w:t>
            </w:r>
          </w:p>
        </w:tc>
      </w:tr>
      <w:tr>
        <w:trPr>
          <w:trHeight w:val="300" w:hRule="exact"/>
        </w:trPr>
        <w:tc>
          <w:tcPr>
            <w:tcW w:w="5520" w:type="dxa"/>
            <w:shd w:val="clear" w:color="auto" w:fill="CCECFC"/>
          </w:tcPr>
          <w:p>
            <w:pPr>
              <w:pStyle w:val="TableParagraph"/>
              <w:ind w:left="260"/>
              <w:rPr>
                <w:sz w:val="20"/>
              </w:rPr>
            </w:pPr>
            <w:r>
              <w:rPr>
                <w:color w:val="231F20"/>
                <w:sz w:val="20"/>
              </w:rPr>
              <w:t>Interest cost</w:t>
            </w:r>
          </w:p>
        </w:tc>
        <w:tc>
          <w:tcPr>
            <w:tcW w:w="160" w:type="dxa"/>
            <w:shd w:val="clear" w:color="auto" w:fill="CCECFC"/>
          </w:tcPr>
          <w:p>
            <w:pPr/>
          </w:p>
        </w:tc>
        <w:tc>
          <w:tcPr>
            <w:tcW w:w="1640" w:type="dxa"/>
            <w:shd w:val="clear" w:color="auto" w:fill="CCECFC"/>
          </w:tcPr>
          <w:p>
            <w:pPr>
              <w:pStyle w:val="TableParagraph"/>
              <w:ind w:right="99"/>
              <w:jc w:val="right"/>
              <w:rPr>
                <w:sz w:val="20"/>
              </w:rPr>
            </w:pPr>
            <w:r>
              <w:rPr>
                <w:color w:val="231F20"/>
                <w:sz w:val="20"/>
              </w:rPr>
              <w:t>7</w:t>
            </w:r>
          </w:p>
        </w:tc>
        <w:tc>
          <w:tcPr>
            <w:tcW w:w="160" w:type="dxa"/>
            <w:shd w:val="clear" w:color="auto" w:fill="CCECFC"/>
          </w:tcPr>
          <w:p>
            <w:pPr/>
          </w:p>
        </w:tc>
        <w:tc>
          <w:tcPr>
            <w:tcW w:w="1640" w:type="dxa"/>
            <w:shd w:val="clear" w:color="auto" w:fill="CCECFC"/>
          </w:tcPr>
          <w:p>
            <w:pPr>
              <w:pStyle w:val="TableParagraph"/>
              <w:ind w:right="99"/>
              <w:jc w:val="right"/>
              <w:rPr>
                <w:sz w:val="20"/>
              </w:rPr>
            </w:pPr>
            <w:r>
              <w:rPr>
                <w:color w:val="231F20"/>
                <w:sz w:val="20"/>
              </w:rPr>
              <w:t>4</w:t>
            </w:r>
          </w:p>
        </w:tc>
      </w:tr>
      <w:tr>
        <w:trPr>
          <w:trHeight w:val="300" w:hRule="exact"/>
        </w:trPr>
        <w:tc>
          <w:tcPr>
            <w:tcW w:w="5520" w:type="dxa"/>
          </w:tcPr>
          <w:p>
            <w:pPr>
              <w:pStyle w:val="TableParagraph"/>
              <w:ind w:left="260"/>
              <w:rPr>
                <w:sz w:val="20"/>
              </w:rPr>
            </w:pPr>
            <w:r>
              <w:rPr>
                <w:color w:val="231F20"/>
                <w:sz w:val="20"/>
              </w:rPr>
              <w:t>Benefits paid</w:t>
            </w:r>
          </w:p>
        </w:tc>
        <w:tc>
          <w:tcPr>
            <w:tcW w:w="160" w:type="dxa"/>
          </w:tcPr>
          <w:p>
            <w:pPr/>
          </w:p>
        </w:tc>
        <w:tc>
          <w:tcPr>
            <w:tcW w:w="1640" w:type="dxa"/>
          </w:tcPr>
          <w:p>
            <w:pPr>
              <w:pStyle w:val="TableParagraph"/>
              <w:ind w:right="48"/>
              <w:jc w:val="right"/>
              <w:rPr>
                <w:sz w:val="20"/>
              </w:rPr>
            </w:pPr>
            <w:r>
              <w:rPr>
                <w:color w:val="231F20"/>
                <w:sz w:val="20"/>
              </w:rPr>
              <w:t>(4)</w:t>
            </w:r>
          </w:p>
        </w:tc>
        <w:tc>
          <w:tcPr>
            <w:tcW w:w="160" w:type="dxa"/>
          </w:tcPr>
          <w:p>
            <w:pPr/>
          </w:p>
        </w:tc>
        <w:tc>
          <w:tcPr>
            <w:tcW w:w="1640" w:type="dxa"/>
          </w:tcPr>
          <w:p>
            <w:pPr>
              <w:pStyle w:val="TableParagraph"/>
              <w:ind w:right="48"/>
              <w:jc w:val="right"/>
              <w:rPr>
                <w:sz w:val="20"/>
              </w:rPr>
            </w:pPr>
            <w:r>
              <w:rPr>
                <w:color w:val="231F20"/>
                <w:sz w:val="20"/>
              </w:rPr>
              <w:t>(3)</w:t>
            </w:r>
          </w:p>
        </w:tc>
      </w:tr>
      <w:tr>
        <w:trPr>
          <w:trHeight w:val="300" w:hRule="exact"/>
        </w:trPr>
        <w:tc>
          <w:tcPr>
            <w:tcW w:w="5520" w:type="dxa"/>
            <w:shd w:val="clear" w:color="auto" w:fill="CCECFC"/>
          </w:tcPr>
          <w:p>
            <w:pPr>
              <w:pStyle w:val="TableParagraph"/>
              <w:ind w:left="260"/>
              <w:rPr>
                <w:sz w:val="20"/>
              </w:rPr>
            </w:pPr>
            <w:r>
              <w:rPr>
                <w:color w:val="231F20"/>
                <w:sz w:val="20"/>
              </w:rPr>
              <w:t>Actuarial (gain)/loss</w:t>
            </w:r>
          </w:p>
        </w:tc>
        <w:tc>
          <w:tcPr>
            <w:tcW w:w="160" w:type="dxa"/>
            <w:shd w:val="clear" w:color="auto" w:fill="CCECFC"/>
          </w:tcPr>
          <w:p>
            <w:pPr/>
          </w:p>
        </w:tc>
        <w:tc>
          <w:tcPr>
            <w:tcW w:w="1640" w:type="dxa"/>
            <w:shd w:val="clear" w:color="auto" w:fill="CCECFC"/>
          </w:tcPr>
          <w:p>
            <w:pPr>
              <w:pStyle w:val="TableParagraph"/>
              <w:ind w:right="97"/>
              <w:jc w:val="right"/>
              <w:rPr>
                <w:sz w:val="20"/>
              </w:rPr>
            </w:pPr>
            <w:r>
              <w:rPr>
                <w:color w:val="231F20"/>
                <w:sz w:val="20"/>
              </w:rPr>
              <w:t>21</w:t>
            </w:r>
          </w:p>
        </w:tc>
        <w:tc>
          <w:tcPr>
            <w:tcW w:w="160" w:type="dxa"/>
            <w:shd w:val="clear" w:color="auto" w:fill="CCECFC"/>
          </w:tcPr>
          <w:p>
            <w:pPr/>
          </w:p>
        </w:tc>
        <w:tc>
          <w:tcPr>
            <w:tcW w:w="1640" w:type="dxa"/>
            <w:shd w:val="clear" w:color="auto" w:fill="CCECFC"/>
          </w:tcPr>
          <w:p>
            <w:pPr>
              <w:pStyle w:val="TableParagraph"/>
              <w:ind w:right="48"/>
              <w:jc w:val="right"/>
              <w:rPr>
                <w:sz w:val="20"/>
              </w:rPr>
            </w:pPr>
            <w:r>
              <w:rPr>
                <w:color w:val="231F20"/>
                <w:sz w:val="20"/>
              </w:rPr>
              <w:t>(41)</w:t>
            </w:r>
          </w:p>
        </w:tc>
      </w:tr>
      <w:tr>
        <w:trPr>
          <w:trHeight w:val="315" w:hRule="exact"/>
        </w:trPr>
        <w:tc>
          <w:tcPr>
            <w:tcW w:w="5520" w:type="dxa"/>
          </w:tcPr>
          <w:p>
            <w:pPr>
              <w:pStyle w:val="TableParagraph"/>
              <w:ind w:left="260"/>
              <w:rPr>
                <w:sz w:val="20"/>
              </w:rPr>
            </w:pPr>
            <w:r>
              <w:rPr>
                <w:color w:val="231F20"/>
                <w:sz w:val="20"/>
              </w:rPr>
              <w:t>Settlements</w:t>
            </w:r>
          </w:p>
        </w:tc>
        <w:tc>
          <w:tcPr>
            <w:tcW w:w="160" w:type="dxa"/>
          </w:tcPr>
          <w:p>
            <w:pPr/>
          </w:p>
        </w:tc>
        <w:tc>
          <w:tcPr>
            <w:tcW w:w="1640" w:type="dxa"/>
            <w:tcBorders>
              <w:bottom w:val="single" w:sz="4" w:space="0" w:color="231F20"/>
            </w:tcBorders>
          </w:tcPr>
          <w:p>
            <w:pPr>
              <w:pStyle w:val="TableParagraph"/>
              <w:tabs>
                <w:tab w:pos="1355" w:val="left" w:leader="none"/>
              </w:tabs>
              <w:ind w:right="48"/>
              <w:jc w:val="right"/>
              <w:rPr>
                <w:sz w:val="20"/>
              </w:rPr>
            </w:pPr>
            <w:r>
              <w:rPr>
                <w:color w:val="231F20"/>
                <w:sz w:val="20"/>
              </w:rPr>
              <w:t>$</w:t>
              <w:tab/>
              <w:t>(3)</w:t>
            </w:r>
          </w:p>
        </w:tc>
        <w:tc>
          <w:tcPr>
            <w:tcW w:w="160" w:type="dxa"/>
          </w:tcPr>
          <w:p>
            <w:pPr/>
          </w:p>
        </w:tc>
        <w:tc>
          <w:tcPr>
            <w:tcW w:w="1640" w:type="dxa"/>
            <w:tcBorders>
              <w:bottom w:val="single" w:sz="4" w:space="0" w:color="231F20"/>
            </w:tcBorders>
          </w:tcPr>
          <w:p>
            <w:pPr>
              <w:pStyle w:val="TableParagraph"/>
              <w:tabs>
                <w:tab w:pos="1339" w:val="left" w:leader="none"/>
              </w:tabs>
              <w:ind w:right="97"/>
              <w:jc w:val="right"/>
              <w:rPr>
                <w:sz w:val="20"/>
              </w:rPr>
            </w:pPr>
            <w:r>
              <w:rPr>
                <w:color w:val="231F20"/>
                <w:sz w:val="20"/>
              </w:rPr>
              <w:t>$</w:t>
              <w:tab/>
              <w:t>—</w:t>
            </w:r>
          </w:p>
        </w:tc>
      </w:tr>
      <w:tr>
        <w:trPr>
          <w:trHeight w:val="340" w:hRule="exact"/>
        </w:trPr>
        <w:tc>
          <w:tcPr>
            <w:tcW w:w="5520" w:type="dxa"/>
            <w:shd w:val="clear" w:color="auto" w:fill="CCECFC"/>
          </w:tcPr>
          <w:p>
            <w:pPr>
              <w:pStyle w:val="TableParagraph"/>
              <w:ind w:left="60"/>
              <w:rPr>
                <w:sz w:val="20"/>
              </w:rPr>
            </w:pPr>
            <w:r>
              <w:rPr>
                <w:color w:val="231F20"/>
                <w:sz w:val="20"/>
              </w:rPr>
              <w:t>APBO at end of period</w:t>
            </w:r>
          </w:p>
        </w:tc>
        <w:tc>
          <w:tcPr>
            <w:tcW w:w="160" w:type="dxa"/>
            <w:shd w:val="clear" w:color="auto" w:fill="CCECFC"/>
          </w:tcPr>
          <w:p>
            <w:pPr/>
          </w:p>
        </w:tc>
        <w:tc>
          <w:tcPr>
            <w:tcW w:w="1640" w:type="dxa"/>
            <w:tcBorders>
              <w:top w:val="single" w:sz="4" w:space="0" w:color="231F20"/>
              <w:bottom w:val="double" w:sz="7" w:space="0" w:color="231F20"/>
            </w:tcBorders>
            <w:shd w:val="clear" w:color="auto" w:fill="CCECFC"/>
          </w:tcPr>
          <w:p>
            <w:pPr>
              <w:pStyle w:val="TableParagraph"/>
              <w:tabs>
                <w:tab w:pos="1239" w:val="left" w:leader="none"/>
              </w:tabs>
              <w:ind w:right="99"/>
              <w:jc w:val="right"/>
              <w:rPr>
                <w:sz w:val="20"/>
              </w:rPr>
            </w:pPr>
            <w:r>
              <w:rPr>
                <w:color w:val="231F20"/>
                <w:sz w:val="20"/>
              </w:rPr>
              <w:t>$</w:t>
              <w:tab/>
              <w:t>169</w:t>
            </w:r>
          </w:p>
        </w:tc>
        <w:tc>
          <w:tcPr>
            <w:tcW w:w="160" w:type="dxa"/>
            <w:tcBorders>
              <w:bottom w:val="double" w:sz="7" w:space="0" w:color="231F20"/>
            </w:tcBorders>
            <w:shd w:val="clear" w:color="auto" w:fill="CCECFC"/>
          </w:tcPr>
          <w:p>
            <w:pPr/>
          </w:p>
        </w:tc>
        <w:tc>
          <w:tcPr>
            <w:tcW w:w="1640" w:type="dxa"/>
            <w:tcBorders>
              <w:top w:val="single" w:sz="4" w:space="0" w:color="231F20"/>
              <w:bottom w:val="double" w:sz="7" w:space="0" w:color="231F20"/>
            </w:tcBorders>
            <w:shd w:val="clear" w:color="auto" w:fill="CCECFC"/>
          </w:tcPr>
          <w:p>
            <w:pPr>
              <w:pStyle w:val="TableParagraph"/>
              <w:tabs>
                <w:tab w:pos="1239" w:val="left" w:leader="none"/>
              </w:tabs>
              <w:ind w:right="99"/>
              <w:jc w:val="right"/>
              <w:rPr>
                <w:sz w:val="20"/>
              </w:rPr>
            </w:pPr>
            <w:r>
              <w:rPr>
                <w:color w:val="231F20"/>
                <w:sz w:val="20"/>
              </w:rPr>
              <w:t>$</w:t>
              <w:tab/>
              <w:t>138</w:t>
            </w:r>
          </w:p>
        </w:tc>
      </w:tr>
    </w:tbl>
    <w:p>
      <w:pPr>
        <w:pStyle w:val="BodyText"/>
        <w:spacing w:before="5"/>
        <w:rPr>
          <w:sz w:val="23"/>
        </w:rPr>
      </w:pPr>
    </w:p>
    <w:p>
      <w:pPr>
        <w:pStyle w:val="BodyText"/>
        <w:spacing w:line="247" w:lineRule="auto"/>
        <w:ind w:left="120" w:right="137" w:firstLine="720"/>
        <w:jc w:val="both"/>
      </w:pPr>
      <w:r>
        <w:rPr>
          <w:color w:val="231F20"/>
        </w:rPr>
        <w:t>All plans are unfunded, and benefits are paid as they become due. Estimated future benefit payments expected to be paid are $5 million in 2015, $6 million in 2016, $7 million in 2017, $7 million in 2018, $8 million in 2019, and $55 million for the next five years thereafter.</w:t>
      </w:r>
    </w:p>
    <w:p>
      <w:pPr>
        <w:pStyle w:val="BodyText"/>
        <w:spacing w:before="9"/>
        <w:rPr>
          <w:sz w:val="20"/>
        </w:rPr>
      </w:pPr>
    </w:p>
    <w:p>
      <w:pPr>
        <w:pStyle w:val="BodyText"/>
        <w:spacing w:line="247" w:lineRule="auto"/>
        <w:ind w:left="120" w:right="137" w:firstLine="720"/>
        <w:jc w:val="both"/>
      </w:pPr>
      <w:r>
        <w:rPr/>
        <w:pict>
          <v:line style="position:absolute;mso-position-horizontal-relative:page;mso-position-vertical-relative:paragraph;z-index:-402616" from="69pt,87.770233pt" to="345pt,87.770233pt" stroked="true" strokeweight="1pt" strokecolor="#231f20">
            <v:stroke dashstyle="solid"/>
            <w10:wrap type="none"/>
          </v:line>
        </w:pict>
      </w:r>
      <w:r>
        <w:rPr>
          <w:color w:val="231F20"/>
        </w:rPr>
        <w:t>The funded status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2014 and 2013.</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088"/>
        <w:gridCol w:w="552"/>
        <w:gridCol w:w="160"/>
        <w:gridCol w:w="1088"/>
        <w:gridCol w:w="552"/>
      </w:tblGrid>
      <w:tr>
        <w:trPr>
          <w:trHeight w:val="256" w:hRule="exact"/>
        </w:trPr>
        <w:tc>
          <w:tcPr>
            <w:tcW w:w="5520" w:type="dxa"/>
          </w:tcPr>
          <w:p>
            <w:pPr>
              <w:pStyle w:val="TableParagraph"/>
              <w:spacing w:line="229" w:lineRule="exact" w:before="0"/>
              <w:ind w:left="60"/>
              <w:rPr>
                <w:b/>
                <w:sz w:val="20"/>
              </w:rPr>
            </w:pPr>
            <w:r>
              <w:rPr>
                <w:b/>
                <w:color w:val="231F20"/>
                <w:sz w:val="20"/>
              </w:rPr>
              <w:t>(in millions)</w:t>
            </w: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2014</w:t>
            </w:r>
          </w:p>
        </w:tc>
        <w:tc>
          <w:tcPr>
            <w:tcW w:w="552" w:type="dxa"/>
            <w:tcBorders>
              <w:bottom w:val="single" w:sz="8" w:space="0" w:color="231F20"/>
            </w:tcBorders>
          </w:tcPr>
          <w:p>
            <w:pP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2013</w:t>
            </w:r>
          </w:p>
        </w:tc>
        <w:tc>
          <w:tcPr>
            <w:tcW w:w="552" w:type="dxa"/>
            <w:tcBorders>
              <w:bottom w:val="single" w:sz="8" w:space="0" w:color="231F20"/>
            </w:tcBorders>
          </w:tcPr>
          <w:p>
            <w:pPr/>
          </w:p>
        </w:tc>
      </w:tr>
      <w:tr>
        <w:trPr>
          <w:trHeight w:val="310" w:hRule="exact"/>
        </w:trPr>
        <w:tc>
          <w:tcPr>
            <w:tcW w:w="5520" w:type="dxa"/>
            <w:shd w:val="clear" w:color="auto" w:fill="CCECFC"/>
          </w:tcPr>
          <w:p>
            <w:pPr>
              <w:pStyle w:val="TableParagraph"/>
              <w:ind w:left="60"/>
              <w:rPr>
                <w:sz w:val="20"/>
              </w:rPr>
            </w:pPr>
            <w:r>
              <w:rPr>
                <w:color w:val="231F20"/>
                <w:sz w:val="20"/>
              </w:rPr>
              <w:t>Funded status</w:t>
            </w:r>
          </w:p>
        </w:tc>
        <w:tc>
          <w:tcPr>
            <w:tcW w:w="160" w:type="dxa"/>
            <w:shd w:val="clear" w:color="auto" w:fill="CCECFC"/>
          </w:tcPr>
          <w:p>
            <w:pPr/>
          </w:p>
        </w:tc>
        <w:tc>
          <w:tcPr>
            <w:tcW w:w="1088" w:type="dxa"/>
            <w:tcBorders>
              <w:top w:val="single" w:sz="8" w:space="0" w:color="231F20"/>
            </w:tcBorders>
            <w:shd w:val="clear" w:color="auto" w:fill="CCECFC"/>
          </w:tcPr>
          <w:p>
            <w:pPr>
              <w:pStyle w:val="TableParagraph"/>
              <w:rPr>
                <w:sz w:val="20"/>
              </w:rPr>
            </w:pPr>
            <w:r>
              <w:rPr>
                <w:color w:val="231F20"/>
                <w:sz w:val="20"/>
              </w:rPr>
              <w:t>$</w:t>
            </w:r>
          </w:p>
        </w:tc>
        <w:tc>
          <w:tcPr>
            <w:tcW w:w="552" w:type="dxa"/>
            <w:tcBorders>
              <w:top w:val="single" w:sz="8" w:space="0" w:color="231F20"/>
            </w:tcBorders>
            <w:shd w:val="clear" w:color="auto" w:fill="CCECFC"/>
          </w:tcPr>
          <w:p>
            <w:pPr>
              <w:pStyle w:val="TableParagraph"/>
              <w:ind w:right="48"/>
              <w:jc w:val="right"/>
              <w:rPr>
                <w:sz w:val="20"/>
              </w:rPr>
            </w:pPr>
            <w:r>
              <w:rPr>
                <w:color w:val="231F20"/>
                <w:sz w:val="20"/>
              </w:rPr>
              <w:t>(169)</w:t>
            </w:r>
          </w:p>
        </w:tc>
        <w:tc>
          <w:tcPr>
            <w:tcW w:w="160" w:type="dxa"/>
            <w:shd w:val="clear" w:color="auto" w:fill="CCECFC"/>
          </w:tcPr>
          <w:p>
            <w:pPr/>
          </w:p>
        </w:tc>
        <w:tc>
          <w:tcPr>
            <w:tcW w:w="1088" w:type="dxa"/>
            <w:tcBorders>
              <w:top w:val="single" w:sz="8" w:space="0" w:color="231F20"/>
            </w:tcBorders>
            <w:shd w:val="clear" w:color="auto" w:fill="CCECFC"/>
          </w:tcPr>
          <w:p>
            <w:pPr>
              <w:pStyle w:val="TableParagraph"/>
              <w:rPr>
                <w:sz w:val="20"/>
              </w:rPr>
            </w:pPr>
            <w:r>
              <w:rPr>
                <w:color w:val="231F20"/>
                <w:sz w:val="20"/>
              </w:rPr>
              <w:t>$</w:t>
            </w:r>
          </w:p>
        </w:tc>
        <w:tc>
          <w:tcPr>
            <w:tcW w:w="552" w:type="dxa"/>
            <w:tcBorders>
              <w:top w:val="single" w:sz="8" w:space="0" w:color="231F20"/>
            </w:tcBorders>
            <w:shd w:val="clear" w:color="auto" w:fill="CCECFC"/>
          </w:tcPr>
          <w:p>
            <w:pPr>
              <w:pStyle w:val="TableParagraph"/>
              <w:ind w:right="48"/>
              <w:jc w:val="right"/>
              <w:rPr>
                <w:sz w:val="20"/>
              </w:rPr>
            </w:pPr>
            <w:r>
              <w:rPr>
                <w:color w:val="231F20"/>
                <w:sz w:val="20"/>
              </w:rPr>
              <w:t>(138)</w:t>
            </w:r>
          </w:p>
        </w:tc>
      </w:tr>
      <w:tr>
        <w:trPr>
          <w:trHeight w:val="300" w:hRule="exact"/>
        </w:trPr>
        <w:tc>
          <w:tcPr>
            <w:tcW w:w="5520" w:type="dxa"/>
          </w:tcPr>
          <w:p>
            <w:pPr>
              <w:pStyle w:val="TableParagraph"/>
              <w:ind w:left="60"/>
              <w:rPr>
                <w:sz w:val="20"/>
              </w:rPr>
            </w:pPr>
            <w:r>
              <w:rPr>
                <w:color w:val="231F20"/>
                <w:sz w:val="20"/>
              </w:rPr>
              <w:t>Unrecognized net actuarial gain</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(53)</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(80)</w:t>
            </w:r>
          </w:p>
        </w:tc>
      </w:tr>
      <w:tr>
        <w:trPr>
          <w:trHeight w:val="300" w:hRule="exact"/>
        </w:trPr>
        <w:tc>
          <w:tcPr>
            <w:tcW w:w="5520" w:type="dxa"/>
            <w:shd w:val="clear" w:color="auto" w:fill="CCECFC"/>
          </w:tcPr>
          <w:p>
            <w:pPr>
              <w:pStyle w:val="TableParagraph"/>
              <w:ind w:left="60"/>
              <w:rPr>
                <w:sz w:val="20"/>
              </w:rPr>
            </w:pPr>
            <w:r>
              <w:rPr>
                <w:color w:val="231F20"/>
                <w:sz w:val="20"/>
              </w:rPr>
              <w:t>Unrecognized prior service cost</w:t>
            </w:r>
          </w:p>
        </w:tc>
        <w:tc>
          <w:tcPr>
            <w:tcW w:w="160" w:type="dxa"/>
            <w:shd w:val="clear" w:color="auto" w:fill="CCECFC"/>
          </w:tcPr>
          <w:p>
            <w:pPr/>
          </w:p>
        </w:tc>
        <w:tc>
          <w:tcPr>
            <w:tcW w:w="1088" w:type="dxa"/>
            <w:shd w:val="clear" w:color="auto" w:fill="CCECFC"/>
          </w:tcPr>
          <w:p>
            <w:pPr/>
          </w:p>
        </w:tc>
        <w:tc>
          <w:tcPr>
            <w:tcW w:w="552" w:type="dxa"/>
            <w:shd w:val="clear" w:color="auto" w:fill="CCECFC"/>
          </w:tcPr>
          <w:p>
            <w:pPr>
              <w:pStyle w:val="TableParagraph"/>
              <w:ind w:right="97"/>
              <w:jc w:val="right"/>
              <w:rPr>
                <w:sz w:val="20"/>
              </w:rPr>
            </w:pPr>
            <w:r>
              <w:rPr>
                <w:color w:val="231F20"/>
                <w:sz w:val="20"/>
              </w:rPr>
              <w:t>12</w:t>
            </w:r>
          </w:p>
        </w:tc>
        <w:tc>
          <w:tcPr>
            <w:tcW w:w="160" w:type="dxa"/>
            <w:shd w:val="clear" w:color="auto" w:fill="CCECFC"/>
          </w:tcPr>
          <w:p>
            <w:pPr/>
          </w:p>
        </w:tc>
        <w:tc>
          <w:tcPr>
            <w:tcW w:w="1088" w:type="dxa"/>
            <w:shd w:val="clear" w:color="auto" w:fill="CCECFC"/>
          </w:tcPr>
          <w:p>
            <w:pPr/>
          </w:p>
        </w:tc>
        <w:tc>
          <w:tcPr>
            <w:tcW w:w="552" w:type="dxa"/>
            <w:shd w:val="clear" w:color="auto" w:fill="CCECFC"/>
          </w:tcPr>
          <w:p>
            <w:pPr>
              <w:pStyle w:val="TableParagraph"/>
              <w:ind w:right="97"/>
              <w:jc w:val="right"/>
              <w:rPr>
                <w:sz w:val="20"/>
              </w:rPr>
            </w:pPr>
            <w:r>
              <w:rPr>
                <w:color w:val="231F20"/>
                <w:sz w:val="20"/>
              </w:rPr>
              <w:t>15</w:t>
            </w:r>
          </w:p>
        </w:tc>
      </w:tr>
      <w:tr>
        <w:trPr>
          <w:trHeight w:val="315" w:hRule="exact"/>
        </w:trPr>
        <w:tc>
          <w:tcPr>
            <w:tcW w:w="5520" w:type="dxa"/>
          </w:tcPr>
          <w:p>
            <w:pPr>
              <w:pStyle w:val="TableParagraph"/>
              <w:ind w:left="60"/>
              <w:rPr>
                <w:sz w:val="20"/>
              </w:rPr>
            </w:pPr>
            <w:r>
              <w:rPr>
                <w:color w:val="231F20"/>
                <w:sz w:val="20"/>
              </w:rPr>
              <w:t>Accumulated other comprehensive income</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41</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65</w:t>
            </w:r>
          </w:p>
        </w:tc>
      </w:tr>
      <w:tr>
        <w:trPr>
          <w:trHeight w:val="305" w:hRule="exact"/>
        </w:trPr>
        <w:tc>
          <w:tcPr>
            <w:tcW w:w="5520" w:type="dxa"/>
            <w:shd w:val="clear" w:color="auto" w:fill="CCECFC"/>
          </w:tcPr>
          <w:p>
            <w:pPr>
              <w:pStyle w:val="TableParagraph"/>
              <w:ind w:left="60"/>
              <w:rPr>
                <w:sz w:val="20"/>
              </w:rPr>
            </w:pPr>
            <w:r>
              <w:rPr>
                <w:color w:val="231F20"/>
                <w:sz w:val="20"/>
              </w:rPr>
              <w:t>Cost recognized on Consolidated Balance Sheet</w:t>
            </w:r>
          </w:p>
        </w:tc>
        <w:tc>
          <w:tcPr>
            <w:tcW w:w="160" w:type="dxa"/>
            <w:shd w:val="clear" w:color="auto" w:fill="CCECFC"/>
          </w:tcPr>
          <w:p>
            <w:pPr/>
          </w:p>
        </w:tc>
        <w:tc>
          <w:tcPr>
            <w:tcW w:w="1088" w:type="dxa"/>
            <w:tcBorders>
              <w:top w:val="single" w:sz="4" w:space="0" w:color="231F20"/>
              <w:bottom w:val="double" w:sz="7" w:space="0" w:color="231F20"/>
            </w:tcBorders>
            <w:shd w:val="clear" w:color="auto" w:fill="CCECFC"/>
          </w:tcPr>
          <w:p>
            <w:pPr>
              <w:pStyle w:val="TableParagraph"/>
              <w:rPr>
                <w:sz w:val="20"/>
              </w:rPr>
            </w:pPr>
            <w:r>
              <w:rPr>
                <w:color w:val="231F20"/>
                <w:sz w:val="20"/>
              </w:rPr>
              <w:t>$</w:t>
            </w:r>
          </w:p>
        </w:tc>
        <w:tc>
          <w:tcPr>
            <w:tcW w:w="552" w:type="dxa"/>
            <w:tcBorders>
              <w:top w:val="single" w:sz="4" w:space="0" w:color="231F20"/>
              <w:bottom w:val="double" w:sz="7" w:space="0" w:color="231F20"/>
            </w:tcBorders>
            <w:shd w:val="clear" w:color="auto" w:fill="CCECFC"/>
          </w:tcPr>
          <w:p>
            <w:pPr>
              <w:pStyle w:val="TableParagraph"/>
              <w:ind w:right="48"/>
              <w:jc w:val="right"/>
              <w:rPr>
                <w:sz w:val="20"/>
              </w:rPr>
            </w:pPr>
            <w:r>
              <w:rPr>
                <w:color w:val="231F20"/>
                <w:sz w:val="20"/>
              </w:rPr>
              <w:t>(169)</w:t>
            </w:r>
          </w:p>
        </w:tc>
        <w:tc>
          <w:tcPr>
            <w:tcW w:w="160" w:type="dxa"/>
            <w:tcBorders>
              <w:bottom w:val="double" w:sz="7" w:space="0" w:color="231F20"/>
            </w:tcBorders>
            <w:shd w:val="clear" w:color="auto" w:fill="CCECFC"/>
          </w:tcPr>
          <w:p>
            <w:pPr/>
          </w:p>
        </w:tc>
        <w:tc>
          <w:tcPr>
            <w:tcW w:w="1088" w:type="dxa"/>
            <w:tcBorders>
              <w:top w:val="single" w:sz="4" w:space="0" w:color="231F20"/>
              <w:bottom w:val="double" w:sz="7" w:space="0" w:color="231F20"/>
            </w:tcBorders>
            <w:shd w:val="clear" w:color="auto" w:fill="CCECFC"/>
          </w:tcPr>
          <w:p>
            <w:pPr>
              <w:pStyle w:val="TableParagraph"/>
              <w:spacing w:before="48"/>
              <w:rPr>
                <w:sz w:val="20"/>
              </w:rPr>
            </w:pPr>
            <w:r>
              <w:rPr>
                <w:color w:val="231F20"/>
                <w:sz w:val="20"/>
              </w:rPr>
              <w:t>$</w:t>
            </w:r>
          </w:p>
        </w:tc>
        <w:tc>
          <w:tcPr>
            <w:tcW w:w="552" w:type="dxa"/>
            <w:tcBorders>
              <w:top w:val="single" w:sz="4" w:space="0" w:color="231F20"/>
              <w:bottom w:val="double" w:sz="7" w:space="0" w:color="231F20"/>
            </w:tcBorders>
            <w:shd w:val="clear" w:color="auto" w:fill="CCECFC"/>
          </w:tcPr>
          <w:p>
            <w:pPr>
              <w:pStyle w:val="TableParagraph"/>
              <w:spacing w:before="48"/>
              <w:ind w:right="48"/>
              <w:jc w:val="right"/>
              <w:rPr>
                <w:sz w:val="20"/>
              </w:rPr>
            </w:pPr>
            <w:r>
              <w:rPr>
                <w:color w:val="231F20"/>
                <w:sz w:val="20"/>
              </w:rPr>
              <w:t>(138)</w:t>
            </w:r>
          </w:p>
        </w:tc>
      </w:tr>
    </w:tbl>
    <w:p>
      <w:pPr>
        <w:spacing w:after="0"/>
        <w:jc w:val="right"/>
        <w:rPr>
          <w:sz w:val="20"/>
        </w:rPr>
        <w:sectPr>
          <w:pgSz w:w="11880" w:h="15480"/>
          <w:pgMar w:header="0" w:footer="1240" w:top="1240" w:bottom="1420" w:left="1260" w:right="1240"/>
        </w:sectPr>
      </w:pPr>
    </w:p>
    <w:p>
      <w:pPr>
        <w:pStyle w:val="BodyText"/>
        <w:spacing w:line="247" w:lineRule="auto" w:before="74"/>
        <w:ind w:left="120" w:right="118" w:firstLine="720"/>
        <w:jc w:val="both"/>
      </w:pPr>
      <w:r>
        <w:rPr/>
        <w:pict>
          <v:line style="position:absolute;mso-position-horizontal-relative:page;mso-position-vertical-relative:paragraph;z-index:-402592" from="69pt,52.469532pt" to="303pt,52.469532pt" stroked="true" strokeweight="1pt" strokecolor="#231f20">
            <v:stroke dashstyle="solid"/>
            <w10:wrap type="none"/>
          </v:line>
        </w:pict>
      </w:r>
      <w:r>
        <w:rPr>
          <w:color w:val="231F20"/>
        </w:rPr>
        <w:t>The consolidated periodic postretirement benefit cost for the years ended December 31, 2014, 2013, and 2012, included the following:</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965"/>
        <w:gridCol w:w="355"/>
        <w:gridCol w:w="160"/>
        <w:gridCol w:w="965"/>
        <w:gridCol w:w="355"/>
        <w:gridCol w:w="160"/>
        <w:gridCol w:w="965"/>
        <w:gridCol w:w="355"/>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965" w:type="dxa"/>
            <w:tcBorders>
              <w:bottom w:val="single" w:sz="8" w:space="0" w:color="231F20"/>
            </w:tcBorders>
          </w:tcPr>
          <w:p>
            <w:pPr>
              <w:pStyle w:val="TableParagraph"/>
              <w:spacing w:line="229" w:lineRule="exact" w:before="0"/>
              <w:ind w:left="460"/>
              <w:rPr>
                <w:b/>
                <w:sz w:val="20"/>
              </w:rPr>
            </w:pPr>
            <w:r>
              <w:rPr>
                <w:b/>
                <w:color w:val="231F20"/>
                <w:sz w:val="20"/>
              </w:rPr>
              <w:t>2014</w:t>
            </w:r>
          </w:p>
        </w:tc>
        <w:tc>
          <w:tcPr>
            <w:tcW w:w="355" w:type="dxa"/>
            <w:tcBorders>
              <w:bottom w:val="single" w:sz="8" w:space="0" w:color="231F20"/>
            </w:tcBorders>
          </w:tcPr>
          <w:p>
            <w:pPr/>
          </w:p>
        </w:tc>
        <w:tc>
          <w:tcPr>
            <w:tcW w:w="160" w:type="dxa"/>
          </w:tcPr>
          <w:p>
            <w:pPr/>
          </w:p>
        </w:tc>
        <w:tc>
          <w:tcPr>
            <w:tcW w:w="965" w:type="dxa"/>
            <w:tcBorders>
              <w:bottom w:val="single" w:sz="8" w:space="0" w:color="231F20"/>
            </w:tcBorders>
          </w:tcPr>
          <w:p>
            <w:pPr>
              <w:pStyle w:val="TableParagraph"/>
              <w:spacing w:line="229" w:lineRule="exact" w:before="0"/>
              <w:ind w:left="460"/>
              <w:rPr>
                <w:b/>
                <w:sz w:val="20"/>
              </w:rPr>
            </w:pPr>
            <w:r>
              <w:rPr>
                <w:b/>
                <w:color w:val="231F20"/>
                <w:sz w:val="20"/>
              </w:rPr>
              <w:t>2013</w:t>
            </w:r>
          </w:p>
        </w:tc>
        <w:tc>
          <w:tcPr>
            <w:tcW w:w="355" w:type="dxa"/>
            <w:tcBorders>
              <w:bottom w:val="single" w:sz="8" w:space="0" w:color="231F20"/>
            </w:tcBorders>
          </w:tcPr>
          <w:p>
            <w:pPr/>
          </w:p>
        </w:tc>
        <w:tc>
          <w:tcPr>
            <w:tcW w:w="160" w:type="dxa"/>
          </w:tcPr>
          <w:p>
            <w:pPr/>
          </w:p>
        </w:tc>
        <w:tc>
          <w:tcPr>
            <w:tcW w:w="965" w:type="dxa"/>
            <w:tcBorders>
              <w:bottom w:val="single" w:sz="8" w:space="0" w:color="231F20"/>
            </w:tcBorders>
          </w:tcPr>
          <w:p>
            <w:pPr>
              <w:pStyle w:val="TableParagraph"/>
              <w:spacing w:line="229" w:lineRule="exact" w:before="0"/>
              <w:ind w:left="460"/>
              <w:rPr>
                <w:b/>
                <w:sz w:val="20"/>
              </w:rPr>
            </w:pPr>
            <w:r>
              <w:rPr>
                <w:b/>
                <w:color w:val="231F20"/>
                <w:sz w:val="20"/>
              </w:rPr>
              <w:t>2012</w:t>
            </w:r>
          </w:p>
        </w:tc>
        <w:tc>
          <w:tcPr>
            <w:tcW w:w="355" w:type="dxa"/>
            <w:tcBorders>
              <w:bottom w:val="single" w:sz="8" w:space="0" w:color="231F20"/>
            </w:tcBorders>
          </w:tcPr>
          <w:p>
            <w:pPr/>
          </w:p>
        </w:tc>
      </w:tr>
      <w:tr>
        <w:trPr>
          <w:trHeight w:val="310" w:hRule="exact"/>
        </w:trPr>
        <w:tc>
          <w:tcPr>
            <w:tcW w:w="4680" w:type="dxa"/>
            <w:shd w:val="clear" w:color="auto" w:fill="CCECFC"/>
          </w:tcPr>
          <w:p>
            <w:pPr>
              <w:pStyle w:val="TableParagraph"/>
              <w:ind w:left="100"/>
              <w:rPr>
                <w:sz w:val="20"/>
              </w:rPr>
            </w:pPr>
            <w:r>
              <w:rPr>
                <w:color w:val="231F20"/>
                <w:sz w:val="20"/>
              </w:rPr>
              <w:t>Service cost</w:t>
            </w:r>
          </w:p>
        </w:tc>
        <w:tc>
          <w:tcPr>
            <w:tcW w:w="160" w:type="dxa"/>
            <w:shd w:val="clear" w:color="auto" w:fill="CCECFC"/>
          </w:tcPr>
          <w:p>
            <w:pPr/>
          </w:p>
        </w:tc>
        <w:tc>
          <w:tcPr>
            <w:tcW w:w="965" w:type="dxa"/>
            <w:tcBorders>
              <w:top w:val="single" w:sz="8" w:space="0" w:color="231F20"/>
            </w:tcBorders>
            <w:shd w:val="clear" w:color="auto" w:fill="CCECFC"/>
          </w:tcPr>
          <w:p>
            <w:pPr>
              <w:pStyle w:val="TableParagraph"/>
              <w:rPr>
                <w:sz w:val="20"/>
              </w:rPr>
            </w:pPr>
            <w:r>
              <w:rPr>
                <w:color w:val="231F20"/>
                <w:sz w:val="20"/>
              </w:rPr>
              <w:t>$</w:t>
            </w:r>
          </w:p>
        </w:tc>
        <w:tc>
          <w:tcPr>
            <w:tcW w:w="355" w:type="dxa"/>
            <w:tcBorders>
              <w:top w:val="single" w:sz="8" w:space="0" w:color="231F20"/>
            </w:tcBorders>
            <w:shd w:val="clear" w:color="auto" w:fill="CCECFC"/>
          </w:tcPr>
          <w:p>
            <w:pPr>
              <w:pStyle w:val="TableParagraph"/>
              <w:ind w:right="49"/>
              <w:jc w:val="right"/>
              <w:rPr>
                <w:sz w:val="20"/>
              </w:rPr>
            </w:pPr>
            <w:r>
              <w:rPr>
                <w:color w:val="231F20"/>
                <w:sz w:val="20"/>
              </w:rPr>
              <w:t>10</w:t>
            </w:r>
          </w:p>
        </w:tc>
        <w:tc>
          <w:tcPr>
            <w:tcW w:w="160" w:type="dxa"/>
            <w:shd w:val="clear" w:color="auto" w:fill="CCECFC"/>
          </w:tcPr>
          <w:p>
            <w:pPr/>
          </w:p>
        </w:tc>
        <w:tc>
          <w:tcPr>
            <w:tcW w:w="965" w:type="dxa"/>
            <w:tcBorders>
              <w:top w:val="single" w:sz="8" w:space="0" w:color="231F20"/>
            </w:tcBorders>
            <w:shd w:val="clear" w:color="auto" w:fill="CCECFC"/>
          </w:tcPr>
          <w:p>
            <w:pPr>
              <w:pStyle w:val="TableParagraph"/>
              <w:rPr>
                <w:sz w:val="20"/>
              </w:rPr>
            </w:pPr>
            <w:r>
              <w:rPr>
                <w:color w:val="231F20"/>
                <w:sz w:val="20"/>
              </w:rPr>
              <w:t>$</w:t>
            </w:r>
          </w:p>
        </w:tc>
        <w:tc>
          <w:tcPr>
            <w:tcW w:w="355" w:type="dxa"/>
            <w:tcBorders>
              <w:top w:val="single" w:sz="8" w:space="0" w:color="231F20"/>
            </w:tcBorders>
            <w:shd w:val="clear" w:color="auto" w:fill="CCECFC"/>
          </w:tcPr>
          <w:p>
            <w:pPr>
              <w:pStyle w:val="TableParagraph"/>
              <w:ind w:right="49"/>
              <w:jc w:val="right"/>
              <w:rPr>
                <w:sz w:val="20"/>
              </w:rPr>
            </w:pPr>
            <w:r>
              <w:rPr>
                <w:color w:val="231F20"/>
                <w:sz w:val="20"/>
              </w:rPr>
              <w:t>30</w:t>
            </w:r>
          </w:p>
        </w:tc>
        <w:tc>
          <w:tcPr>
            <w:tcW w:w="160" w:type="dxa"/>
            <w:shd w:val="clear" w:color="auto" w:fill="CCECFC"/>
          </w:tcPr>
          <w:p>
            <w:pPr/>
          </w:p>
        </w:tc>
        <w:tc>
          <w:tcPr>
            <w:tcW w:w="965" w:type="dxa"/>
            <w:tcBorders>
              <w:top w:val="single" w:sz="8" w:space="0" w:color="231F20"/>
            </w:tcBorders>
            <w:shd w:val="clear" w:color="auto" w:fill="CCECFC"/>
          </w:tcPr>
          <w:p>
            <w:pPr>
              <w:pStyle w:val="TableParagraph"/>
              <w:rPr>
                <w:sz w:val="20"/>
              </w:rPr>
            </w:pPr>
            <w:r>
              <w:rPr>
                <w:color w:val="231F20"/>
                <w:sz w:val="20"/>
              </w:rPr>
              <w:t>$</w:t>
            </w:r>
          </w:p>
        </w:tc>
        <w:tc>
          <w:tcPr>
            <w:tcW w:w="355" w:type="dxa"/>
            <w:tcBorders>
              <w:top w:val="single" w:sz="8" w:space="0" w:color="231F20"/>
            </w:tcBorders>
            <w:shd w:val="clear" w:color="auto" w:fill="CCECFC"/>
          </w:tcPr>
          <w:p>
            <w:pPr>
              <w:pStyle w:val="TableParagraph"/>
              <w:ind w:right="49"/>
              <w:jc w:val="right"/>
              <w:rPr>
                <w:sz w:val="20"/>
              </w:rPr>
            </w:pPr>
            <w:r>
              <w:rPr>
                <w:color w:val="231F20"/>
                <w:sz w:val="20"/>
              </w:rPr>
              <w:t>20</w:t>
            </w:r>
          </w:p>
        </w:tc>
      </w:tr>
      <w:tr>
        <w:trPr>
          <w:trHeight w:val="300" w:hRule="exact"/>
        </w:trPr>
        <w:tc>
          <w:tcPr>
            <w:tcW w:w="4680" w:type="dxa"/>
          </w:tcPr>
          <w:p>
            <w:pPr>
              <w:pStyle w:val="TableParagraph"/>
              <w:ind w:left="100"/>
              <w:rPr>
                <w:sz w:val="20"/>
              </w:rPr>
            </w:pPr>
            <w:r>
              <w:rPr>
                <w:color w:val="231F20"/>
                <w:sz w:val="20"/>
              </w:rPr>
              <w:t>Interest cost</w:t>
            </w:r>
          </w:p>
        </w:tc>
        <w:tc>
          <w:tcPr>
            <w:tcW w:w="160" w:type="dxa"/>
          </w:tcPr>
          <w:p>
            <w:pPr/>
          </w:p>
        </w:tc>
        <w:tc>
          <w:tcPr>
            <w:tcW w:w="965" w:type="dxa"/>
          </w:tcPr>
          <w:p>
            <w:pPr/>
          </w:p>
        </w:tc>
        <w:tc>
          <w:tcPr>
            <w:tcW w:w="355" w:type="dxa"/>
          </w:tcPr>
          <w:p>
            <w:pPr>
              <w:pStyle w:val="TableParagraph"/>
              <w:ind w:right="49"/>
              <w:jc w:val="right"/>
              <w:rPr>
                <w:sz w:val="20"/>
              </w:rPr>
            </w:pPr>
            <w:r>
              <w:rPr>
                <w:color w:val="231F20"/>
                <w:sz w:val="20"/>
              </w:rPr>
              <w:t>7</w:t>
            </w:r>
          </w:p>
        </w:tc>
        <w:tc>
          <w:tcPr>
            <w:tcW w:w="160" w:type="dxa"/>
          </w:tcPr>
          <w:p>
            <w:pPr/>
          </w:p>
        </w:tc>
        <w:tc>
          <w:tcPr>
            <w:tcW w:w="965" w:type="dxa"/>
          </w:tcPr>
          <w:p>
            <w:pPr/>
          </w:p>
        </w:tc>
        <w:tc>
          <w:tcPr>
            <w:tcW w:w="355" w:type="dxa"/>
          </w:tcPr>
          <w:p>
            <w:pPr>
              <w:pStyle w:val="TableParagraph"/>
              <w:ind w:right="49"/>
              <w:jc w:val="right"/>
              <w:rPr>
                <w:sz w:val="20"/>
              </w:rPr>
            </w:pPr>
            <w:r>
              <w:rPr>
                <w:color w:val="231F20"/>
                <w:sz w:val="20"/>
              </w:rPr>
              <w:t>4</w:t>
            </w:r>
          </w:p>
        </w:tc>
        <w:tc>
          <w:tcPr>
            <w:tcW w:w="160" w:type="dxa"/>
          </w:tcPr>
          <w:p>
            <w:pPr/>
          </w:p>
        </w:tc>
        <w:tc>
          <w:tcPr>
            <w:tcW w:w="965" w:type="dxa"/>
          </w:tcPr>
          <w:p>
            <w:pPr/>
          </w:p>
        </w:tc>
        <w:tc>
          <w:tcPr>
            <w:tcW w:w="355" w:type="dxa"/>
          </w:tcPr>
          <w:p>
            <w:pPr>
              <w:pStyle w:val="TableParagraph"/>
              <w:ind w:right="49"/>
              <w:jc w:val="right"/>
              <w:rPr>
                <w:sz w:val="20"/>
              </w:rPr>
            </w:pPr>
            <w:r>
              <w:rPr>
                <w:color w:val="231F20"/>
                <w:sz w:val="20"/>
              </w:rPr>
              <w:t>4</w:t>
            </w:r>
          </w:p>
        </w:tc>
      </w:tr>
      <w:tr>
        <w:trPr>
          <w:trHeight w:val="300" w:hRule="exact"/>
        </w:trPr>
        <w:tc>
          <w:tcPr>
            <w:tcW w:w="4680" w:type="dxa"/>
            <w:shd w:val="clear" w:color="auto" w:fill="CCECFC"/>
          </w:tcPr>
          <w:p>
            <w:pPr>
              <w:pStyle w:val="TableParagraph"/>
              <w:ind w:left="100"/>
              <w:rPr>
                <w:sz w:val="20"/>
              </w:rPr>
            </w:pPr>
            <w:r>
              <w:rPr>
                <w:color w:val="231F20"/>
                <w:sz w:val="20"/>
              </w:rPr>
              <w:t>Amortization of prior service cost</w:t>
            </w:r>
          </w:p>
        </w:tc>
        <w:tc>
          <w:tcPr>
            <w:tcW w:w="160" w:type="dxa"/>
            <w:shd w:val="clear" w:color="auto" w:fill="CCECFC"/>
          </w:tcPr>
          <w:p>
            <w:pPr/>
          </w:p>
        </w:tc>
        <w:tc>
          <w:tcPr>
            <w:tcW w:w="965" w:type="dxa"/>
            <w:shd w:val="clear" w:color="auto" w:fill="CCECFC"/>
          </w:tcPr>
          <w:p>
            <w:pPr/>
          </w:p>
        </w:tc>
        <w:tc>
          <w:tcPr>
            <w:tcW w:w="355" w:type="dxa"/>
            <w:shd w:val="clear" w:color="auto" w:fill="CCECFC"/>
          </w:tcPr>
          <w:p>
            <w:pPr>
              <w:pStyle w:val="TableParagraph"/>
              <w:ind w:right="47"/>
              <w:jc w:val="right"/>
              <w:rPr>
                <w:sz w:val="20"/>
              </w:rPr>
            </w:pPr>
            <w:r>
              <w:rPr>
                <w:color w:val="231F20"/>
                <w:sz w:val="20"/>
              </w:rPr>
              <w:t>3</w:t>
            </w:r>
          </w:p>
        </w:tc>
        <w:tc>
          <w:tcPr>
            <w:tcW w:w="160" w:type="dxa"/>
            <w:shd w:val="clear" w:color="auto" w:fill="CCECFC"/>
          </w:tcPr>
          <w:p>
            <w:pPr/>
          </w:p>
        </w:tc>
        <w:tc>
          <w:tcPr>
            <w:tcW w:w="965" w:type="dxa"/>
            <w:shd w:val="clear" w:color="auto" w:fill="CCECFC"/>
          </w:tcPr>
          <w:p>
            <w:pPr/>
          </w:p>
        </w:tc>
        <w:tc>
          <w:tcPr>
            <w:tcW w:w="355" w:type="dxa"/>
            <w:shd w:val="clear" w:color="auto" w:fill="CCECFC"/>
          </w:tcPr>
          <w:p>
            <w:pPr>
              <w:pStyle w:val="TableParagraph"/>
              <w:ind w:right="47"/>
              <w:jc w:val="right"/>
              <w:rPr>
                <w:sz w:val="20"/>
              </w:rPr>
            </w:pPr>
            <w:r>
              <w:rPr>
                <w:color w:val="231F20"/>
                <w:sz w:val="20"/>
              </w:rPr>
              <w:t>3</w:t>
            </w:r>
          </w:p>
        </w:tc>
        <w:tc>
          <w:tcPr>
            <w:tcW w:w="160" w:type="dxa"/>
            <w:shd w:val="clear" w:color="auto" w:fill="CCECFC"/>
          </w:tcPr>
          <w:p>
            <w:pPr/>
          </w:p>
        </w:tc>
        <w:tc>
          <w:tcPr>
            <w:tcW w:w="965" w:type="dxa"/>
            <w:shd w:val="clear" w:color="auto" w:fill="CCECFC"/>
          </w:tcPr>
          <w:p>
            <w:pPr/>
          </w:p>
        </w:tc>
        <w:tc>
          <w:tcPr>
            <w:tcW w:w="355" w:type="dxa"/>
            <w:shd w:val="clear" w:color="auto" w:fill="CCECFC"/>
          </w:tcPr>
          <w:p>
            <w:pPr>
              <w:pStyle w:val="TableParagraph"/>
              <w:ind w:right="47"/>
              <w:jc w:val="right"/>
              <w:rPr>
                <w:sz w:val="20"/>
              </w:rPr>
            </w:pPr>
            <w:r>
              <w:rPr>
                <w:color w:val="231F20"/>
                <w:sz w:val="20"/>
              </w:rPr>
              <w:t>—</w:t>
            </w:r>
          </w:p>
        </w:tc>
      </w:tr>
      <w:tr>
        <w:trPr>
          <w:trHeight w:val="300" w:hRule="exact"/>
        </w:trPr>
        <w:tc>
          <w:tcPr>
            <w:tcW w:w="4680" w:type="dxa"/>
          </w:tcPr>
          <w:p>
            <w:pPr>
              <w:pStyle w:val="TableParagraph"/>
              <w:ind w:left="100"/>
              <w:rPr>
                <w:sz w:val="20"/>
              </w:rPr>
            </w:pPr>
            <w:r>
              <w:rPr>
                <w:color w:val="231F20"/>
                <w:sz w:val="20"/>
              </w:rPr>
              <w:t>Recognized actuarial gain</w:t>
            </w:r>
          </w:p>
        </w:tc>
        <w:tc>
          <w:tcPr>
            <w:tcW w:w="160" w:type="dxa"/>
          </w:tcPr>
          <w:p>
            <w:pPr/>
          </w:p>
        </w:tc>
        <w:tc>
          <w:tcPr>
            <w:tcW w:w="965" w:type="dxa"/>
          </w:tcPr>
          <w:p>
            <w:pPr/>
          </w:p>
        </w:tc>
        <w:tc>
          <w:tcPr>
            <w:tcW w:w="355" w:type="dxa"/>
          </w:tcPr>
          <w:p>
            <w:pPr>
              <w:pStyle w:val="TableParagraph"/>
              <w:jc w:val="right"/>
              <w:rPr>
                <w:sz w:val="20"/>
              </w:rPr>
            </w:pPr>
            <w:r>
              <w:rPr>
                <w:color w:val="231F20"/>
                <w:sz w:val="20"/>
              </w:rPr>
              <w:t>(4)</w:t>
            </w:r>
          </w:p>
        </w:tc>
        <w:tc>
          <w:tcPr>
            <w:tcW w:w="160" w:type="dxa"/>
          </w:tcPr>
          <w:p>
            <w:pPr/>
          </w:p>
        </w:tc>
        <w:tc>
          <w:tcPr>
            <w:tcW w:w="965" w:type="dxa"/>
          </w:tcPr>
          <w:p>
            <w:pPr/>
          </w:p>
        </w:tc>
        <w:tc>
          <w:tcPr>
            <w:tcW w:w="355" w:type="dxa"/>
          </w:tcPr>
          <w:p>
            <w:pPr>
              <w:pStyle w:val="TableParagraph"/>
              <w:jc w:val="right"/>
              <w:rPr>
                <w:sz w:val="20"/>
              </w:rPr>
            </w:pPr>
            <w:r>
              <w:rPr>
                <w:color w:val="231F20"/>
                <w:sz w:val="20"/>
              </w:rPr>
              <w:t>(4)</w:t>
            </w:r>
          </w:p>
        </w:tc>
        <w:tc>
          <w:tcPr>
            <w:tcW w:w="160" w:type="dxa"/>
          </w:tcPr>
          <w:p>
            <w:pPr/>
          </w:p>
        </w:tc>
        <w:tc>
          <w:tcPr>
            <w:tcW w:w="965" w:type="dxa"/>
          </w:tcPr>
          <w:p>
            <w:pPr/>
          </w:p>
        </w:tc>
        <w:tc>
          <w:tcPr>
            <w:tcW w:w="355" w:type="dxa"/>
          </w:tcPr>
          <w:p>
            <w:pPr>
              <w:pStyle w:val="TableParagraph"/>
              <w:jc w:val="right"/>
              <w:rPr>
                <w:sz w:val="20"/>
              </w:rPr>
            </w:pPr>
            <w:r>
              <w:rPr>
                <w:color w:val="231F20"/>
                <w:sz w:val="20"/>
              </w:rPr>
              <w:t>(5)</w:t>
            </w:r>
          </w:p>
        </w:tc>
      </w:tr>
      <w:tr>
        <w:trPr>
          <w:trHeight w:val="315" w:hRule="exact"/>
        </w:trPr>
        <w:tc>
          <w:tcPr>
            <w:tcW w:w="4680" w:type="dxa"/>
            <w:shd w:val="clear" w:color="auto" w:fill="CCECFC"/>
          </w:tcPr>
          <w:p>
            <w:pPr>
              <w:pStyle w:val="TableParagraph"/>
              <w:ind w:left="100"/>
              <w:rPr>
                <w:sz w:val="20"/>
              </w:rPr>
            </w:pPr>
            <w:r>
              <w:rPr>
                <w:color w:val="231F20"/>
                <w:sz w:val="20"/>
              </w:rPr>
              <w:t>Settlements</w:t>
            </w:r>
          </w:p>
        </w:tc>
        <w:tc>
          <w:tcPr>
            <w:tcW w:w="160" w:type="dxa"/>
            <w:shd w:val="clear" w:color="auto" w:fill="CCECFC"/>
          </w:tcPr>
          <w:p>
            <w:pPr/>
          </w:p>
        </w:tc>
        <w:tc>
          <w:tcPr>
            <w:tcW w:w="965" w:type="dxa"/>
            <w:tcBorders>
              <w:bottom w:val="single" w:sz="4" w:space="0" w:color="231F20"/>
            </w:tcBorders>
            <w:shd w:val="clear" w:color="auto" w:fill="CCECFC"/>
          </w:tcPr>
          <w:p>
            <w:pPr>
              <w:pStyle w:val="TableParagraph"/>
              <w:rPr>
                <w:sz w:val="20"/>
              </w:rPr>
            </w:pPr>
            <w:r>
              <w:rPr>
                <w:color w:val="231F20"/>
                <w:sz w:val="20"/>
              </w:rPr>
              <w:t>$</w:t>
            </w:r>
          </w:p>
        </w:tc>
        <w:tc>
          <w:tcPr>
            <w:tcW w:w="355" w:type="dxa"/>
            <w:tcBorders>
              <w:bottom w:val="single" w:sz="4" w:space="0" w:color="231F20"/>
            </w:tcBorders>
            <w:shd w:val="clear" w:color="auto" w:fill="CCECFC"/>
          </w:tcPr>
          <w:p>
            <w:pPr>
              <w:pStyle w:val="TableParagraph"/>
              <w:jc w:val="right"/>
              <w:rPr>
                <w:sz w:val="20"/>
              </w:rPr>
            </w:pPr>
            <w:r>
              <w:rPr>
                <w:color w:val="231F20"/>
                <w:sz w:val="20"/>
              </w:rPr>
              <w:t>(1)</w:t>
            </w:r>
          </w:p>
        </w:tc>
        <w:tc>
          <w:tcPr>
            <w:tcW w:w="160" w:type="dxa"/>
            <w:shd w:val="clear" w:color="auto" w:fill="CCECFC"/>
          </w:tcPr>
          <w:p>
            <w:pPr/>
          </w:p>
        </w:tc>
        <w:tc>
          <w:tcPr>
            <w:tcW w:w="965" w:type="dxa"/>
            <w:tcBorders>
              <w:bottom w:val="single" w:sz="4" w:space="0" w:color="231F20"/>
            </w:tcBorders>
            <w:shd w:val="clear" w:color="auto" w:fill="CCECFC"/>
          </w:tcPr>
          <w:p>
            <w:pPr>
              <w:pStyle w:val="TableParagraph"/>
              <w:rPr>
                <w:sz w:val="20"/>
              </w:rPr>
            </w:pPr>
            <w:r>
              <w:rPr>
                <w:color w:val="231F20"/>
                <w:sz w:val="20"/>
              </w:rPr>
              <w:t>$</w:t>
            </w:r>
          </w:p>
        </w:tc>
        <w:tc>
          <w:tcPr>
            <w:tcW w:w="355" w:type="dxa"/>
            <w:tcBorders>
              <w:bottom w:val="single" w:sz="4" w:space="0" w:color="231F20"/>
            </w:tcBorders>
            <w:shd w:val="clear" w:color="auto" w:fill="CCECFC"/>
          </w:tcPr>
          <w:p>
            <w:pPr>
              <w:pStyle w:val="TableParagraph"/>
              <w:ind w:right="47"/>
              <w:jc w:val="right"/>
              <w:rPr>
                <w:sz w:val="20"/>
              </w:rPr>
            </w:pPr>
            <w:r>
              <w:rPr>
                <w:color w:val="231F20"/>
                <w:sz w:val="20"/>
              </w:rPr>
              <w:t>—</w:t>
            </w:r>
          </w:p>
        </w:tc>
        <w:tc>
          <w:tcPr>
            <w:tcW w:w="160" w:type="dxa"/>
            <w:shd w:val="clear" w:color="auto" w:fill="CCECFC"/>
          </w:tcPr>
          <w:p>
            <w:pPr/>
          </w:p>
        </w:tc>
        <w:tc>
          <w:tcPr>
            <w:tcW w:w="965" w:type="dxa"/>
            <w:tcBorders>
              <w:bottom w:val="single" w:sz="4" w:space="0" w:color="231F20"/>
            </w:tcBorders>
            <w:shd w:val="clear" w:color="auto" w:fill="CCECFC"/>
          </w:tcPr>
          <w:p>
            <w:pPr>
              <w:pStyle w:val="TableParagraph"/>
              <w:rPr>
                <w:sz w:val="20"/>
              </w:rPr>
            </w:pPr>
            <w:r>
              <w:rPr>
                <w:color w:val="231F20"/>
                <w:sz w:val="20"/>
              </w:rPr>
              <w:t>$</w:t>
            </w:r>
          </w:p>
        </w:tc>
        <w:tc>
          <w:tcPr>
            <w:tcW w:w="355" w:type="dxa"/>
            <w:tcBorders>
              <w:bottom w:val="single" w:sz="4" w:space="0" w:color="231F20"/>
            </w:tcBorders>
            <w:shd w:val="clear" w:color="auto" w:fill="CCECFC"/>
          </w:tcPr>
          <w:p>
            <w:pPr>
              <w:pStyle w:val="TableParagraph"/>
              <w:ind w:right="47"/>
              <w:jc w:val="right"/>
              <w:rPr>
                <w:sz w:val="20"/>
              </w:rPr>
            </w:pPr>
            <w:r>
              <w:rPr>
                <w:color w:val="231F20"/>
                <w:sz w:val="20"/>
              </w:rPr>
              <w:t>—</w:t>
            </w:r>
          </w:p>
        </w:tc>
      </w:tr>
      <w:tr>
        <w:trPr>
          <w:trHeight w:val="360" w:hRule="exact"/>
        </w:trPr>
        <w:tc>
          <w:tcPr>
            <w:tcW w:w="4680" w:type="dxa"/>
          </w:tcPr>
          <w:p>
            <w:pPr>
              <w:pStyle w:val="TableParagraph"/>
              <w:spacing w:before="73"/>
              <w:ind w:left="100"/>
              <w:rPr>
                <w:sz w:val="20"/>
              </w:rPr>
            </w:pPr>
            <w:r>
              <w:rPr>
                <w:color w:val="231F20"/>
                <w:sz w:val="20"/>
              </w:rPr>
              <w:t>Net periodic postretirement benefit cost</w:t>
            </w:r>
          </w:p>
        </w:tc>
        <w:tc>
          <w:tcPr>
            <w:tcW w:w="160" w:type="dxa"/>
          </w:tcPr>
          <w:p>
            <w:pPr/>
          </w:p>
        </w:tc>
        <w:tc>
          <w:tcPr>
            <w:tcW w:w="965" w:type="dxa"/>
            <w:tcBorders>
              <w:top w:val="single" w:sz="4" w:space="0" w:color="231F20"/>
              <w:bottom w:val="single" w:sz="8" w:space="0" w:color="231F20"/>
            </w:tcBorders>
          </w:tcPr>
          <w:p>
            <w:pPr>
              <w:pStyle w:val="TableParagraph"/>
              <w:rPr>
                <w:sz w:val="20"/>
              </w:rPr>
            </w:pPr>
            <w:r>
              <w:rPr>
                <w:color w:val="231F20"/>
                <w:sz w:val="20"/>
              </w:rPr>
              <w:t>$</w:t>
            </w:r>
          </w:p>
        </w:tc>
        <w:tc>
          <w:tcPr>
            <w:tcW w:w="355" w:type="dxa"/>
            <w:tcBorders>
              <w:top w:val="single" w:sz="4" w:space="0" w:color="231F20"/>
              <w:bottom w:val="single" w:sz="8" w:space="0" w:color="231F20"/>
            </w:tcBorders>
          </w:tcPr>
          <w:p>
            <w:pPr>
              <w:pStyle w:val="TableParagraph"/>
              <w:ind w:right="47"/>
              <w:jc w:val="right"/>
              <w:rPr>
                <w:sz w:val="20"/>
              </w:rPr>
            </w:pPr>
            <w:r>
              <w:rPr>
                <w:color w:val="231F20"/>
                <w:sz w:val="20"/>
              </w:rPr>
              <w:t>15</w:t>
            </w:r>
          </w:p>
        </w:tc>
        <w:tc>
          <w:tcPr>
            <w:tcW w:w="160" w:type="dxa"/>
          </w:tcPr>
          <w:p>
            <w:pPr/>
          </w:p>
        </w:tc>
        <w:tc>
          <w:tcPr>
            <w:tcW w:w="965" w:type="dxa"/>
            <w:tcBorders>
              <w:top w:val="single" w:sz="4" w:space="0" w:color="231F20"/>
              <w:bottom w:val="single" w:sz="4" w:space="0" w:color="231F20"/>
            </w:tcBorders>
          </w:tcPr>
          <w:p>
            <w:pPr>
              <w:pStyle w:val="TableParagraph"/>
              <w:rPr>
                <w:sz w:val="20"/>
              </w:rPr>
            </w:pPr>
            <w:r>
              <w:rPr>
                <w:color w:val="231F20"/>
                <w:sz w:val="20"/>
              </w:rPr>
              <w:t>$</w:t>
            </w:r>
          </w:p>
        </w:tc>
        <w:tc>
          <w:tcPr>
            <w:tcW w:w="355" w:type="dxa"/>
            <w:tcBorders>
              <w:top w:val="single" w:sz="4" w:space="0" w:color="231F20"/>
              <w:bottom w:val="single" w:sz="4" w:space="0" w:color="231F20"/>
            </w:tcBorders>
          </w:tcPr>
          <w:p>
            <w:pPr>
              <w:pStyle w:val="TableParagraph"/>
              <w:ind w:right="47"/>
              <w:jc w:val="right"/>
              <w:rPr>
                <w:sz w:val="20"/>
              </w:rPr>
            </w:pPr>
            <w:r>
              <w:rPr>
                <w:color w:val="231F20"/>
                <w:sz w:val="20"/>
              </w:rPr>
              <w:t>33</w:t>
            </w:r>
          </w:p>
        </w:tc>
        <w:tc>
          <w:tcPr>
            <w:tcW w:w="160" w:type="dxa"/>
          </w:tcPr>
          <w:p>
            <w:pPr/>
          </w:p>
        </w:tc>
        <w:tc>
          <w:tcPr>
            <w:tcW w:w="965" w:type="dxa"/>
            <w:tcBorders>
              <w:top w:val="single" w:sz="4" w:space="0" w:color="231F20"/>
              <w:bottom w:val="single" w:sz="4" w:space="0" w:color="231F20"/>
            </w:tcBorders>
          </w:tcPr>
          <w:p>
            <w:pPr>
              <w:pStyle w:val="TableParagraph"/>
              <w:spacing w:before="68"/>
              <w:rPr>
                <w:sz w:val="20"/>
              </w:rPr>
            </w:pPr>
            <w:r>
              <w:rPr>
                <w:color w:val="231F20"/>
                <w:sz w:val="20"/>
              </w:rPr>
              <w:t>$</w:t>
            </w:r>
          </w:p>
        </w:tc>
        <w:tc>
          <w:tcPr>
            <w:tcW w:w="355" w:type="dxa"/>
            <w:tcBorders>
              <w:top w:val="single" w:sz="4" w:space="0" w:color="231F20"/>
              <w:bottom w:val="single" w:sz="4" w:space="0" w:color="231F20"/>
            </w:tcBorders>
          </w:tcPr>
          <w:p>
            <w:pPr>
              <w:pStyle w:val="TableParagraph"/>
              <w:spacing w:before="68"/>
              <w:ind w:right="47"/>
              <w:jc w:val="right"/>
              <w:rPr>
                <w:sz w:val="20"/>
              </w:rPr>
            </w:pPr>
            <w:r>
              <w:rPr>
                <w:color w:val="231F20"/>
                <w:sz w:val="20"/>
              </w:rPr>
              <w:t>19</w:t>
            </w:r>
          </w:p>
        </w:tc>
      </w:tr>
    </w:tbl>
    <w:p>
      <w:pPr>
        <w:pStyle w:val="BodyText"/>
        <w:spacing w:before="3"/>
        <w:rPr>
          <w:sz w:val="24"/>
        </w:rPr>
      </w:pPr>
    </w:p>
    <w:p>
      <w:pPr>
        <w:pStyle w:val="BodyText"/>
        <w:spacing w:line="247" w:lineRule="auto"/>
        <w:ind w:left="120" w:right="117" w:firstLine="720"/>
        <w:jc w:val="both"/>
      </w:pPr>
      <w:r>
        <w:rPr/>
        <w:pict>
          <v:line style="position:absolute;mso-position-horizontal-relative:page;mso-position-vertical-relative:paragraph;z-index:-402568" from="311pt,-17.230469pt" to="377pt,-17.230469pt" stroked="true" strokeweight="1pt" strokecolor="#231f20">
            <v:stroke dashstyle="solid"/>
            <w10:wrap type="none"/>
          </v:line>
        </w:pict>
      </w:r>
      <w:r>
        <w:rPr/>
        <w:pict>
          <v:line style="position:absolute;mso-position-horizontal-relative:page;mso-position-vertical-relative:paragraph;z-index:-402544" from="385pt,-16.980469pt" to="451pt,-16.980469pt" stroked="true" strokeweight=".5pt" strokecolor="#231f20">
            <v:stroke dashstyle="solid"/>
            <w10:wrap type="none"/>
          </v:line>
        </w:pict>
      </w:r>
      <w:r>
        <w:rPr/>
        <w:pict>
          <v:line style="position:absolute;mso-position-horizontal-relative:page;mso-position-vertical-relative:paragraph;z-index:-402520" from="459pt,-16.980469pt" to="525pt,-16.980469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 2014, 2013, and 2012:</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0"/>
        <w:gridCol w:w="1320"/>
        <w:gridCol w:w="160"/>
        <w:gridCol w:w="1320"/>
        <w:gridCol w:w="1480"/>
      </w:tblGrid>
      <w:tr>
        <w:trPr>
          <w:trHeight w:val="256" w:hRule="exact"/>
        </w:trPr>
        <w:tc>
          <w:tcPr>
            <w:tcW w:w="484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2013</w:t>
            </w:r>
          </w:p>
        </w:tc>
        <w:tc>
          <w:tcPr>
            <w:tcW w:w="1480" w:type="dxa"/>
            <w:tcBorders>
              <w:bottom w:val="single" w:sz="8" w:space="0" w:color="231F20"/>
            </w:tcBorders>
          </w:tcPr>
          <w:p>
            <w:pPr>
              <w:pStyle w:val="TableParagraph"/>
              <w:spacing w:line="229" w:lineRule="exact" w:before="0"/>
              <w:ind w:left="620"/>
              <w:rPr>
                <w:b/>
                <w:sz w:val="20"/>
              </w:rPr>
            </w:pPr>
            <w:r>
              <w:rPr>
                <w:b/>
                <w:color w:val="231F20"/>
                <w:sz w:val="20"/>
              </w:rPr>
              <w:t>2012</w:t>
            </w:r>
          </w:p>
        </w:tc>
      </w:tr>
      <w:tr>
        <w:trPr>
          <w:trHeight w:val="310" w:hRule="exact"/>
        </w:trPr>
        <w:tc>
          <w:tcPr>
            <w:tcW w:w="4840" w:type="dxa"/>
            <w:shd w:val="clear" w:color="auto" w:fill="CCECFC"/>
          </w:tcPr>
          <w:p>
            <w:pPr>
              <w:pStyle w:val="TableParagraph"/>
              <w:ind w:left="100"/>
              <w:rPr>
                <w:sz w:val="20"/>
              </w:rPr>
            </w:pPr>
            <w:r>
              <w:rPr>
                <w:color w:val="231F20"/>
                <w:sz w:val="20"/>
              </w:rPr>
              <w:t>Weighted-average discount rate</w:t>
            </w:r>
          </w:p>
        </w:tc>
        <w:tc>
          <w:tcPr>
            <w:tcW w:w="1320" w:type="dxa"/>
            <w:tcBorders>
              <w:top w:val="single" w:sz="8" w:space="0" w:color="231F20"/>
            </w:tcBorders>
            <w:shd w:val="clear" w:color="auto" w:fill="CCECFC"/>
          </w:tcPr>
          <w:p>
            <w:pPr>
              <w:pStyle w:val="TableParagraph"/>
              <w:jc w:val="right"/>
              <w:rPr>
                <w:sz w:val="20"/>
              </w:rPr>
            </w:pPr>
            <w:r>
              <w:rPr>
                <w:color w:val="231F20"/>
                <w:sz w:val="20"/>
              </w:rPr>
              <w:t>4.10%</w:t>
            </w:r>
          </w:p>
        </w:tc>
        <w:tc>
          <w:tcPr>
            <w:tcW w:w="160" w:type="dxa"/>
            <w:shd w:val="clear" w:color="auto" w:fill="CCECFC"/>
          </w:tcPr>
          <w:p>
            <w:pPr/>
          </w:p>
        </w:tc>
        <w:tc>
          <w:tcPr>
            <w:tcW w:w="1320" w:type="dxa"/>
            <w:tcBorders>
              <w:top w:val="single" w:sz="8" w:space="0" w:color="231F20"/>
            </w:tcBorders>
            <w:shd w:val="clear" w:color="auto" w:fill="CCECFC"/>
          </w:tcPr>
          <w:p>
            <w:pPr>
              <w:pStyle w:val="TableParagraph"/>
              <w:jc w:val="right"/>
              <w:rPr>
                <w:sz w:val="20"/>
              </w:rPr>
            </w:pPr>
            <w:r>
              <w:rPr>
                <w:color w:val="231F20"/>
                <w:sz w:val="20"/>
              </w:rPr>
              <w:t>5.05%</w:t>
            </w:r>
          </w:p>
        </w:tc>
        <w:tc>
          <w:tcPr>
            <w:tcW w:w="1480" w:type="dxa"/>
            <w:tcBorders>
              <w:top w:val="single" w:sz="8" w:space="0" w:color="231F20"/>
            </w:tcBorders>
            <w:shd w:val="clear" w:color="auto" w:fill="CCECFC"/>
          </w:tcPr>
          <w:p>
            <w:pPr>
              <w:pStyle w:val="TableParagraph"/>
              <w:spacing w:before="43"/>
              <w:jc w:val="right"/>
              <w:rPr>
                <w:sz w:val="20"/>
              </w:rPr>
            </w:pPr>
            <w:r>
              <w:rPr>
                <w:color w:val="231F20"/>
                <w:sz w:val="20"/>
              </w:rPr>
              <w:t>2.90%</w:t>
            </w:r>
          </w:p>
        </w:tc>
      </w:tr>
      <w:tr>
        <w:trPr>
          <w:trHeight w:val="284" w:hRule="exact"/>
        </w:trPr>
        <w:tc>
          <w:tcPr>
            <w:tcW w:w="4840" w:type="dxa"/>
          </w:tcPr>
          <w:p>
            <w:pPr>
              <w:pStyle w:val="TableParagraph"/>
              <w:ind w:left="100"/>
              <w:rPr>
                <w:sz w:val="20"/>
              </w:rPr>
            </w:pPr>
            <w:r>
              <w:rPr>
                <w:color w:val="231F20"/>
                <w:sz w:val="20"/>
              </w:rPr>
              <w:t>Assumed healthcare cost trend rate (1)</w:t>
            </w:r>
          </w:p>
        </w:tc>
        <w:tc>
          <w:tcPr>
            <w:tcW w:w="1320" w:type="dxa"/>
          </w:tcPr>
          <w:p>
            <w:pPr>
              <w:pStyle w:val="TableParagraph"/>
              <w:jc w:val="right"/>
              <w:rPr>
                <w:sz w:val="20"/>
              </w:rPr>
            </w:pPr>
            <w:r>
              <w:rPr>
                <w:color w:val="231F20"/>
                <w:sz w:val="20"/>
              </w:rPr>
              <w:t>6.88%</w:t>
            </w:r>
          </w:p>
        </w:tc>
        <w:tc>
          <w:tcPr>
            <w:tcW w:w="160" w:type="dxa"/>
          </w:tcPr>
          <w:p>
            <w:pPr/>
          </w:p>
        </w:tc>
        <w:tc>
          <w:tcPr>
            <w:tcW w:w="1320" w:type="dxa"/>
          </w:tcPr>
          <w:p>
            <w:pPr>
              <w:pStyle w:val="TableParagraph"/>
              <w:jc w:val="right"/>
              <w:rPr>
                <w:sz w:val="20"/>
              </w:rPr>
            </w:pPr>
            <w:r>
              <w:rPr>
                <w:color w:val="231F20"/>
                <w:sz w:val="20"/>
              </w:rPr>
              <w:t>7.50%</w:t>
            </w:r>
          </w:p>
        </w:tc>
        <w:tc>
          <w:tcPr>
            <w:tcW w:w="1480" w:type="dxa"/>
          </w:tcPr>
          <w:p>
            <w:pPr>
              <w:pStyle w:val="TableParagraph"/>
              <w:jc w:val="right"/>
              <w:rPr>
                <w:sz w:val="20"/>
              </w:rPr>
            </w:pPr>
            <w:r>
              <w:rPr>
                <w:color w:val="231F20"/>
                <w:sz w:val="20"/>
              </w:rPr>
              <w:t>8.00%</w:t>
            </w:r>
          </w:p>
        </w:tc>
      </w:tr>
    </w:tbl>
    <w:p>
      <w:pPr>
        <w:pStyle w:val="BodyText"/>
        <w:spacing w:before="10"/>
        <w:rPr>
          <w:sz w:val="26"/>
        </w:rPr>
      </w:pPr>
    </w:p>
    <w:p>
      <w:pPr>
        <w:pStyle w:val="ListParagraph"/>
        <w:numPr>
          <w:ilvl w:val="1"/>
          <w:numId w:val="15"/>
        </w:numPr>
        <w:tabs>
          <w:tab w:pos="920" w:val="left" w:leader="none"/>
        </w:tabs>
        <w:spacing w:line="249" w:lineRule="auto" w:before="0" w:after="0"/>
        <w:ind w:left="920" w:right="119" w:hanging="400"/>
        <w:jc w:val="left"/>
        <w:rPr>
          <w:sz w:val="20"/>
        </w:rPr>
      </w:pPr>
      <w:r>
        <w:rPr>
          <w:color w:val="231F20"/>
          <w:sz w:val="20"/>
        </w:rPr>
        <w:t>The assumed healthcare cost trend rate is assumed to remain at 6.88% for 2015, then decline gradually to 5.00% by 2025 and remain level</w:t>
      </w:r>
      <w:r>
        <w:rPr>
          <w:color w:val="231F20"/>
          <w:spacing w:val="2"/>
          <w:sz w:val="20"/>
        </w:rPr>
        <w:t> </w:t>
      </w:r>
      <w:r>
        <w:rPr>
          <w:color w:val="231F20"/>
          <w:sz w:val="20"/>
        </w:rPr>
        <w:t>thereafter.</w:t>
      </w:r>
    </w:p>
    <w:p>
      <w:pPr>
        <w:pStyle w:val="BodyText"/>
        <w:rPr>
          <w:sz w:val="21"/>
        </w:rPr>
      </w:pPr>
    </w:p>
    <w:p>
      <w:pPr>
        <w:pStyle w:val="BodyText"/>
        <w:spacing w:line="247" w:lineRule="auto"/>
        <w:ind w:left="120" w:right="117" w:firstLine="720"/>
        <w:jc w:val="both"/>
      </w:pPr>
      <w:r>
        <w:rPr>
          <w:color w:val="231F20"/>
        </w:rPr>
        <w:t>The assumed healthcare cost trend rates have a significant effect on the amounts reported for the consolidated postretirement plans. A one percent change in all healthcare cost trend rates used in measuring the APBO at December 31, 2014, would have the following effects: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20"/>
        <w:gridCol w:w="1320"/>
        <w:gridCol w:w="1480"/>
      </w:tblGrid>
      <w:tr>
        <w:trPr>
          <w:trHeight w:val="256" w:hRule="exact"/>
        </w:trPr>
        <w:tc>
          <w:tcPr>
            <w:tcW w:w="632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1% increase</w:t>
            </w:r>
          </w:p>
        </w:tc>
        <w:tc>
          <w:tcPr>
            <w:tcW w:w="1480" w:type="dxa"/>
            <w:tcBorders>
              <w:bottom w:val="single" w:sz="8" w:space="0" w:color="231F20"/>
            </w:tcBorders>
          </w:tcPr>
          <w:p>
            <w:pPr>
              <w:pStyle w:val="TableParagraph"/>
              <w:spacing w:line="229" w:lineRule="exact" w:before="0"/>
              <w:ind w:left="258" w:right="99"/>
              <w:jc w:val="center"/>
              <w:rPr>
                <w:b/>
                <w:sz w:val="20"/>
              </w:rPr>
            </w:pPr>
            <w:r>
              <w:rPr>
                <w:b/>
                <w:color w:val="231F20"/>
                <w:sz w:val="20"/>
              </w:rPr>
              <w:t>1% decrease</w:t>
            </w:r>
          </w:p>
        </w:tc>
      </w:tr>
      <w:tr>
        <w:trPr>
          <w:trHeight w:val="310" w:hRule="exact"/>
        </w:trPr>
        <w:tc>
          <w:tcPr>
            <w:tcW w:w="6320" w:type="dxa"/>
            <w:tcBorders>
              <w:top w:val="single" w:sz="8" w:space="0" w:color="231F20"/>
            </w:tcBorders>
            <w:shd w:val="clear" w:color="auto" w:fill="CCECFC"/>
          </w:tcPr>
          <w:p>
            <w:pPr>
              <w:pStyle w:val="TableParagraph"/>
              <w:ind w:left="100"/>
              <w:rPr>
                <w:sz w:val="20"/>
              </w:rPr>
            </w:pPr>
            <w:r>
              <w:rPr>
                <w:color w:val="231F20"/>
                <w:sz w:val="20"/>
              </w:rPr>
              <w:t>Increase (decrease) in total service and interest costs</w:t>
            </w:r>
          </w:p>
        </w:tc>
        <w:tc>
          <w:tcPr>
            <w:tcW w:w="1320" w:type="dxa"/>
            <w:tcBorders>
              <w:top w:val="single" w:sz="8" w:space="0" w:color="231F20"/>
            </w:tcBorders>
            <w:shd w:val="clear" w:color="auto" w:fill="CCECFC"/>
          </w:tcPr>
          <w:p>
            <w:pPr>
              <w:pStyle w:val="TableParagraph"/>
              <w:tabs>
                <w:tab w:pos="1169" w:val="left" w:leader="none"/>
              </w:tabs>
              <w:ind w:right="47"/>
              <w:jc w:val="center"/>
              <w:rPr>
                <w:sz w:val="20"/>
              </w:rPr>
            </w:pPr>
            <w:r>
              <w:rPr>
                <w:color w:val="231F20"/>
                <w:sz w:val="20"/>
              </w:rPr>
              <w:t>$</w:t>
              <w:tab/>
              <w:t>3</w:t>
            </w:r>
          </w:p>
        </w:tc>
        <w:tc>
          <w:tcPr>
            <w:tcW w:w="1480" w:type="dxa"/>
            <w:tcBorders>
              <w:top w:val="single" w:sz="8" w:space="0" w:color="231F20"/>
            </w:tcBorders>
            <w:shd w:val="clear" w:color="auto" w:fill="CCECFC"/>
          </w:tcPr>
          <w:p>
            <w:pPr>
              <w:pStyle w:val="TableParagraph"/>
              <w:tabs>
                <w:tab w:pos="1145" w:val="left" w:leader="none"/>
              </w:tabs>
              <w:ind w:left="109"/>
              <w:jc w:val="center"/>
              <w:rPr>
                <w:sz w:val="20"/>
              </w:rPr>
            </w:pPr>
            <w:r>
              <w:rPr>
                <w:color w:val="231F20"/>
                <w:sz w:val="20"/>
              </w:rPr>
              <w:t>$</w:t>
              <w:tab/>
              <w:t>(2)</w:t>
            </w:r>
          </w:p>
        </w:tc>
      </w:tr>
      <w:tr>
        <w:trPr>
          <w:trHeight w:val="284" w:hRule="exact"/>
        </w:trPr>
        <w:tc>
          <w:tcPr>
            <w:tcW w:w="6320" w:type="dxa"/>
          </w:tcPr>
          <w:p>
            <w:pPr>
              <w:pStyle w:val="TableParagraph"/>
              <w:ind w:left="100"/>
              <w:rPr>
                <w:sz w:val="20"/>
              </w:rPr>
            </w:pPr>
            <w:r>
              <w:rPr>
                <w:color w:val="231F20"/>
                <w:sz w:val="20"/>
              </w:rPr>
              <w:t>Increase (decrease) in the APBO</w:t>
            </w:r>
          </w:p>
        </w:tc>
        <w:tc>
          <w:tcPr>
            <w:tcW w:w="1320" w:type="dxa"/>
          </w:tcPr>
          <w:p>
            <w:pPr>
              <w:pStyle w:val="TableParagraph"/>
              <w:tabs>
                <w:tab w:pos="1069" w:val="left" w:leader="none"/>
              </w:tabs>
              <w:ind w:right="47"/>
              <w:jc w:val="center"/>
              <w:rPr>
                <w:sz w:val="20"/>
              </w:rPr>
            </w:pPr>
            <w:r>
              <w:rPr>
                <w:color w:val="231F20"/>
                <w:sz w:val="20"/>
              </w:rPr>
              <w:t>$</w:t>
              <w:tab/>
              <w:t>24</w:t>
            </w:r>
          </w:p>
        </w:tc>
        <w:tc>
          <w:tcPr>
            <w:tcW w:w="1480" w:type="dxa"/>
          </w:tcPr>
          <w:p>
            <w:pPr>
              <w:pStyle w:val="TableParagraph"/>
              <w:tabs>
                <w:tab w:pos="1045" w:val="left" w:leader="none"/>
              </w:tabs>
              <w:ind w:left="109"/>
              <w:jc w:val="center"/>
              <w:rPr>
                <w:sz w:val="20"/>
              </w:rPr>
            </w:pPr>
            <w:r>
              <w:rPr>
                <w:color w:val="231F20"/>
                <w:sz w:val="20"/>
              </w:rPr>
              <w:t>$</w:t>
              <w:tab/>
              <w:t>(20)</w:t>
            </w:r>
          </w:p>
        </w:tc>
      </w:tr>
    </w:tbl>
    <w:p>
      <w:pPr>
        <w:pStyle w:val="BodyText"/>
        <w:rPr>
          <w:sz w:val="27"/>
        </w:rPr>
      </w:pPr>
    </w:p>
    <w:p>
      <w:pPr>
        <w:pStyle w:val="BodyText"/>
        <w:spacing w:line="247" w:lineRule="auto"/>
        <w:ind w:left="120" w:right="117" w:firstLine="720"/>
        <w:jc w:val="both"/>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This rate decreased during 2014 due to market conditions. The assumed healthcare trend rate is also reviewed at least annually and is determined based upon both historical experience with the Company’s healthcare benefits paid and expectations of how those  trends may or may not change in future</w:t>
      </w:r>
      <w:r>
        <w:rPr>
          <w:color w:val="231F20"/>
          <w:spacing w:val="-4"/>
        </w:rPr>
        <w:t> </w:t>
      </w:r>
      <w:r>
        <w:rPr>
          <w:color w:val="231F20"/>
        </w:rPr>
        <w:t>years.</w:t>
      </w:r>
    </w:p>
    <w:p>
      <w:pPr>
        <w:spacing w:after="0" w:line="247" w:lineRule="auto"/>
        <w:jc w:val="both"/>
        <w:sectPr>
          <w:pgSz w:w="11880" w:h="15480"/>
          <w:pgMar w:header="0" w:footer="1240" w:top="1240" w:bottom="1420" w:left="1260" w:right="1260"/>
        </w:sectPr>
      </w:pPr>
    </w:p>
    <w:p>
      <w:pPr>
        <w:pStyle w:val="Heading1"/>
        <w:numPr>
          <w:ilvl w:val="0"/>
          <w:numId w:val="15"/>
        </w:numPr>
        <w:tabs>
          <w:tab w:pos="450" w:val="left" w:leader="none"/>
        </w:tabs>
        <w:spacing w:line="240" w:lineRule="auto" w:before="74" w:after="0"/>
        <w:ind w:left="450" w:right="0" w:hanging="330"/>
        <w:jc w:val="left"/>
      </w:pPr>
      <w:r>
        <w:rPr/>
        <w:pict>
          <v:line style="position:absolute;mso-position-horizontal-relative:page;mso-position-vertical-relative:page;z-index:-402400" from="311pt,615.549988pt" to="377pt,615.549988pt" stroked="true" strokeweight=".5pt" strokecolor="#231f20">
            <v:stroke dashstyle="solid"/>
            <w10:wrap type="none"/>
          </v:line>
        </w:pict>
      </w:r>
      <w:r>
        <w:rPr/>
        <w:pict>
          <v:line style="position:absolute;mso-position-horizontal-relative:page;mso-position-vertical-relative:page;z-index:-402376" from="385pt,615.549988pt" to="451pt,615.549988pt" stroked="true" strokeweight=".5pt" strokecolor="#231f20">
            <v:stroke dashstyle="solid"/>
            <w10:wrap type="none"/>
          </v:line>
        </w:pict>
      </w:r>
      <w:r>
        <w:rPr>
          <w:color w:val="231F20"/>
        </w:rPr>
        <w:t>INCOME TAXES</w:t>
      </w:r>
    </w:p>
    <w:p>
      <w:pPr>
        <w:pStyle w:val="BodyText"/>
        <w:spacing w:before="4"/>
        <w:rPr>
          <w:b/>
          <w:sz w:val="21"/>
        </w:rPr>
      </w:pPr>
    </w:p>
    <w:p>
      <w:pPr>
        <w:pStyle w:val="BodyText"/>
        <w:spacing w:line="247" w:lineRule="auto" w:before="1"/>
        <w:ind w:left="120" w:right="117" w:firstLine="720"/>
        <w:jc w:val="both"/>
      </w:pPr>
      <w:r>
        <w:rPr/>
        <w:pict>
          <v:line style="position:absolute;mso-position-horizontal-relative:page;mso-position-vertical-relative:paragraph;z-index:-402496" from="69pt,74.819839pt" to="377pt,74.819839pt" stroked="true" strokeweight="1pt" strokecolor="#231f20">
            <v:stroke dashstyle="solid"/>
            <w10:wrap type="none"/>
          </v:line>
        </w:pict>
      </w: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2014 and 2013, are as follows: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160"/>
        <w:gridCol w:w="200"/>
        <w:gridCol w:w="1280"/>
        <w:gridCol w:w="200"/>
        <w:gridCol w:w="1280"/>
      </w:tblGrid>
      <w:tr>
        <w:trPr>
          <w:trHeight w:val="256" w:hRule="exact"/>
        </w:trPr>
        <w:tc>
          <w:tcPr>
            <w:tcW w:w="6160" w:type="dxa"/>
          </w:tcPr>
          <w:p>
            <w:pPr>
              <w:pStyle w:val="TableParagraph"/>
              <w:spacing w:line="229" w:lineRule="exact" w:before="0"/>
              <w:ind w:left="100"/>
              <w:rPr>
                <w:b/>
                <w:sz w:val="20"/>
              </w:rPr>
            </w:pPr>
            <w:r>
              <w:rPr>
                <w:b/>
                <w:color w:val="231F20"/>
                <w:sz w:val="20"/>
              </w:rPr>
              <w:t>(in millions)</w:t>
            </w:r>
          </w:p>
        </w:tc>
        <w:tc>
          <w:tcPr>
            <w:tcW w:w="200" w:type="dxa"/>
          </w:tcPr>
          <w:p>
            <w:pPr/>
          </w:p>
        </w:tc>
        <w:tc>
          <w:tcPr>
            <w:tcW w:w="128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200" w:type="dxa"/>
          </w:tcPr>
          <w:p>
            <w:pPr/>
          </w:p>
        </w:tc>
        <w:tc>
          <w:tcPr>
            <w:tcW w:w="1280" w:type="dxa"/>
            <w:tcBorders>
              <w:bottom w:val="single" w:sz="8" w:space="0" w:color="231F20"/>
            </w:tcBorders>
          </w:tcPr>
          <w:p>
            <w:pPr>
              <w:pStyle w:val="TableParagraph"/>
              <w:spacing w:line="229" w:lineRule="exact" w:before="0"/>
              <w:jc w:val="center"/>
              <w:rPr>
                <w:b/>
                <w:sz w:val="20"/>
              </w:rPr>
            </w:pPr>
            <w:r>
              <w:rPr>
                <w:b/>
                <w:color w:val="231F20"/>
                <w:sz w:val="20"/>
              </w:rPr>
              <w:t>2013</w:t>
            </w:r>
          </w:p>
        </w:tc>
      </w:tr>
      <w:tr>
        <w:trPr>
          <w:trHeight w:val="298" w:hRule="exact"/>
        </w:trPr>
        <w:tc>
          <w:tcPr>
            <w:tcW w:w="6160" w:type="dxa"/>
            <w:shd w:val="clear" w:color="auto" w:fill="CCECFC"/>
          </w:tcPr>
          <w:p>
            <w:pPr>
              <w:pStyle w:val="TableParagraph"/>
              <w:spacing w:before="41"/>
              <w:ind w:left="100"/>
              <w:rPr>
                <w:b/>
                <w:sz w:val="20"/>
              </w:rPr>
            </w:pPr>
            <w:r>
              <w:rPr>
                <w:b/>
                <w:color w:val="231F20"/>
                <w:sz w:val="20"/>
              </w:rPr>
              <w:t>DEFERRED TAX LIABILITIES:</w:t>
            </w:r>
          </w:p>
        </w:tc>
        <w:tc>
          <w:tcPr>
            <w:tcW w:w="200" w:type="dxa"/>
            <w:shd w:val="clear" w:color="auto" w:fill="CCECFC"/>
          </w:tcPr>
          <w:p>
            <w:pPr/>
          </w:p>
        </w:tc>
        <w:tc>
          <w:tcPr>
            <w:tcW w:w="1280" w:type="dxa"/>
            <w:tcBorders>
              <w:top w:val="single" w:sz="8" w:space="0" w:color="231F20"/>
            </w:tcBorders>
            <w:shd w:val="clear" w:color="auto" w:fill="CCECFC"/>
          </w:tcPr>
          <w:p>
            <w:pPr/>
          </w:p>
        </w:tc>
        <w:tc>
          <w:tcPr>
            <w:tcW w:w="200" w:type="dxa"/>
            <w:shd w:val="clear" w:color="auto" w:fill="CCECFC"/>
          </w:tcPr>
          <w:p>
            <w:pPr/>
          </w:p>
        </w:tc>
        <w:tc>
          <w:tcPr>
            <w:tcW w:w="1280" w:type="dxa"/>
            <w:tcBorders>
              <w:top w:val="single" w:sz="8" w:space="0" w:color="231F20"/>
            </w:tcBorders>
            <w:shd w:val="clear" w:color="auto" w:fill="CCECFC"/>
          </w:tcPr>
          <w:p>
            <w:pPr/>
          </w:p>
        </w:tc>
      </w:tr>
      <w:tr>
        <w:trPr>
          <w:trHeight w:val="288" w:hRule="exact"/>
        </w:trPr>
        <w:tc>
          <w:tcPr>
            <w:tcW w:w="6160" w:type="dxa"/>
          </w:tcPr>
          <w:p>
            <w:pPr>
              <w:pStyle w:val="TableParagraph"/>
              <w:spacing w:before="41"/>
              <w:ind w:left="300"/>
              <w:rPr>
                <w:sz w:val="20"/>
              </w:rPr>
            </w:pPr>
            <w:r>
              <w:rPr>
                <w:color w:val="231F20"/>
                <w:sz w:val="20"/>
              </w:rPr>
              <w:t>Accelerated depreciation</w:t>
            </w:r>
          </w:p>
        </w:tc>
        <w:tc>
          <w:tcPr>
            <w:tcW w:w="200" w:type="dxa"/>
          </w:tcPr>
          <w:p>
            <w:pPr/>
          </w:p>
        </w:tc>
        <w:tc>
          <w:tcPr>
            <w:tcW w:w="1280" w:type="dxa"/>
          </w:tcPr>
          <w:p>
            <w:pPr>
              <w:pStyle w:val="TableParagraph"/>
              <w:tabs>
                <w:tab w:pos="779" w:val="left" w:leader="none"/>
              </w:tabs>
              <w:spacing w:before="41"/>
              <w:ind w:right="47"/>
              <w:jc w:val="right"/>
              <w:rPr>
                <w:sz w:val="20"/>
              </w:rPr>
            </w:pPr>
            <w:r>
              <w:rPr>
                <w:color w:val="231F20"/>
                <w:sz w:val="20"/>
              </w:rPr>
              <w:t>$</w:t>
              <w:tab/>
              <w:t>4,277</w:t>
            </w:r>
          </w:p>
        </w:tc>
        <w:tc>
          <w:tcPr>
            <w:tcW w:w="200" w:type="dxa"/>
          </w:tcPr>
          <w:p>
            <w:pPr/>
          </w:p>
        </w:tc>
        <w:tc>
          <w:tcPr>
            <w:tcW w:w="1280" w:type="dxa"/>
          </w:tcPr>
          <w:p>
            <w:pPr>
              <w:pStyle w:val="TableParagraph"/>
              <w:tabs>
                <w:tab w:pos="779" w:val="left" w:leader="none"/>
              </w:tabs>
              <w:spacing w:before="41"/>
              <w:ind w:right="47"/>
              <w:jc w:val="right"/>
              <w:rPr>
                <w:sz w:val="20"/>
              </w:rPr>
            </w:pPr>
            <w:r>
              <w:rPr>
                <w:color w:val="231F20"/>
                <w:sz w:val="20"/>
              </w:rPr>
              <w:t>$</w:t>
              <w:tab/>
              <w:t>4,069</w:t>
            </w:r>
          </w:p>
        </w:tc>
      </w:tr>
      <w:tr>
        <w:trPr>
          <w:trHeight w:val="288" w:hRule="exact"/>
        </w:trPr>
        <w:tc>
          <w:tcPr>
            <w:tcW w:w="6160" w:type="dxa"/>
            <w:shd w:val="clear" w:color="auto" w:fill="CCECFC"/>
          </w:tcPr>
          <w:p>
            <w:pPr>
              <w:pStyle w:val="TableParagraph"/>
              <w:spacing w:before="41"/>
              <w:ind w:left="300"/>
              <w:rPr>
                <w:sz w:val="20"/>
              </w:rPr>
            </w:pPr>
            <w:r>
              <w:rPr>
                <w:color w:val="231F20"/>
                <w:sz w:val="20"/>
              </w:rPr>
              <w:t>Fuel derivative instruments</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36</w:t>
            </w:r>
          </w:p>
        </w:tc>
      </w:tr>
      <w:tr>
        <w:trPr>
          <w:trHeight w:val="303" w:hRule="exact"/>
        </w:trPr>
        <w:tc>
          <w:tcPr>
            <w:tcW w:w="6160" w:type="dxa"/>
          </w:tcPr>
          <w:p>
            <w:pPr>
              <w:pStyle w:val="TableParagraph"/>
              <w:spacing w:before="41"/>
              <w:ind w:left="300"/>
              <w:rPr>
                <w:sz w:val="20"/>
              </w:rPr>
            </w:pPr>
            <w:r>
              <w:rPr>
                <w:color w:val="231F20"/>
                <w:sz w:val="20"/>
              </w:rPr>
              <w:t>Other</w:t>
            </w:r>
          </w:p>
        </w:tc>
        <w:tc>
          <w:tcPr>
            <w:tcW w:w="200" w:type="dxa"/>
          </w:tcPr>
          <w:p>
            <w:pPr/>
          </w:p>
        </w:tc>
        <w:tc>
          <w:tcPr>
            <w:tcW w:w="1280" w:type="dxa"/>
            <w:tcBorders>
              <w:bottom w:val="single" w:sz="4" w:space="0" w:color="231F20"/>
            </w:tcBorders>
          </w:tcPr>
          <w:p>
            <w:pPr>
              <w:pStyle w:val="TableParagraph"/>
              <w:spacing w:before="41"/>
              <w:ind w:right="49"/>
              <w:jc w:val="right"/>
              <w:rPr>
                <w:sz w:val="20"/>
              </w:rPr>
            </w:pPr>
            <w:r>
              <w:rPr>
                <w:color w:val="231F20"/>
                <w:sz w:val="20"/>
              </w:rPr>
              <w:t>51</w:t>
            </w:r>
          </w:p>
        </w:tc>
        <w:tc>
          <w:tcPr>
            <w:tcW w:w="200" w:type="dxa"/>
          </w:tcPr>
          <w:p>
            <w:pPr/>
          </w:p>
        </w:tc>
        <w:tc>
          <w:tcPr>
            <w:tcW w:w="1280" w:type="dxa"/>
            <w:tcBorders>
              <w:bottom w:val="single" w:sz="4" w:space="0" w:color="231F20"/>
            </w:tcBorders>
          </w:tcPr>
          <w:p>
            <w:pPr>
              <w:pStyle w:val="TableParagraph"/>
              <w:spacing w:before="41"/>
              <w:ind w:right="49"/>
              <w:jc w:val="right"/>
              <w:rPr>
                <w:sz w:val="20"/>
              </w:rPr>
            </w:pPr>
            <w:r>
              <w:rPr>
                <w:color w:val="231F20"/>
                <w:sz w:val="20"/>
              </w:rPr>
              <w:t>84</w:t>
            </w:r>
          </w:p>
        </w:tc>
      </w:tr>
      <w:tr>
        <w:trPr>
          <w:trHeight w:val="293" w:hRule="exact"/>
        </w:trPr>
        <w:tc>
          <w:tcPr>
            <w:tcW w:w="6160" w:type="dxa"/>
            <w:shd w:val="clear" w:color="auto" w:fill="CCECFC"/>
          </w:tcPr>
          <w:p>
            <w:pPr>
              <w:pStyle w:val="TableParagraph"/>
              <w:spacing w:before="41"/>
              <w:ind w:left="500"/>
              <w:rPr>
                <w:sz w:val="20"/>
              </w:rPr>
            </w:pPr>
            <w:r>
              <w:rPr>
                <w:color w:val="231F20"/>
                <w:sz w:val="20"/>
              </w:rPr>
              <w:t>Total deferred tax liabilities</w:t>
            </w:r>
          </w:p>
        </w:tc>
        <w:tc>
          <w:tcPr>
            <w:tcW w:w="200" w:type="dxa"/>
            <w:shd w:val="clear" w:color="auto" w:fill="CCECFC"/>
          </w:tcPr>
          <w:p>
            <w:pPr/>
          </w:p>
        </w:tc>
        <w:tc>
          <w:tcPr>
            <w:tcW w:w="1280" w:type="dxa"/>
            <w:tcBorders>
              <w:top w:val="single" w:sz="4" w:space="0" w:color="231F20"/>
            </w:tcBorders>
            <w:shd w:val="clear" w:color="auto" w:fill="CCECFC"/>
          </w:tcPr>
          <w:p>
            <w:pPr>
              <w:pStyle w:val="TableParagraph"/>
              <w:spacing w:before="41"/>
              <w:ind w:right="47"/>
              <w:jc w:val="right"/>
              <w:rPr>
                <w:sz w:val="20"/>
              </w:rPr>
            </w:pPr>
            <w:r>
              <w:rPr>
                <w:color w:val="231F20"/>
                <w:sz w:val="20"/>
              </w:rPr>
              <w:t>4,328</w:t>
            </w:r>
          </w:p>
        </w:tc>
        <w:tc>
          <w:tcPr>
            <w:tcW w:w="200" w:type="dxa"/>
            <w:shd w:val="clear" w:color="auto" w:fill="CCECFC"/>
          </w:tcPr>
          <w:p>
            <w:pPr/>
          </w:p>
        </w:tc>
        <w:tc>
          <w:tcPr>
            <w:tcW w:w="1280" w:type="dxa"/>
            <w:tcBorders>
              <w:top w:val="single" w:sz="4" w:space="0" w:color="231F20"/>
            </w:tcBorders>
            <w:shd w:val="clear" w:color="auto" w:fill="CCECFC"/>
          </w:tcPr>
          <w:p>
            <w:pPr>
              <w:pStyle w:val="TableParagraph"/>
              <w:spacing w:before="41"/>
              <w:ind w:right="47"/>
              <w:jc w:val="right"/>
              <w:rPr>
                <w:sz w:val="20"/>
              </w:rPr>
            </w:pPr>
            <w:r>
              <w:rPr>
                <w:color w:val="231F20"/>
                <w:sz w:val="20"/>
              </w:rPr>
              <w:t>4,189</w:t>
            </w:r>
          </w:p>
        </w:tc>
      </w:tr>
      <w:tr>
        <w:trPr>
          <w:trHeight w:val="288" w:hRule="exact"/>
        </w:trPr>
        <w:tc>
          <w:tcPr>
            <w:tcW w:w="6160" w:type="dxa"/>
          </w:tcPr>
          <w:p>
            <w:pPr>
              <w:pStyle w:val="TableParagraph"/>
              <w:spacing w:before="41"/>
              <w:ind w:left="100"/>
              <w:rPr>
                <w:b/>
                <w:sz w:val="20"/>
              </w:rPr>
            </w:pPr>
            <w:r>
              <w:rPr>
                <w:b/>
                <w:color w:val="231F20"/>
                <w:sz w:val="20"/>
              </w:rPr>
              <w:t>DEFERRED TAX ASSETS:</w:t>
            </w:r>
          </w:p>
        </w:tc>
        <w:tc>
          <w:tcPr>
            <w:tcW w:w="200" w:type="dxa"/>
          </w:tcPr>
          <w:p>
            <w:pPr/>
          </w:p>
        </w:tc>
        <w:tc>
          <w:tcPr>
            <w:tcW w:w="1280" w:type="dxa"/>
          </w:tcPr>
          <w:p>
            <w:pPr/>
          </w:p>
        </w:tc>
        <w:tc>
          <w:tcPr>
            <w:tcW w:w="200" w:type="dxa"/>
          </w:tcPr>
          <w:p>
            <w:pPr/>
          </w:p>
        </w:tc>
        <w:tc>
          <w:tcPr>
            <w:tcW w:w="1280" w:type="dxa"/>
          </w:tcPr>
          <w:p>
            <w:pPr/>
          </w:p>
        </w:tc>
      </w:tr>
      <w:tr>
        <w:trPr>
          <w:trHeight w:val="288" w:hRule="exact"/>
        </w:trPr>
        <w:tc>
          <w:tcPr>
            <w:tcW w:w="6160" w:type="dxa"/>
            <w:shd w:val="clear" w:color="auto" w:fill="CCECFC"/>
          </w:tcPr>
          <w:p>
            <w:pPr>
              <w:pStyle w:val="TableParagraph"/>
              <w:spacing w:before="41"/>
              <w:ind w:left="300"/>
              <w:rPr>
                <w:sz w:val="20"/>
              </w:rPr>
            </w:pPr>
            <w:r>
              <w:rPr>
                <w:color w:val="231F20"/>
                <w:sz w:val="20"/>
              </w:rPr>
              <w:t>Fuel derivative instruments</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521</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8</w:t>
            </w:r>
          </w:p>
        </w:tc>
      </w:tr>
      <w:tr>
        <w:trPr>
          <w:trHeight w:val="288" w:hRule="exact"/>
        </w:trPr>
        <w:tc>
          <w:tcPr>
            <w:tcW w:w="6160" w:type="dxa"/>
          </w:tcPr>
          <w:p>
            <w:pPr>
              <w:pStyle w:val="TableParagraph"/>
              <w:spacing w:before="41"/>
              <w:ind w:left="300"/>
              <w:rPr>
                <w:sz w:val="20"/>
              </w:rPr>
            </w:pPr>
            <w:r>
              <w:rPr>
                <w:color w:val="231F20"/>
                <w:sz w:val="20"/>
              </w:rPr>
              <w:t>Deferred gains from sale and leaseback of aircraft</w:t>
            </w:r>
          </w:p>
        </w:tc>
        <w:tc>
          <w:tcPr>
            <w:tcW w:w="200" w:type="dxa"/>
          </w:tcPr>
          <w:p>
            <w:pPr/>
          </w:p>
        </w:tc>
        <w:tc>
          <w:tcPr>
            <w:tcW w:w="1280" w:type="dxa"/>
          </w:tcPr>
          <w:p>
            <w:pPr>
              <w:pStyle w:val="TableParagraph"/>
              <w:spacing w:before="41"/>
              <w:ind w:right="47"/>
              <w:jc w:val="right"/>
              <w:rPr>
                <w:sz w:val="20"/>
              </w:rPr>
            </w:pPr>
            <w:r>
              <w:rPr>
                <w:color w:val="231F20"/>
                <w:sz w:val="20"/>
              </w:rPr>
              <w:t>20</w:t>
            </w:r>
          </w:p>
        </w:tc>
        <w:tc>
          <w:tcPr>
            <w:tcW w:w="200" w:type="dxa"/>
          </w:tcPr>
          <w:p>
            <w:pPr/>
          </w:p>
        </w:tc>
        <w:tc>
          <w:tcPr>
            <w:tcW w:w="1280" w:type="dxa"/>
          </w:tcPr>
          <w:p>
            <w:pPr>
              <w:pStyle w:val="TableParagraph"/>
              <w:spacing w:before="41"/>
              <w:ind w:right="47"/>
              <w:jc w:val="right"/>
              <w:rPr>
                <w:sz w:val="20"/>
              </w:rPr>
            </w:pPr>
            <w:r>
              <w:rPr>
                <w:color w:val="231F20"/>
                <w:sz w:val="20"/>
              </w:rPr>
              <w:t>24</w:t>
            </w:r>
          </w:p>
        </w:tc>
      </w:tr>
      <w:tr>
        <w:trPr>
          <w:trHeight w:val="288" w:hRule="exact"/>
        </w:trPr>
        <w:tc>
          <w:tcPr>
            <w:tcW w:w="6160" w:type="dxa"/>
            <w:shd w:val="clear" w:color="auto" w:fill="CCECFC"/>
          </w:tcPr>
          <w:p>
            <w:pPr>
              <w:pStyle w:val="TableParagraph"/>
              <w:spacing w:before="41"/>
              <w:ind w:left="300"/>
              <w:rPr>
                <w:sz w:val="20"/>
              </w:rPr>
            </w:pPr>
            <w:r>
              <w:rPr>
                <w:color w:val="231F20"/>
                <w:sz w:val="20"/>
              </w:rPr>
              <w:t>Capital and operating leases</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125</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163</w:t>
            </w:r>
          </w:p>
        </w:tc>
      </w:tr>
      <w:tr>
        <w:trPr>
          <w:trHeight w:val="288" w:hRule="exact"/>
        </w:trPr>
        <w:tc>
          <w:tcPr>
            <w:tcW w:w="6160" w:type="dxa"/>
          </w:tcPr>
          <w:p>
            <w:pPr>
              <w:pStyle w:val="TableParagraph"/>
              <w:spacing w:before="41"/>
              <w:ind w:left="300"/>
              <w:rPr>
                <w:sz w:val="20"/>
              </w:rPr>
            </w:pPr>
            <w:r>
              <w:rPr>
                <w:color w:val="231F20"/>
                <w:sz w:val="20"/>
              </w:rPr>
              <w:t>Construction obligation</w:t>
            </w:r>
          </w:p>
        </w:tc>
        <w:tc>
          <w:tcPr>
            <w:tcW w:w="200" w:type="dxa"/>
          </w:tcPr>
          <w:p>
            <w:pPr/>
          </w:p>
        </w:tc>
        <w:tc>
          <w:tcPr>
            <w:tcW w:w="1280" w:type="dxa"/>
          </w:tcPr>
          <w:p>
            <w:pPr>
              <w:pStyle w:val="TableParagraph"/>
              <w:spacing w:before="41"/>
              <w:ind w:right="47"/>
              <w:jc w:val="right"/>
              <w:rPr>
                <w:sz w:val="20"/>
              </w:rPr>
            </w:pPr>
            <w:r>
              <w:rPr>
                <w:color w:val="231F20"/>
                <w:sz w:val="20"/>
              </w:rPr>
              <w:t>209</w:t>
            </w:r>
          </w:p>
        </w:tc>
        <w:tc>
          <w:tcPr>
            <w:tcW w:w="200" w:type="dxa"/>
          </w:tcPr>
          <w:p>
            <w:pPr/>
          </w:p>
        </w:tc>
        <w:tc>
          <w:tcPr>
            <w:tcW w:w="1280" w:type="dxa"/>
          </w:tcPr>
          <w:p>
            <w:pPr>
              <w:pStyle w:val="TableParagraph"/>
              <w:spacing w:before="41"/>
              <w:ind w:right="47"/>
              <w:jc w:val="right"/>
              <w:rPr>
                <w:sz w:val="20"/>
              </w:rPr>
            </w:pPr>
            <w:r>
              <w:rPr>
                <w:color w:val="231F20"/>
                <w:sz w:val="20"/>
              </w:rPr>
              <w:t>168</w:t>
            </w:r>
          </w:p>
        </w:tc>
      </w:tr>
      <w:tr>
        <w:trPr>
          <w:trHeight w:val="288" w:hRule="exact"/>
        </w:trPr>
        <w:tc>
          <w:tcPr>
            <w:tcW w:w="6160" w:type="dxa"/>
            <w:shd w:val="clear" w:color="auto" w:fill="CCECFC"/>
          </w:tcPr>
          <w:p>
            <w:pPr>
              <w:pStyle w:val="TableParagraph"/>
              <w:spacing w:before="41"/>
              <w:ind w:left="300"/>
              <w:rPr>
                <w:sz w:val="20"/>
              </w:rPr>
            </w:pPr>
            <w:r>
              <w:rPr>
                <w:color w:val="231F20"/>
                <w:sz w:val="20"/>
              </w:rPr>
              <w:t>Accrued engine maintenance</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83</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90</w:t>
            </w:r>
          </w:p>
        </w:tc>
      </w:tr>
      <w:tr>
        <w:trPr>
          <w:trHeight w:val="288" w:hRule="exact"/>
        </w:trPr>
        <w:tc>
          <w:tcPr>
            <w:tcW w:w="6160" w:type="dxa"/>
          </w:tcPr>
          <w:p>
            <w:pPr>
              <w:pStyle w:val="TableParagraph"/>
              <w:spacing w:before="41"/>
              <w:ind w:left="300"/>
              <w:rPr>
                <w:sz w:val="20"/>
              </w:rPr>
            </w:pPr>
            <w:r>
              <w:rPr>
                <w:color w:val="231F20"/>
                <w:sz w:val="20"/>
              </w:rPr>
              <w:t>Accrued employee benefits</w:t>
            </w:r>
          </w:p>
        </w:tc>
        <w:tc>
          <w:tcPr>
            <w:tcW w:w="200" w:type="dxa"/>
          </w:tcPr>
          <w:p>
            <w:pPr/>
          </w:p>
        </w:tc>
        <w:tc>
          <w:tcPr>
            <w:tcW w:w="1280" w:type="dxa"/>
          </w:tcPr>
          <w:p>
            <w:pPr>
              <w:pStyle w:val="TableParagraph"/>
              <w:spacing w:before="41"/>
              <w:ind w:right="47"/>
              <w:jc w:val="right"/>
              <w:rPr>
                <w:sz w:val="20"/>
              </w:rPr>
            </w:pPr>
            <w:r>
              <w:rPr>
                <w:color w:val="231F20"/>
                <w:sz w:val="20"/>
              </w:rPr>
              <w:t>334</w:t>
            </w:r>
          </w:p>
        </w:tc>
        <w:tc>
          <w:tcPr>
            <w:tcW w:w="200" w:type="dxa"/>
          </w:tcPr>
          <w:p>
            <w:pPr/>
          </w:p>
        </w:tc>
        <w:tc>
          <w:tcPr>
            <w:tcW w:w="1280" w:type="dxa"/>
          </w:tcPr>
          <w:p>
            <w:pPr>
              <w:pStyle w:val="TableParagraph"/>
              <w:spacing w:before="41"/>
              <w:ind w:right="47"/>
              <w:jc w:val="right"/>
              <w:rPr>
                <w:sz w:val="20"/>
              </w:rPr>
            </w:pPr>
            <w:r>
              <w:rPr>
                <w:color w:val="231F20"/>
                <w:sz w:val="20"/>
              </w:rPr>
              <w:t>307</w:t>
            </w:r>
          </w:p>
        </w:tc>
      </w:tr>
      <w:tr>
        <w:trPr>
          <w:trHeight w:val="288" w:hRule="exact"/>
        </w:trPr>
        <w:tc>
          <w:tcPr>
            <w:tcW w:w="6160" w:type="dxa"/>
            <w:shd w:val="clear" w:color="auto" w:fill="CCECFC"/>
          </w:tcPr>
          <w:p>
            <w:pPr>
              <w:pStyle w:val="TableParagraph"/>
              <w:spacing w:before="41"/>
              <w:ind w:left="300"/>
              <w:rPr>
                <w:sz w:val="20"/>
              </w:rPr>
            </w:pPr>
            <w:r>
              <w:rPr>
                <w:color w:val="231F20"/>
                <w:sz w:val="20"/>
              </w:rPr>
              <w:t>State taxes</w:t>
            </w:r>
          </w:p>
        </w:tc>
        <w:tc>
          <w:tcPr>
            <w:tcW w:w="200" w:type="dxa"/>
            <w:shd w:val="clear" w:color="auto" w:fill="CCECFC"/>
          </w:tcPr>
          <w:p>
            <w:pPr/>
          </w:p>
        </w:tc>
        <w:tc>
          <w:tcPr>
            <w:tcW w:w="1280" w:type="dxa"/>
            <w:shd w:val="clear" w:color="auto" w:fill="CCECFC"/>
          </w:tcPr>
          <w:p>
            <w:pPr>
              <w:pStyle w:val="TableParagraph"/>
              <w:spacing w:before="41"/>
              <w:ind w:right="49"/>
              <w:jc w:val="right"/>
              <w:rPr>
                <w:sz w:val="20"/>
              </w:rPr>
            </w:pPr>
            <w:r>
              <w:rPr>
                <w:color w:val="231F20"/>
                <w:sz w:val="20"/>
              </w:rPr>
              <w:t>65</w:t>
            </w:r>
          </w:p>
        </w:tc>
        <w:tc>
          <w:tcPr>
            <w:tcW w:w="200" w:type="dxa"/>
            <w:shd w:val="clear" w:color="auto" w:fill="CCECFC"/>
          </w:tcPr>
          <w:p>
            <w:pPr/>
          </w:p>
        </w:tc>
        <w:tc>
          <w:tcPr>
            <w:tcW w:w="1280" w:type="dxa"/>
            <w:shd w:val="clear" w:color="auto" w:fill="CCECFC"/>
          </w:tcPr>
          <w:p>
            <w:pPr>
              <w:pStyle w:val="TableParagraph"/>
              <w:spacing w:before="41"/>
              <w:ind w:right="49"/>
              <w:jc w:val="right"/>
              <w:rPr>
                <w:sz w:val="20"/>
              </w:rPr>
            </w:pPr>
            <w:r>
              <w:rPr>
                <w:color w:val="231F20"/>
                <w:sz w:val="20"/>
              </w:rPr>
              <w:t>74</w:t>
            </w:r>
          </w:p>
        </w:tc>
      </w:tr>
      <w:tr>
        <w:trPr>
          <w:trHeight w:val="288" w:hRule="exact"/>
        </w:trPr>
        <w:tc>
          <w:tcPr>
            <w:tcW w:w="6160" w:type="dxa"/>
          </w:tcPr>
          <w:p>
            <w:pPr>
              <w:pStyle w:val="TableParagraph"/>
              <w:spacing w:before="41"/>
              <w:ind w:left="300"/>
              <w:rPr>
                <w:sz w:val="20"/>
              </w:rPr>
            </w:pPr>
            <w:r>
              <w:rPr>
                <w:color w:val="231F20"/>
                <w:sz w:val="20"/>
              </w:rPr>
              <w:t>Business partner income</w:t>
            </w:r>
          </w:p>
        </w:tc>
        <w:tc>
          <w:tcPr>
            <w:tcW w:w="200" w:type="dxa"/>
          </w:tcPr>
          <w:p>
            <w:pPr/>
          </w:p>
        </w:tc>
        <w:tc>
          <w:tcPr>
            <w:tcW w:w="1280" w:type="dxa"/>
          </w:tcPr>
          <w:p>
            <w:pPr>
              <w:pStyle w:val="TableParagraph"/>
              <w:spacing w:before="41"/>
              <w:ind w:right="49"/>
              <w:jc w:val="right"/>
              <w:rPr>
                <w:sz w:val="20"/>
              </w:rPr>
            </w:pPr>
            <w:r>
              <w:rPr>
                <w:color w:val="231F20"/>
                <w:sz w:val="20"/>
              </w:rPr>
              <w:t>90</w:t>
            </w:r>
          </w:p>
        </w:tc>
        <w:tc>
          <w:tcPr>
            <w:tcW w:w="200" w:type="dxa"/>
          </w:tcPr>
          <w:p>
            <w:pPr/>
          </w:p>
        </w:tc>
        <w:tc>
          <w:tcPr>
            <w:tcW w:w="1280" w:type="dxa"/>
          </w:tcPr>
          <w:p>
            <w:pPr>
              <w:pStyle w:val="TableParagraph"/>
              <w:spacing w:before="41"/>
              <w:ind w:right="49"/>
              <w:jc w:val="right"/>
              <w:rPr>
                <w:sz w:val="20"/>
              </w:rPr>
            </w:pPr>
            <w:r>
              <w:rPr>
                <w:color w:val="231F20"/>
                <w:sz w:val="20"/>
              </w:rPr>
              <w:t>457</w:t>
            </w:r>
          </w:p>
        </w:tc>
      </w:tr>
      <w:tr>
        <w:trPr>
          <w:trHeight w:val="288" w:hRule="exact"/>
        </w:trPr>
        <w:tc>
          <w:tcPr>
            <w:tcW w:w="6160" w:type="dxa"/>
            <w:shd w:val="clear" w:color="auto" w:fill="CCECFC"/>
          </w:tcPr>
          <w:p>
            <w:pPr>
              <w:pStyle w:val="TableParagraph"/>
              <w:spacing w:before="41"/>
              <w:ind w:left="300"/>
              <w:rPr>
                <w:sz w:val="20"/>
              </w:rPr>
            </w:pPr>
            <w:r>
              <w:rPr>
                <w:color w:val="231F20"/>
                <w:sz w:val="20"/>
              </w:rPr>
              <w:t>Net operating losses and credit carryforwards</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3</w:t>
            </w:r>
          </w:p>
        </w:tc>
        <w:tc>
          <w:tcPr>
            <w:tcW w:w="200" w:type="dxa"/>
            <w:shd w:val="clear" w:color="auto" w:fill="CCECFC"/>
          </w:tcPr>
          <w:p>
            <w:pPr/>
          </w:p>
        </w:tc>
        <w:tc>
          <w:tcPr>
            <w:tcW w:w="1280" w:type="dxa"/>
            <w:shd w:val="clear" w:color="auto" w:fill="CCECFC"/>
          </w:tcPr>
          <w:p>
            <w:pPr>
              <w:pStyle w:val="TableParagraph"/>
              <w:spacing w:before="41"/>
              <w:ind w:right="47"/>
              <w:jc w:val="right"/>
              <w:rPr>
                <w:sz w:val="20"/>
              </w:rPr>
            </w:pPr>
            <w:r>
              <w:rPr>
                <w:color w:val="231F20"/>
                <w:sz w:val="20"/>
              </w:rPr>
              <w:t>14</w:t>
            </w:r>
          </w:p>
        </w:tc>
      </w:tr>
      <w:tr>
        <w:trPr>
          <w:trHeight w:val="303" w:hRule="exact"/>
        </w:trPr>
        <w:tc>
          <w:tcPr>
            <w:tcW w:w="6160" w:type="dxa"/>
          </w:tcPr>
          <w:p>
            <w:pPr>
              <w:pStyle w:val="TableParagraph"/>
              <w:spacing w:before="41"/>
              <w:ind w:left="300"/>
              <w:rPr>
                <w:sz w:val="20"/>
              </w:rPr>
            </w:pPr>
            <w:r>
              <w:rPr>
                <w:color w:val="231F20"/>
                <w:sz w:val="20"/>
              </w:rPr>
              <w:t>Other</w:t>
            </w:r>
          </w:p>
        </w:tc>
        <w:tc>
          <w:tcPr>
            <w:tcW w:w="200" w:type="dxa"/>
          </w:tcPr>
          <w:p>
            <w:pPr/>
          </w:p>
        </w:tc>
        <w:tc>
          <w:tcPr>
            <w:tcW w:w="1280" w:type="dxa"/>
            <w:tcBorders>
              <w:bottom w:val="single" w:sz="4" w:space="0" w:color="231F20"/>
            </w:tcBorders>
          </w:tcPr>
          <w:p>
            <w:pPr>
              <w:pStyle w:val="TableParagraph"/>
              <w:spacing w:before="41"/>
              <w:ind w:right="49"/>
              <w:jc w:val="right"/>
              <w:rPr>
                <w:sz w:val="20"/>
              </w:rPr>
            </w:pPr>
            <w:r>
              <w:rPr>
                <w:color w:val="231F20"/>
                <w:sz w:val="20"/>
              </w:rPr>
              <w:t>96</w:t>
            </w:r>
          </w:p>
        </w:tc>
        <w:tc>
          <w:tcPr>
            <w:tcW w:w="200" w:type="dxa"/>
          </w:tcPr>
          <w:p>
            <w:pPr/>
          </w:p>
        </w:tc>
        <w:tc>
          <w:tcPr>
            <w:tcW w:w="1280" w:type="dxa"/>
            <w:tcBorders>
              <w:bottom w:val="single" w:sz="4" w:space="0" w:color="231F20"/>
            </w:tcBorders>
          </w:tcPr>
          <w:p>
            <w:pPr>
              <w:pStyle w:val="TableParagraph"/>
              <w:spacing w:before="41"/>
              <w:ind w:right="49"/>
              <w:jc w:val="right"/>
              <w:rPr>
                <w:sz w:val="20"/>
              </w:rPr>
            </w:pPr>
            <w:r>
              <w:rPr>
                <w:color w:val="231F20"/>
                <w:sz w:val="20"/>
              </w:rPr>
              <w:t>118</w:t>
            </w:r>
          </w:p>
        </w:tc>
      </w:tr>
      <w:tr>
        <w:trPr>
          <w:trHeight w:val="308" w:hRule="exact"/>
        </w:trPr>
        <w:tc>
          <w:tcPr>
            <w:tcW w:w="6160" w:type="dxa"/>
            <w:shd w:val="clear" w:color="auto" w:fill="CCECFC"/>
          </w:tcPr>
          <w:p>
            <w:pPr>
              <w:pStyle w:val="TableParagraph"/>
              <w:spacing w:before="41"/>
              <w:ind w:left="500"/>
              <w:rPr>
                <w:sz w:val="20"/>
              </w:rPr>
            </w:pPr>
            <w:r>
              <w:rPr>
                <w:color w:val="231F20"/>
                <w:sz w:val="20"/>
              </w:rPr>
              <w:t>Total deferred tax assets</w:t>
            </w:r>
          </w:p>
        </w:tc>
        <w:tc>
          <w:tcPr>
            <w:tcW w:w="200" w:type="dxa"/>
            <w:shd w:val="clear" w:color="auto" w:fill="CCECFC"/>
          </w:tcPr>
          <w:p>
            <w:pPr/>
          </w:p>
        </w:tc>
        <w:tc>
          <w:tcPr>
            <w:tcW w:w="1280" w:type="dxa"/>
            <w:tcBorders>
              <w:top w:val="single" w:sz="4" w:space="0" w:color="231F20"/>
              <w:bottom w:val="single" w:sz="4" w:space="0" w:color="231F20"/>
            </w:tcBorders>
            <w:shd w:val="clear" w:color="auto" w:fill="CCECFC"/>
          </w:tcPr>
          <w:p>
            <w:pPr>
              <w:pStyle w:val="TableParagraph"/>
              <w:spacing w:before="41"/>
              <w:ind w:right="49"/>
              <w:jc w:val="right"/>
              <w:rPr>
                <w:sz w:val="20"/>
              </w:rPr>
            </w:pPr>
            <w:r>
              <w:rPr>
                <w:color w:val="231F20"/>
                <w:sz w:val="20"/>
              </w:rPr>
              <w:t>1,546</w:t>
            </w:r>
          </w:p>
        </w:tc>
        <w:tc>
          <w:tcPr>
            <w:tcW w:w="200" w:type="dxa"/>
            <w:shd w:val="clear" w:color="auto" w:fill="CCECFC"/>
          </w:tcPr>
          <w:p>
            <w:pPr/>
          </w:p>
        </w:tc>
        <w:tc>
          <w:tcPr>
            <w:tcW w:w="1280" w:type="dxa"/>
            <w:tcBorders>
              <w:top w:val="single" w:sz="4" w:space="0" w:color="231F20"/>
              <w:bottom w:val="single" w:sz="4" w:space="0" w:color="231F20"/>
            </w:tcBorders>
            <w:shd w:val="clear" w:color="auto" w:fill="CCECFC"/>
          </w:tcPr>
          <w:p>
            <w:pPr>
              <w:pStyle w:val="TableParagraph"/>
              <w:spacing w:before="41"/>
              <w:ind w:right="49"/>
              <w:jc w:val="right"/>
              <w:rPr>
                <w:sz w:val="20"/>
              </w:rPr>
            </w:pPr>
            <w:r>
              <w:rPr>
                <w:color w:val="231F20"/>
                <w:sz w:val="20"/>
              </w:rPr>
              <w:t>1,423</w:t>
            </w:r>
          </w:p>
        </w:tc>
      </w:tr>
      <w:tr>
        <w:trPr>
          <w:trHeight w:val="348" w:hRule="exact"/>
        </w:trPr>
        <w:tc>
          <w:tcPr>
            <w:tcW w:w="6160" w:type="dxa"/>
          </w:tcPr>
          <w:p>
            <w:pPr>
              <w:pStyle w:val="TableParagraph"/>
              <w:spacing w:before="61"/>
              <w:ind w:left="500"/>
              <w:rPr>
                <w:sz w:val="20"/>
              </w:rPr>
            </w:pPr>
            <w:r>
              <w:rPr>
                <w:color w:val="231F20"/>
                <w:sz w:val="20"/>
              </w:rPr>
              <w:t>Net deferred tax liability</w:t>
            </w:r>
          </w:p>
        </w:tc>
        <w:tc>
          <w:tcPr>
            <w:tcW w:w="200" w:type="dxa"/>
          </w:tcPr>
          <w:p>
            <w:pPr/>
          </w:p>
        </w:tc>
        <w:tc>
          <w:tcPr>
            <w:tcW w:w="1280" w:type="dxa"/>
            <w:tcBorders>
              <w:top w:val="single" w:sz="4" w:space="0" w:color="231F20"/>
              <w:bottom w:val="single" w:sz="4" w:space="0" w:color="231F20"/>
            </w:tcBorders>
          </w:tcPr>
          <w:p>
            <w:pPr>
              <w:pStyle w:val="TableParagraph"/>
              <w:tabs>
                <w:tab w:pos="779" w:val="left" w:leader="none"/>
              </w:tabs>
              <w:spacing w:before="41"/>
              <w:ind w:right="49"/>
              <w:jc w:val="right"/>
              <w:rPr>
                <w:sz w:val="20"/>
              </w:rPr>
            </w:pPr>
            <w:r>
              <w:rPr>
                <w:color w:val="231F20"/>
                <w:sz w:val="20"/>
              </w:rPr>
              <w:t>$</w:t>
              <w:tab/>
              <w:t>2,782</w:t>
            </w:r>
          </w:p>
        </w:tc>
        <w:tc>
          <w:tcPr>
            <w:tcW w:w="200" w:type="dxa"/>
          </w:tcPr>
          <w:p>
            <w:pPr/>
          </w:p>
        </w:tc>
        <w:tc>
          <w:tcPr>
            <w:tcW w:w="1280" w:type="dxa"/>
            <w:tcBorders>
              <w:top w:val="single" w:sz="4" w:space="0" w:color="231F20"/>
              <w:bottom w:val="single" w:sz="4" w:space="0" w:color="231F20"/>
            </w:tcBorders>
          </w:tcPr>
          <w:p>
            <w:pPr>
              <w:pStyle w:val="TableParagraph"/>
              <w:tabs>
                <w:tab w:pos="779" w:val="left" w:leader="none"/>
              </w:tabs>
              <w:spacing w:before="41"/>
              <w:ind w:right="49"/>
              <w:jc w:val="right"/>
              <w:rPr>
                <w:sz w:val="20"/>
              </w:rPr>
            </w:pPr>
            <w:r>
              <w:rPr>
                <w:color w:val="231F20"/>
                <w:sz w:val="20"/>
              </w:rPr>
              <w:t>$</w:t>
              <w:tab/>
              <w:t>2,766</w:t>
            </w:r>
          </w:p>
        </w:tc>
      </w:tr>
    </w:tbl>
    <w:p>
      <w:pPr>
        <w:pStyle w:val="BodyText"/>
        <w:spacing w:before="2"/>
        <w:rPr>
          <w:sz w:val="25"/>
        </w:rPr>
      </w:pPr>
    </w:p>
    <w:p>
      <w:pPr>
        <w:pStyle w:val="BodyText"/>
        <w:ind w:left="840"/>
      </w:pPr>
      <w:r>
        <w:rPr/>
        <w:pict>
          <v:line style="position:absolute;mso-position-horizontal-relative:page;mso-position-vertical-relative:paragraph;z-index:-402472" from="387pt,-16.98048pt" to="451pt,-16.98048pt" stroked="true" strokeweight=".5pt" strokecolor="#231f20">
            <v:stroke dashstyle="solid"/>
            <w10:wrap type="none"/>
          </v:line>
        </w:pict>
      </w:r>
      <w:r>
        <w:rPr/>
        <w:pict>
          <v:line style="position:absolute;mso-position-horizontal-relative:page;mso-position-vertical-relative:paragraph;z-index:-402448" from="461pt,-16.98048pt" to="525pt,-16.98048pt" stroked="true" strokeweight=".5pt" strokecolor="#231f20">
            <v:stroke dashstyle="solid"/>
            <w10:wrap type="none"/>
          </v:line>
        </w:pict>
      </w:r>
      <w:r>
        <w:rPr/>
        <w:pict>
          <v:line style="position:absolute;mso-position-horizontal-relative:page;mso-position-vertical-relative:paragraph;z-index:-402424" from="69pt,35.76952pt" to="303pt,35.76952pt" stroked="true" strokeweight="1pt" strokecolor="#231f20">
            <v:stroke dashstyle="solid"/>
            <w10:wrap type="none"/>
          </v:line>
        </w:pict>
      </w:r>
      <w:r>
        <w:rPr>
          <w:color w:val="231F20"/>
        </w:rPr>
        <w:t>The provision for income taxes is composed of the following:</w:t>
      </w:r>
    </w:p>
    <w:p>
      <w:pPr>
        <w:pStyle w:val="BodyText"/>
        <w:spacing w:before="10"/>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915"/>
        <w:gridCol w:w="405"/>
        <w:gridCol w:w="160"/>
        <w:gridCol w:w="915"/>
        <w:gridCol w:w="405"/>
        <w:gridCol w:w="160"/>
        <w:gridCol w:w="923"/>
        <w:gridCol w:w="397"/>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915" w:type="dxa"/>
            <w:tcBorders>
              <w:bottom w:val="single" w:sz="8" w:space="0" w:color="231F20"/>
            </w:tcBorders>
          </w:tcPr>
          <w:p>
            <w:pPr>
              <w:pStyle w:val="TableParagraph"/>
              <w:spacing w:line="229" w:lineRule="exact" w:before="0"/>
              <w:ind w:left="460"/>
              <w:rPr>
                <w:b/>
                <w:sz w:val="20"/>
              </w:rPr>
            </w:pPr>
            <w:r>
              <w:rPr>
                <w:b/>
                <w:color w:val="231F20"/>
                <w:sz w:val="20"/>
              </w:rPr>
              <w:t>2014</w:t>
            </w:r>
          </w:p>
        </w:tc>
        <w:tc>
          <w:tcPr>
            <w:tcW w:w="405" w:type="dxa"/>
            <w:tcBorders>
              <w:bottom w:val="single" w:sz="8" w:space="0" w:color="231F20"/>
            </w:tcBorders>
          </w:tcPr>
          <w:p>
            <w:pPr/>
          </w:p>
        </w:tc>
        <w:tc>
          <w:tcPr>
            <w:tcW w:w="160" w:type="dxa"/>
          </w:tcPr>
          <w:p>
            <w:pPr/>
          </w:p>
        </w:tc>
        <w:tc>
          <w:tcPr>
            <w:tcW w:w="915" w:type="dxa"/>
            <w:tcBorders>
              <w:bottom w:val="single" w:sz="8" w:space="0" w:color="231F20"/>
            </w:tcBorders>
          </w:tcPr>
          <w:p>
            <w:pPr>
              <w:pStyle w:val="TableParagraph"/>
              <w:spacing w:line="229" w:lineRule="exact" w:before="0"/>
              <w:ind w:left="460"/>
              <w:rPr>
                <w:b/>
                <w:sz w:val="20"/>
              </w:rPr>
            </w:pPr>
            <w:r>
              <w:rPr>
                <w:b/>
                <w:color w:val="231F20"/>
                <w:sz w:val="20"/>
              </w:rPr>
              <w:t>2013</w:t>
            </w:r>
          </w:p>
        </w:tc>
        <w:tc>
          <w:tcPr>
            <w:tcW w:w="405" w:type="dxa"/>
            <w:tcBorders>
              <w:bottom w:val="single" w:sz="8" w:space="0" w:color="231F20"/>
            </w:tcBorders>
          </w:tcPr>
          <w:p>
            <w:pPr/>
          </w:p>
        </w:tc>
        <w:tc>
          <w:tcPr>
            <w:tcW w:w="160" w:type="dxa"/>
          </w:tcPr>
          <w:p>
            <w:pPr/>
          </w:p>
        </w:tc>
        <w:tc>
          <w:tcPr>
            <w:tcW w:w="923" w:type="dxa"/>
            <w:tcBorders>
              <w:bottom w:val="single" w:sz="8" w:space="0" w:color="231F20"/>
            </w:tcBorders>
          </w:tcPr>
          <w:p>
            <w:pPr>
              <w:pStyle w:val="TableParagraph"/>
              <w:spacing w:line="229" w:lineRule="exact" w:before="0"/>
              <w:ind w:left="460"/>
              <w:rPr>
                <w:b/>
                <w:sz w:val="20"/>
              </w:rPr>
            </w:pPr>
            <w:r>
              <w:rPr>
                <w:b/>
                <w:color w:val="231F20"/>
                <w:sz w:val="20"/>
              </w:rPr>
              <w:t>2012</w:t>
            </w:r>
          </w:p>
        </w:tc>
        <w:tc>
          <w:tcPr>
            <w:tcW w:w="397" w:type="dxa"/>
            <w:tcBorders>
              <w:bottom w:val="single" w:sz="8" w:space="0" w:color="231F20"/>
            </w:tcBorders>
          </w:tcPr>
          <w:p>
            <w:pPr/>
          </w:p>
        </w:tc>
      </w:tr>
      <w:tr>
        <w:trPr>
          <w:trHeight w:val="298" w:hRule="exact"/>
        </w:trPr>
        <w:tc>
          <w:tcPr>
            <w:tcW w:w="4680" w:type="dxa"/>
            <w:shd w:val="clear" w:color="auto" w:fill="CCECFC"/>
          </w:tcPr>
          <w:p>
            <w:pPr>
              <w:pStyle w:val="TableParagraph"/>
              <w:spacing w:before="41"/>
              <w:ind w:left="100"/>
              <w:rPr>
                <w:b/>
                <w:sz w:val="20"/>
              </w:rPr>
            </w:pPr>
            <w:r>
              <w:rPr>
                <w:b/>
                <w:color w:val="231F20"/>
                <w:sz w:val="20"/>
              </w:rPr>
              <w:t>CURRENT:</w:t>
            </w:r>
          </w:p>
        </w:tc>
        <w:tc>
          <w:tcPr>
            <w:tcW w:w="160" w:type="dxa"/>
            <w:shd w:val="clear" w:color="auto" w:fill="CCECFC"/>
          </w:tcPr>
          <w:p>
            <w:pPr/>
          </w:p>
        </w:tc>
        <w:tc>
          <w:tcPr>
            <w:tcW w:w="915" w:type="dxa"/>
            <w:tcBorders>
              <w:top w:val="single" w:sz="8" w:space="0" w:color="231F20"/>
            </w:tcBorders>
            <w:shd w:val="clear" w:color="auto" w:fill="CCECFC"/>
          </w:tcPr>
          <w:p>
            <w:pPr/>
          </w:p>
        </w:tc>
        <w:tc>
          <w:tcPr>
            <w:tcW w:w="405" w:type="dxa"/>
            <w:tcBorders>
              <w:top w:val="single" w:sz="8" w:space="0" w:color="231F20"/>
            </w:tcBorders>
            <w:shd w:val="clear" w:color="auto" w:fill="CCECFC"/>
          </w:tcPr>
          <w:p>
            <w:pPr/>
          </w:p>
        </w:tc>
        <w:tc>
          <w:tcPr>
            <w:tcW w:w="160" w:type="dxa"/>
            <w:shd w:val="clear" w:color="auto" w:fill="CCECFC"/>
          </w:tcPr>
          <w:p>
            <w:pPr/>
          </w:p>
        </w:tc>
        <w:tc>
          <w:tcPr>
            <w:tcW w:w="915" w:type="dxa"/>
            <w:tcBorders>
              <w:top w:val="single" w:sz="8" w:space="0" w:color="231F20"/>
            </w:tcBorders>
            <w:shd w:val="clear" w:color="auto" w:fill="CCECFC"/>
          </w:tcPr>
          <w:p>
            <w:pPr/>
          </w:p>
        </w:tc>
        <w:tc>
          <w:tcPr>
            <w:tcW w:w="405" w:type="dxa"/>
            <w:tcBorders>
              <w:top w:val="single" w:sz="8" w:space="0" w:color="231F20"/>
            </w:tcBorders>
            <w:shd w:val="clear" w:color="auto" w:fill="CCECFC"/>
          </w:tcPr>
          <w:p>
            <w:pPr/>
          </w:p>
        </w:tc>
        <w:tc>
          <w:tcPr>
            <w:tcW w:w="160" w:type="dxa"/>
            <w:shd w:val="clear" w:color="auto" w:fill="CCECFC"/>
          </w:tcPr>
          <w:p>
            <w:pPr/>
          </w:p>
        </w:tc>
        <w:tc>
          <w:tcPr>
            <w:tcW w:w="923" w:type="dxa"/>
            <w:tcBorders>
              <w:top w:val="single" w:sz="8" w:space="0" w:color="231F20"/>
            </w:tcBorders>
            <w:shd w:val="clear" w:color="auto" w:fill="CCECFC"/>
          </w:tcPr>
          <w:p>
            <w:pPr/>
          </w:p>
        </w:tc>
        <w:tc>
          <w:tcPr>
            <w:tcW w:w="397" w:type="dxa"/>
            <w:tcBorders>
              <w:top w:val="single" w:sz="8" w:space="0" w:color="231F20"/>
            </w:tcBorders>
            <w:shd w:val="clear" w:color="auto" w:fill="CCECFC"/>
          </w:tcPr>
          <w:p>
            <w:pPr/>
          </w:p>
        </w:tc>
      </w:tr>
      <w:tr>
        <w:trPr>
          <w:trHeight w:val="288" w:hRule="exact"/>
        </w:trPr>
        <w:tc>
          <w:tcPr>
            <w:tcW w:w="4680" w:type="dxa"/>
          </w:tcPr>
          <w:p>
            <w:pPr>
              <w:pStyle w:val="TableParagraph"/>
              <w:spacing w:before="41"/>
              <w:ind w:left="300"/>
              <w:rPr>
                <w:sz w:val="20"/>
              </w:rPr>
            </w:pPr>
            <w:r>
              <w:rPr>
                <w:color w:val="231F20"/>
                <w:sz w:val="20"/>
              </w:rPr>
              <w:t>Federal</w:t>
            </w:r>
          </w:p>
        </w:tc>
        <w:tc>
          <w:tcPr>
            <w:tcW w:w="160" w:type="dxa"/>
          </w:tcPr>
          <w:p>
            <w:pPr/>
          </w:p>
        </w:tc>
        <w:tc>
          <w:tcPr>
            <w:tcW w:w="915" w:type="dxa"/>
          </w:tcPr>
          <w:p>
            <w:pPr>
              <w:pStyle w:val="TableParagraph"/>
              <w:spacing w:before="41"/>
              <w:rPr>
                <w:sz w:val="20"/>
              </w:rPr>
            </w:pPr>
            <w:r>
              <w:rPr>
                <w:color w:val="231F20"/>
                <w:sz w:val="20"/>
              </w:rPr>
              <w:t>$</w:t>
            </w:r>
          </w:p>
        </w:tc>
        <w:tc>
          <w:tcPr>
            <w:tcW w:w="405" w:type="dxa"/>
          </w:tcPr>
          <w:p>
            <w:pPr>
              <w:pStyle w:val="TableParagraph"/>
              <w:spacing w:before="41"/>
              <w:ind w:right="49"/>
              <w:jc w:val="right"/>
              <w:rPr>
                <w:sz w:val="20"/>
              </w:rPr>
            </w:pPr>
            <w:r>
              <w:rPr>
                <w:color w:val="231F20"/>
                <w:sz w:val="20"/>
              </w:rPr>
              <w:t>203</w:t>
            </w:r>
          </w:p>
        </w:tc>
        <w:tc>
          <w:tcPr>
            <w:tcW w:w="160" w:type="dxa"/>
          </w:tcPr>
          <w:p>
            <w:pPr/>
          </w:p>
        </w:tc>
        <w:tc>
          <w:tcPr>
            <w:tcW w:w="915" w:type="dxa"/>
          </w:tcPr>
          <w:p>
            <w:pPr>
              <w:pStyle w:val="TableParagraph"/>
              <w:spacing w:before="41"/>
              <w:rPr>
                <w:sz w:val="20"/>
              </w:rPr>
            </w:pPr>
            <w:r>
              <w:rPr>
                <w:color w:val="231F20"/>
                <w:sz w:val="20"/>
              </w:rPr>
              <w:t>$</w:t>
            </w:r>
          </w:p>
        </w:tc>
        <w:tc>
          <w:tcPr>
            <w:tcW w:w="405" w:type="dxa"/>
          </w:tcPr>
          <w:p>
            <w:pPr>
              <w:pStyle w:val="TableParagraph"/>
              <w:spacing w:before="41"/>
              <w:ind w:right="49"/>
              <w:jc w:val="right"/>
              <w:rPr>
                <w:sz w:val="20"/>
              </w:rPr>
            </w:pPr>
            <w:r>
              <w:rPr>
                <w:color w:val="231F20"/>
                <w:sz w:val="20"/>
              </w:rPr>
              <w:t>355</w:t>
            </w:r>
          </w:p>
        </w:tc>
        <w:tc>
          <w:tcPr>
            <w:tcW w:w="160" w:type="dxa"/>
          </w:tcPr>
          <w:p>
            <w:pPr/>
          </w:p>
        </w:tc>
        <w:tc>
          <w:tcPr>
            <w:tcW w:w="923" w:type="dxa"/>
          </w:tcPr>
          <w:p>
            <w:pPr>
              <w:pStyle w:val="TableParagraph"/>
              <w:spacing w:before="41"/>
              <w:rPr>
                <w:sz w:val="20"/>
              </w:rPr>
            </w:pPr>
            <w:r>
              <w:rPr>
                <w:color w:val="231F20"/>
                <w:sz w:val="20"/>
              </w:rPr>
              <w:t>$</w:t>
            </w:r>
          </w:p>
        </w:tc>
        <w:tc>
          <w:tcPr>
            <w:tcW w:w="397" w:type="dxa"/>
          </w:tcPr>
          <w:p>
            <w:pPr>
              <w:pStyle w:val="TableParagraph"/>
              <w:spacing w:before="41"/>
              <w:jc w:val="right"/>
              <w:rPr>
                <w:sz w:val="20"/>
              </w:rPr>
            </w:pPr>
            <w:r>
              <w:rPr>
                <w:color w:val="231F20"/>
                <w:sz w:val="20"/>
              </w:rPr>
              <w:t>(45)</w:t>
            </w:r>
          </w:p>
        </w:tc>
      </w:tr>
      <w:tr>
        <w:trPr>
          <w:trHeight w:val="303" w:hRule="exact"/>
        </w:trPr>
        <w:tc>
          <w:tcPr>
            <w:tcW w:w="4680" w:type="dxa"/>
            <w:shd w:val="clear" w:color="auto" w:fill="CCECFC"/>
          </w:tcPr>
          <w:p>
            <w:pPr>
              <w:pStyle w:val="TableParagraph"/>
              <w:spacing w:before="41"/>
              <w:ind w:left="300"/>
              <w:rPr>
                <w:sz w:val="20"/>
              </w:rPr>
            </w:pPr>
            <w:r>
              <w:rPr>
                <w:color w:val="231F20"/>
                <w:sz w:val="20"/>
              </w:rPr>
              <w:t>State</w:t>
            </w:r>
          </w:p>
        </w:tc>
        <w:tc>
          <w:tcPr>
            <w:tcW w:w="160" w:type="dxa"/>
            <w:shd w:val="clear" w:color="auto" w:fill="CCECFC"/>
          </w:tcPr>
          <w:p>
            <w:pPr/>
          </w:p>
        </w:tc>
        <w:tc>
          <w:tcPr>
            <w:tcW w:w="915" w:type="dxa"/>
            <w:tcBorders>
              <w:bottom w:val="single" w:sz="4" w:space="0" w:color="231F20"/>
            </w:tcBorders>
            <w:shd w:val="clear" w:color="auto" w:fill="CCECFC"/>
          </w:tcPr>
          <w:p>
            <w:pPr/>
          </w:p>
        </w:tc>
        <w:tc>
          <w:tcPr>
            <w:tcW w:w="405" w:type="dxa"/>
            <w:tcBorders>
              <w:bottom w:val="single" w:sz="4" w:space="0" w:color="231F20"/>
            </w:tcBorders>
            <w:shd w:val="clear" w:color="auto" w:fill="CCECFC"/>
          </w:tcPr>
          <w:p>
            <w:pPr>
              <w:pStyle w:val="TableParagraph"/>
              <w:spacing w:before="41"/>
              <w:ind w:right="49"/>
              <w:jc w:val="right"/>
              <w:rPr>
                <w:sz w:val="20"/>
              </w:rPr>
            </w:pPr>
            <w:r>
              <w:rPr>
                <w:color w:val="231F20"/>
                <w:sz w:val="20"/>
              </w:rPr>
              <w:t>29</w:t>
            </w:r>
          </w:p>
        </w:tc>
        <w:tc>
          <w:tcPr>
            <w:tcW w:w="160" w:type="dxa"/>
            <w:shd w:val="clear" w:color="auto" w:fill="CCECFC"/>
          </w:tcPr>
          <w:p>
            <w:pPr/>
          </w:p>
        </w:tc>
        <w:tc>
          <w:tcPr>
            <w:tcW w:w="915" w:type="dxa"/>
            <w:tcBorders>
              <w:bottom w:val="single" w:sz="4" w:space="0" w:color="231F20"/>
            </w:tcBorders>
            <w:shd w:val="clear" w:color="auto" w:fill="CCECFC"/>
          </w:tcPr>
          <w:p>
            <w:pPr/>
          </w:p>
        </w:tc>
        <w:tc>
          <w:tcPr>
            <w:tcW w:w="405" w:type="dxa"/>
            <w:tcBorders>
              <w:bottom w:val="single" w:sz="4" w:space="0" w:color="231F20"/>
            </w:tcBorders>
            <w:shd w:val="clear" w:color="auto" w:fill="CCECFC"/>
          </w:tcPr>
          <w:p>
            <w:pPr>
              <w:pStyle w:val="TableParagraph"/>
              <w:spacing w:before="41"/>
              <w:ind w:right="49"/>
              <w:jc w:val="right"/>
              <w:rPr>
                <w:sz w:val="20"/>
              </w:rPr>
            </w:pPr>
            <w:r>
              <w:rPr>
                <w:color w:val="231F20"/>
                <w:sz w:val="20"/>
              </w:rPr>
              <w:t>44</w:t>
            </w:r>
          </w:p>
        </w:tc>
        <w:tc>
          <w:tcPr>
            <w:tcW w:w="160" w:type="dxa"/>
            <w:shd w:val="clear" w:color="auto" w:fill="CCECFC"/>
          </w:tcPr>
          <w:p>
            <w:pPr/>
          </w:p>
        </w:tc>
        <w:tc>
          <w:tcPr>
            <w:tcW w:w="923" w:type="dxa"/>
            <w:tcBorders>
              <w:bottom w:val="single" w:sz="4" w:space="0" w:color="231F20"/>
            </w:tcBorders>
            <w:shd w:val="clear" w:color="auto" w:fill="CCECFC"/>
          </w:tcPr>
          <w:p>
            <w:pPr/>
          </w:p>
        </w:tc>
        <w:tc>
          <w:tcPr>
            <w:tcW w:w="397" w:type="dxa"/>
            <w:tcBorders>
              <w:bottom w:val="single" w:sz="4" w:space="0" w:color="231F20"/>
            </w:tcBorders>
            <w:shd w:val="clear" w:color="auto" w:fill="CCECFC"/>
          </w:tcPr>
          <w:p>
            <w:pPr>
              <w:pStyle w:val="TableParagraph"/>
              <w:spacing w:before="41"/>
              <w:ind w:right="49"/>
              <w:jc w:val="right"/>
              <w:rPr>
                <w:sz w:val="20"/>
              </w:rPr>
            </w:pPr>
            <w:r>
              <w:rPr>
                <w:color w:val="231F20"/>
                <w:sz w:val="20"/>
              </w:rPr>
              <w:t>12</w:t>
            </w:r>
          </w:p>
        </w:tc>
      </w:tr>
      <w:tr>
        <w:trPr>
          <w:trHeight w:val="277" w:hRule="exact"/>
        </w:trPr>
        <w:tc>
          <w:tcPr>
            <w:tcW w:w="4680" w:type="dxa"/>
          </w:tcPr>
          <w:p>
            <w:pPr>
              <w:pStyle w:val="TableParagraph"/>
              <w:spacing w:before="46"/>
              <w:ind w:left="500"/>
              <w:rPr>
                <w:sz w:val="20"/>
              </w:rPr>
            </w:pPr>
            <w:r>
              <w:rPr>
                <w:color w:val="231F20"/>
                <w:sz w:val="20"/>
              </w:rPr>
              <w:t>Total current</w:t>
            </w:r>
          </w:p>
        </w:tc>
        <w:tc>
          <w:tcPr>
            <w:tcW w:w="160" w:type="dxa"/>
          </w:tcPr>
          <w:p>
            <w:pPr/>
          </w:p>
        </w:tc>
        <w:tc>
          <w:tcPr>
            <w:tcW w:w="915" w:type="dxa"/>
          </w:tcPr>
          <w:p>
            <w:pPr/>
          </w:p>
        </w:tc>
        <w:tc>
          <w:tcPr>
            <w:tcW w:w="405" w:type="dxa"/>
          </w:tcPr>
          <w:p>
            <w:pPr>
              <w:pStyle w:val="TableParagraph"/>
              <w:spacing w:before="46"/>
              <w:ind w:right="49"/>
              <w:jc w:val="right"/>
              <w:rPr>
                <w:sz w:val="20"/>
              </w:rPr>
            </w:pPr>
            <w:r>
              <w:rPr>
                <w:color w:val="231F20"/>
                <w:sz w:val="20"/>
              </w:rPr>
              <w:t>232</w:t>
            </w:r>
          </w:p>
        </w:tc>
        <w:tc>
          <w:tcPr>
            <w:tcW w:w="160" w:type="dxa"/>
          </w:tcPr>
          <w:p>
            <w:pPr/>
          </w:p>
        </w:tc>
        <w:tc>
          <w:tcPr>
            <w:tcW w:w="915" w:type="dxa"/>
          </w:tcPr>
          <w:p>
            <w:pPr/>
          </w:p>
        </w:tc>
        <w:tc>
          <w:tcPr>
            <w:tcW w:w="405" w:type="dxa"/>
          </w:tcPr>
          <w:p>
            <w:pPr>
              <w:pStyle w:val="TableParagraph"/>
              <w:spacing w:before="46"/>
              <w:ind w:right="49"/>
              <w:jc w:val="right"/>
              <w:rPr>
                <w:sz w:val="20"/>
              </w:rPr>
            </w:pPr>
            <w:r>
              <w:rPr>
                <w:color w:val="231F20"/>
                <w:sz w:val="20"/>
              </w:rPr>
              <w:t>399</w:t>
            </w:r>
          </w:p>
        </w:tc>
        <w:tc>
          <w:tcPr>
            <w:tcW w:w="160" w:type="dxa"/>
          </w:tcPr>
          <w:p>
            <w:pPr/>
          </w:p>
        </w:tc>
        <w:tc>
          <w:tcPr>
            <w:tcW w:w="923" w:type="dxa"/>
          </w:tcPr>
          <w:p>
            <w:pPr/>
          </w:p>
        </w:tc>
        <w:tc>
          <w:tcPr>
            <w:tcW w:w="397" w:type="dxa"/>
          </w:tcPr>
          <w:p>
            <w:pPr>
              <w:pStyle w:val="TableParagraph"/>
              <w:spacing w:before="46"/>
              <w:jc w:val="right"/>
              <w:rPr>
                <w:sz w:val="20"/>
              </w:rPr>
            </w:pPr>
            <w:r>
              <w:rPr>
                <w:color w:val="231F20"/>
                <w:sz w:val="20"/>
              </w:rPr>
              <w:t>(33)</w:t>
            </w:r>
          </w:p>
        </w:tc>
      </w:tr>
      <w:tr>
        <w:trPr>
          <w:trHeight w:val="353" w:hRule="exact"/>
        </w:trPr>
        <w:tc>
          <w:tcPr>
            <w:tcW w:w="9120" w:type="dxa"/>
            <w:gridSpan w:val="10"/>
            <w:shd w:val="clear" w:color="auto" w:fill="CCECFC"/>
          </w:tcPr>
          <w:p>
            <w:pPr>
              <w:pStyle w:val="TableParagraph"/>
              <w:spacing w:before="41"/>
              <w:ind w:left="100"/>
              <w:rPr>
                <w:b/>
                <w:sz w:val="20"/>
              </w:rPr>
            </w:pPr>
            <w:r>
              <w:rPr>
                <w:b/>
                <w:color w:val="231F20"/>
                <w:sz w:val="20"/>
              </w:rPr>
              <w:t>DEFERRED:</w:t>
            </w:r>
          </w:p>
        </w:tc>
      </w:tr>
      <w:tr>
        <w:trPr>
          <w:trHeight w:val="240" w:hRule="exact"/>
        </w:trPr>
        <w:tc>
          <w:tcPr>
            <w:tcW w:w="4840" w:type="dxa"/>
            <w:gridSpan w:val="2"/>
          </w:tcPr>
          <w:p>
            <w:pPr>
              <w:pStyle w:val="TableParagraph"/>
              <w:spacing w:line="223" w:lineRule="exact" w:before="0"/>
              <w:ind w:left="300"/>
              <w:rPr>
                <w:sz w:val="20"/>
              </w:rPr>
            </w:pPr>
            <w:r>
              <w:rPr>
                <w:color w:val="231F20"/>
                <w:sz w:val="20"/>
              </w:rPr>
              <w:t>Federal</w:t>
            </w:r>
          </w:p>
        </w:tc>
        <w:tc>
          <w:tcPr>
            <w:tcW w:w="1320" w:type="dxa"/>
            <w:gridSpan w:val="2"/>
          </w:tcPr>
          <w:p>
            <w:pPr>
              <w:pStyle w:val="TableParagraph"/>
              <w:spacing w:line="223" w:lineRule="exact" w:before="0"/>
              <w:ind w:right="49"/>
              <w:jc w:val="right"/>
              <w:rPr>
                <w:sz w:val="20"/>
              </w:rPr>
            </w:pPr>
            <w:r>
              <w:rPr>
                <w:color w:val="231F20"/>
                <w:sz w:val="20"/>
              </w:rPr>
              <w:t>421</w:t>
            </w:r>
          </w:p>
        </w:tc>
        <w:tc>
          <w:tcPr>
            <w:tcW w:w="160" w:type="dxa"/>
          </w:tcPr>
          <w:p>
            <w:pPr/>
          </w:p>
        </w:tc>
        <w:tc>
          <w:tcPr>
            <w:tcW w:w="1320" w:type="dxa"/>
            <w:gridSpan w:val="2"/>
          </w:tcPr>
          <w:p>
            <w:pPr>
              <w:pStyle w:val="TableParagraph"/>
              <w:spacing w:line="223" w:lineRule="exact" w:before="0"/>
              <w:ind w:right="49"/>
              <w:jc w:val="right"/>
              <w:rPr>
                <w:sz w:val="20"/>
              </w:rPr>
            </w:pPr>
            <w:r>
              <w:rPr>
                <w:color w:val="231F20"/>
                <w:sz w:val="20"/>
              </w:rPr>
              <w:t>62</w:t>
            </w:r>
          </w:p>
        </w:tc>
        <w:tc>
          <w:tcPr>
            <w:tcW w:w="160" w:type="dxa"/>
          </w:tcPr>
          <w:p>
            <w:pPr/>
          </w:p>
        </w:tc>
        <w:tc>
          <w:tcPr>
            <w:tcW w:w="1320" w:type="dxa"/>
            <w:gridSpan w:val="2"/>
          </w:tcPr>
          <w:p>
            <w:pPr>
              <w:pStyle w:val="TableParagraph"/>
              <w:spacing w:line="223" w:lineRule="exact" w:before="0"/>
              <w:ind w:right="49"/>
              <w:jc w:val="right"/>
              <w:rPr>
                <w:sz w:val="20"/>
              </w:rPr>
            </w:pPr>
            <w:r>
              <w:rPr>
                <w:color w:val="231F20"/>
                <w:sz w:val="20"/>
              </w:rPr>
              <w:t>287</w:t>
            </w:r>
          </w:p>
        </w:tc>
      </w:tr>
      <w:tr>
        <w:trPr>
          <w:trHeight w:val="303" w:hRule="exact"/>
        </w:trPr>
        <w:tc>
          <w:tcPr>
            <w:tcW w:w="4840" w:type="dxa"/>
            <w:gridSpan w:val="2"/>
            <w:shd w:val="clear" w:color="auto" w:fill="CCECFC"/>
          </w:tcPr>
          <w:p>
            <w:pPr>
              <w:pStyle w:val="TableParagraph"/>
              <w:spacing w:before="41"/>
              <w:ind w:left="300"/>
              <w:rPr>
                <w:sz w:val="20"/>
              </w:rPr>
            </w:pPr>
            <w:r>
              <w:rPr>
                <w:color w:val="231F20"/>
                <w:sz w:val="20"/>
              </w:rPr>
              <w:t>State</w:t>
            </w:r>
          </w:p>
        </w:tc>
        <w:tc>
          <w:tcPr>
            <w:tcW w:w="1320" w:type="dxa"/>
            <w:gridSpan w:val="2"/>
            <w:tcBorders>
              <w:bottom w:val="single" w:sz="4" w:space="0" w:color="231F20"/>
            </w:tcBorders>
            <w:shd w:val="clear" w:color="auto" w:fill="CCECFC"/>
          </w:tcPr>
          <w:p>
            <w:pPr>
              <w:pStyle w:val="TableParagraph"/>
              <w:spacing w:before="41"/>
              <w:ind w:right="49"/>
              <w:jc w:val="right"/>
              <w:rPr>
                <w:sz w:val="20"/>
              </w:rPr>
            </w:pPr>
            <w:r>
              <w:rPr>
                <w:color w:val="231F20"/>
                <w:sz w:val="20"/>
              </w:rPr>
              <w:t>27</w:t>
            </w:r>
          </w:p>
        </w:tc>
        <w:tc>
          <w:tcPr>
            <w:tcW w:w="160" w:type="dxa"/>
            <w:shd w:val="clear" w:color="auto" w:fill="CCECFC"/>
          </w:tcPr>
          <w:p>
            <w:pPr/>
          </w:p>
        </w:tc>
        <w:tc>
          <w:tcPr>
            <w:tcW w:w="1320" w:type="dxa"/>
            <w:gridSpan w:val="2"/>
            <w:tcBorders>
              <w:bottom w:val="single" w:sz="4" w:space="0" w:color="231F20"/>
            </w:tcBorders>
            <w:shd w:val="clear" w:color="auto" w:fill="CCECFC"/>
          </w:tcPr>
          <w:p>
            <w:pPr>
              <w:pStyle w:val="TableParagraph"/>
              <w:spacing w:before="41"/>
              <w:jc w:val="right"/>
              <w:rPr>
                <w:sz w:val="20"/>
              </w:rPr>
            </w:pPr>
            <w:r>
              <w:rPr>
                <w:color w:val="231F20"/>
                <w:sz w:val="20"/>
              </w:rPr>
              <w:t>(6)</w:t>
            </w:r>
          </w:p>
        </w:tc>
        <w:tc>
          <w:tcPr>
            <w:tcW w:w="160" w:type="dxa"/>
            <w:shd w:val="clear" w:color="auto" w:fill="CCECFC"/>
          </w:tcPr>
          <w:p>
            <w:pPr/>
          </w:p>
        </w:tc>
        <w:tc>
          <w:tcPr>
            <w:tcW w:w="1320" w:type="dxa"/>
            <w:gridSpan w:val="2"/>
            <w:tcBorders>
              <w:bottom w:val="single" w:sz="4" w:space="0" w:color="231F20"/>
            </w:tcBorders>
            <w:shd w:val="clear" w:color="auto" w:fill="CCECFC"/>
          </w:tcPr>
          <w:p>
            <w:pPr>
              <w:pStyle w:val="TableParagraph"/>
              <w:spacing w:before="41"/>
              <w:ind w:right="49"/>
              <w:jc w:val="right"/>
              <w:rPr>
                <w:sz w:val="20"/>
              </w:rPr>
            </w:pPr>
            <w:r>
              <w:rPr>
                <w:color w:val="231F20"/>
                <w:sz w:val="20"/>
              </w:rPr>
              <w:t>10</w:t>
            </w:r>
          </w:p>
        </w:tc>
      </w:tr>
      <w:tr>
        <w:trPr>
          <w:trHeight w:val="308" w:hRule="exact"/>
        </w:trPr>
        <w:tc>
          <w:tcPr>
            <w:tcW w:w="4840" w:type="dxa"/>
            <w:gridSpan w:val="2"/>
          </w:tcPr>
          <w:p>
            <w:pPr>
              <w:pStyle w:val="TableParagraph"/>
              <w:spacing w:before="61"/>
              <w:ind w:left="500"/>
              <w:rPr>
                <w:sz w:val="20"/>
              </w:rPr>
            </w:pPr>
            <w:r>
              <w:rPr>
                <w:color w:val="231F20"/>
                <w:sz w:val="20"/>
              </w:rPr>
              <w:t>Total deferred</w:t>
            </w:r>
          </w:p>
        </w:tc>
        <w:tc>
          <w:tcPr>
            <w:tcW w:w="1320" w:type="dxa"/>
            <w:gridSpan w:val="2"/>
            <w:tcBorders>
              <w:top w:val="single" w:sz="4" w:space="0" w:color="231F20"/>
              <w:bottom w:val="single" w:sz="4" w:space="0" w:color="231F20"/>
            </w:tcBorders>
          </w:tcPr>
          <w:p>
            <w:pPr>
              <w:pStyle w:val="TableParagraph"/>
              <w:spacing w:before="41"/>
              <w:ind w:right="49"/>
              <w:jc w:val="right"/>
              <w:rPr>
                <w:sz w:val="20"/>
              </w:rPr>
            </w:pPr>
            <w:r>
              <w:rPr>
                <w:color w:val="231F20"/>
                <w:sz w:val="20"/>
              </w:rPr>
              <w:t>448</w:t>
            </w:r>
          </w:p>
        </w:tc>
        <w:tc>
          <w:tcPr>
            <w:tcW w:w="160" w:type="dxa"/>
          </w:tcPr>
          <w:p>
            <w:pPr/>
          </w:p>
        </w:tc>
        <w:tc>
          <w:tcPr>
            <w:tcW w:w="1320" w:type="dxa"/>
            <w:gridSpan w:val="2"/>
            <w:tcBorders>
              <w:top w:val="single" w:sz="4" w:space="0" w:color="231F20"/>
              <w:bottom w:val="single" w:sz="4" w:space="0" w:color="231F20"/>
            </w:tcBorders>
          </w:tcPr>
          <w:p>
            <w:pPr>
              <w:pStyle w:val="TableParagraph"/>
              <w:spacing w:before="41"/>
              <w:ind w:right="49"/>
              <w:jc w:val="right"/>
              <w:rPr>
                <w:sz w:val="20"/>
              </w:rPr>
            </w:pPr>
            <w:r>
              <w:rPr>
                <w:color w:val="231F20"/>
                <w:sz w:val="20"/>
              </w:rPr>
              <w:t>56</w:t>
            </w:r>
          </w:p>
        </w:tc>
        <w:tc>
          <w:tcPr>
            <w:tcW w:w="160" w:type="dxa"/>
          </w:tcPr>
          <w:p>
            <w:pPr/>
          </w:p>
        </w:tc>
        <w:tc>
          <w:tcPr>
            <w:tcW w:w="1320" w:type="dxa"/>
            <w:gridSpan w:val="2"/>
            <w:tcBorders>
              <w:top w:val="single" w:sz="4" w:space="0" w:color="231F20"/>
              <w:bottom w:val="single" w:sz="4" w:space="0" w:color="231F20"/>
            </w:tcBorders>
          </w:tcPr>
          <w:p>
            <w:pPr>
              <w:pStyle w:val="TableParagraph"/>
              <w:spacing w:before="56"/>
              <w:ind w:right="49"/>
              <w:jc w:val="right"/>
              <w:rPr>
                <w:sz w:val="20"/>
              </w:rPr>
            </w:pPr>
            <w:r>
              <w:rPr>
                <w:color w:val="231F20"/>
                <w:sz w:val="20"/>
              </w:rPr>
              <w:t>297</w:t>
            </w:r>
          </w:p>
        </w:tc>
      </w:tr>
      <w:tr>
        <w:trPr>
          <w:trHeight w:val="348" w:hRule="exact"/>
        </w:trPr>
        <w:tc>
          <w:tcPr>
            <w:tcW w:w="4840" w:type="dxa"/>
            <w:gridSpan w:val="2"/>
            <w:shd w:val="clear" w:color="auto" w:fill="CCECFC"/>
          </w:tcPr>
          <w:p>
            <w:pPr/>
          </w:p>
        </w:tc>
        <w:tc>
          <w:tcPr>
            <w:tcW w:w="1320" w:type="dxa"/>
            <w:gridSpan w:val="2"/>
            <w:tcBorders>
              <w:top w:val="single" w:sz="4" w:space="0" w:color="231F20"/>
              <w:bottom w:val="single" w:sz="4" w:space="0" w:color="231F20"/>
            </w:tcBorders>
            <w:shd w:val="clear" w:color="auto" w:fill="CCECFC"/>
          </w:tcPr>
          <w:p>
            <w:pPr>
              <w:pStyle w:val="TableParagraph"/>
              <w:tabs>
                <w:tab w:pos="969" w:val="left" w:leader="none"/>
              </w:tabs>
              <w:spacing w:before="41"/>
              <w:rPr>
                <w:sz w:val="20"/>
              </w:rPr>
            </w:pPr>
            <w:r>
              <w:rPr>
                <w:color w:val="231F20"/>
                <w:sz w:val="20"/>
              </w:rPr>
              <w:t>$</w:t>
              <w:tab/>
              <w:t>680</w:t>
            </w:r>
          </w:p>
        </w:tc>
        <w:tc>
          <w:tcPr>
            <w:tcW w:w="160" w:type="dxa"/>
            <w:shd w:val="clear" w:color="auto" w:fill="CCECFC"/>
          </w:tcPr>
          <w:p>
            <w:pPr/>
          </w:p>
        </w:tc>
        <w:tc>
          <w:tcPr>
            <w:tcW w:w="1320" w:type="dxa"/>
            <w:gridSpan w:val="2"/>
            <w:tcBorders>
              <w:top w:val="single" w:sz="4" w:space="0" w:color="231F20"/>
              <w:bottom w:val="single" w:sz="4" w:space="0" w:color="231F20"/>
            </w:tcBorders>
            <w:shd w:val="clear" w:color="auto" w:fill="CCECFC"/>
          </w:tcPr>
          <w:p>
            <w:pPr>
              <w:pStyle w:val="TableParagraph"/>
              <w:tabs>
                <w:tab w:pos="969" w:val="left" w:leader="none"/>
              </w:tabs>
              <w:spacing w:before="41"/>
              <w:rPr>
                <w:sz w:val="20"/>
              </w:rPr>
            </w:pPr>
            <w:r>
              <w:rPr>
                <w:color w:val="231F20"/>
                <w:sz w:val="20"/>
              </w:rPr>
              <w:t>$</w:t>
              <w:tab/>
              <w:t>455</w:t>
            </w:r>
          </w:p>
        </w:tc>
        <w:tc>
          <w:tcPr>
            <w:tcW w:w="160" w:type="dxa"/>
            <w:shd w:val="clear" w:color="auto" w:fill="CCECFC"/>
          </w:tcPr>
          <w:p>
            <w:pPr/>
          </w:p>
        </w:tc>
        <w:tc>
          <w:tcPr>
            <w:tcW w:w="1320" w:type="dxa"/>
            <w:gridSpan w:val="2"/>
            <w:tcBorders>
              <w:top w:val="single" w:sz="4" w:space="0" w:color="231F20"/>
              <w:bottom w:val="single" w:sz="4" w:space="0" w:color="231F20"/>
            </w:tcBorders>
            <w:shd w:val="clear" w:color="auto" w:fill="CCECFC"/>
          </w:tcPr>
          <w:p>
            <w:pPr>
              <w:pStyle w:val="TableParagraph"/>
              <w:tabs>
                <w:tab w:pos="969" w:val="left" w:leader="none"/>
              </w:tabs>
              <w:spacing w:before="36"/>
              <w:rPr>
                <w:sz w:val="20"/>
              </w:rPr>
            </w:pPr>
            <w:r>
              <w:rPr>
                <w:color w:val="231F20"/>
                <w:sz w:val="20"/>
              </w:rPr>
              <w:t>$</w:t>
              <w:tab/>
              <w:t>264</w:t>
            </w:r>
          </w:p>
        </w:tc>
      </w:tr>
    </w:tbl>
    <w:p>
      <w:pPr>
        <w:spacing w:after="0"/>
        <w:rPr>
          <w:sz w:val="20"/>
        </w:rPr>
        <w:sectPr>
          <w:pgSz w:w="11880" w:h="15480"/>
          <w:pgMar w:header="0" w:footer="1240" w:top="1240" w:bottom="1420" w:left="1260" w:right="1260"/>
        </w:sectPr>
      </w:pPr>
    </w:p>
    <w:p>
      <w:pPr>
        <w:pStyle w:val="BodyText"/>
        <w:spacing w:line="247" w:lineRule="auto" w:before="74"/>
        <w:ind w:left="100" w:right="97" w:firstLine="720"/>
      </w:pPr>
      <w:r>
        <w:rPr>
          <w:color w:val="231F20"/>
        </w:rPr>
        <w:t>The effective tax rate on income before income taxes differed from the federal income tax statutory rate for the following reasons:</w:t>
      </w:r>
    </w:p>
    <w:p>
      <w:pPr>
        <w:pStyle w:val="BodyText"/>
        <w:spacing w:before="3"/>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200"/>
        <w:gridCol w:w="885"/>
        <w:gridCol w:w="395"/>
        <w:gridCol w:w="200"/>
        <w:gridCol w:w="885"/>
        <w:gridCol w:w="395"/>
        <w:gridCol w:w="200"/>
        <w:gridCol w:w="885"/>
        <w:gridCol w:w="395"/>
      </w:tblGrid>
      <w:tr>
        <w:trPr>
          <w:trHeight w:val="256" w:hRule="exact"/>
        </w:trPr>
        <w:tc>
          <w:tcPr>
            <w:tcW w:w="468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200" w:type="dxa"/>
          </w:tcPr>
          <w:p>
            <w:pPr/>
          </w:p>
        </w:tc>
        <w:tc>
          <w:tcPr>
            <w:tcW w:w="885" w:type="dxa"/>
            <w:tcBorders>
              <w:bottom w:val="single" w:sz="8" w:space="0" w:color="231F20"/>
            </w:tcBorders>
          </w:tcPr>
          <w:p>
            <w:pPr>
              <w:pStyle w:val="TableParagraph"/>
              <w:spacing w:line="229" w:lineRule="exact" w:before="0"/>
              <w:ind w:left="440"/>
              <w:rPr>
                <w:b/>
                <w:sz w:val="20"/>
              </w:rPr>
            </w:pPr>
            <w:r>
              <w:rPr>
                <w:b/>
                <w:color w:val="231F20"/>
                <w:sz w:val="20"/>
              </w:rPr>
              <w:t>2014</w:t>
            </w:r>
          </w:p>
        </w:tc>
        <w:tc>
          <w:tcPr>
            <w:tcW w:w="395" w:type="dxa"/>
            <w:tcBorders>
              <w:bottom w:val="single" w:sz="8" w:space="0" w:color="231F20"/>
            </w:tcBorders>
          </w:tcPr>
          <w:p>
            <w:pPr/>
          </w:p>
        </w:tc>
        <w:tc>
          <w:tcPr>
            <w:tcW w:w="200" w:type="dxa"/>
          </w:tcPr>
          <w:p>
            <w:pPr/>
          </w:p>
        </w:tc>
        <w:tc>
          <w:tcPr>
            <w:tcW w:w="885" w:type="dxa"/>
            <w:tcBorders>
              <w:bottom w:val="single" w:sz="8" w:space="0" w:color="231F20"/>
            </w:tcBorders>
          </w:tcPr>
          <w:p>
            <w:pPr>
              <w:pStyle w:val="TableParagraph"/>
              <w:spacing w:line="229" w:lineRule="exact" w:before="0"/>
              <w:ind w:left="440"/>
              <w:rPr>
                <w:b/>
                <w:sz w:val="20"/>
              </w:rPr>
            </w:pPr>
            <w:r>
              <w:rPr>
                <w:b/>
                <w:color w:val="231F20"/>
                <w:sz w:val="20"/>
              </w:rPr>
              <w:t>2013</w:t>
            </w:r>
          </w:p>
        </w:tc>
        <w:tc>
          <w:tcPr>
            <w:tcW w:w="395" w:type="dxa"/>
            <w:tcBorders>
              <w:bottom w:val="single" w:sz="8" w:space="0" w:color="231F20"/>
            </w:tcBorders>
          </w:tcPr>
          <w:p>
            <w:pPr/>
          </w:p>
        </w:tc>
        <w:tc>
          <w:tcPr>
            <w:tcW w:w="200" w:type="dxa"/>
          </w:tcPr>
          <w:p>
            <w:pPr/>
          </w:p>
        </w:tc>
        <w:tc>
          <w:tcPr>
            <w:tcW w:w="885" w:type="dxa"/>
            <w:tcBorders>
              <w:bottom w:val="single" w:sz="8" w:space="0" w:color="231F20"/>
            </w:tcBorders>
          </w:tcPr>
          <w:p>
            <w:pPr>
              <w:pStyle w:val="TableParagraph"/>
              <w:spacing w:line="229" w:lineRule="exact" w:before="0"/>
              <w:ind w:left="440"/>
              <w:rPr>
                <w:b/>
                <w:sz w:val="20"/>
              </w:rPr>
            </w:pPr>
            <w:r>
              <w:rPr>
                <w:b/>
                <w:color w:val="231F20"/>
                <w:sz w:val="20"/>
              </w:rPr>
              <w:t>2012</w:t>
            </w:r>
          </w:p>
        </w:tc>
        <w:tc>
          <w:tcPr>
            <w:tcW w:w="395" w:type="dxa"/>
            <w:tcBorders>
              <w:bottom w:val="single" w:sz="8" w:space="0" w:color="231F20"/>
            </w:tcBorders>
          </w:tcPr>
          <w:p>
            <w:pPr/>
          </w:p>
        </w:tc>
      </w:tr>
      <w:tr>
        <w:trPr>
          <w:trHeight w:val="298" w:hRule="exact"/>
        </w:trPr>
        <w:tc>
          <w:tcPr>
            <w:tcW w:w="4680" w:type="dxa"/>
            <w:tcBorders>
              <w:top w:val="single" w:sz="8" w:space="0" w:color="231F20"/>
            </w:tcBorders>
          </w:tcPr>
          <w:p>
            <w:pPr>
              <w:pStyle w:val="TableParagraph"/>
              <w:spacing w:before="41"/>
              <w:ind w:left="100"/>
              <w:rPr>
                <w:sz w:val="20"/>
              </w:rPr>
            </w:pPr>
            <w:r>
              <w:rPr>
                <w:color w:val="231F20"/>
                <w:sz w:val="20"/>
              </w:rPr>
              <w:t>Tax at statutory U.S. tax rates</w:t>
            </w:r>
          </w:p>
        </w:tc>
        <w:tc>
          <w:tcPr>
            <w:tcW w:w="200" w:type="dxa"/>
          </w:tcPr>
          <w:p>
            <w:pPr/>
          </w:p>
        </w:tc>
        <w:tc>
          <w:tcPr>
            <w:tcW w:w="885" w:type="dxa"/>
            <w:tcBorders>
              <w:top w:val="single" w:sz="8" w:space="0" w:color="231F20"/>
            </w:tcBorders>
          </w:tcPr>
          <w:p>
            <w:pPr>
              <w:pStyle w:val="TableParagraph"/>
              <w:spacing w:before="41"/>
              <w:rPr>
                <w:sz w:val="20"/>
              </w:rPr>
            </w:pPr>
            <w:r>
              <w:rPr>
                <w:color w:val="231F20"/>
                <w:sz w:val="20"/>
              </w:rPr>
              <w:t>$</w:t>
            </w:r>
          </w:p>
        </w:tc>
        <w:tc>
          <w:tcPr>
            <w:tcW w:w="395" w:type="dxa"/>
            <w:tcBorders>
              <w:top w:val="single" w:sz="8" w:space="0" w:color="231F20"/>
            </w:tcBorders>
          </w:tcPr>
          <w:p>
            <w:pPr>
              <w:pStyle w:val="TableParagraph"/>
              <w:spacing w:before="41"/>
              <w:ind w:right="49"/>
              <w:jc w:val="right"/>
              <w:rPr>
                <w:sz w:val="20"/>
              </w:rPr>
            </w:pPr>
            <w:r>
              <w:rPr>
                <w:color w:val="231F20"/>
                <w:sz w:val="20"/>
              </w:rPr>
              <w:t>636</w:t>
            </w:r>
          </w:p>
        </w:tc>
        <w:tc>
          <w:tcPr>
            <w:tcW w:w="200" w:type="dxa"/>
          </w:tcPr>
          <w:p>
            <w:pPr/>
          </w:p>
        </w:tc>
        <w:tc>
          <w:tcPr>
            <w:tcW w:w="885" w:type="dxa"/>
            <w:tcBorders>
              <w:top w:val="single" w:sz="8" w:space="0" w:color="231F20"/>
            </w:tcBorders>
          </w:tcPr>
          <w:p>
            <w:pPr>
              <w:pStyle w:val="TableParagraph"/>
              <w:spacing w:before="41"/>
              <w:rPr>
                <w:sz w:val="20"/>
              </w:rPr>
            </w:pPr>
            <w:r>
              <w:rPr>
                <w:color w:val="231F20"/>
                <w:sz w:val="20"/>
              </w:rPr>
              <w:t>$</w:t>
            </w:r>
          </w:p>
        </w:tc>
        <w:tc>
          <w:tcPr>
            <w:tcW w:w="395" w:type="dxa"/>
            <w:tcBorders>
              <w:top w:val="single" w:sz="8" w:space="0" w:color="231F20"/>
            </w:tcBorders>
          </w:tcPr>
          <w:p>
            <w:pPr>
              <w:pStyle w:val="TableParagraph"/>
              <w:spacing w:before="41"/>
              <w:ind w:right="49"/>
              <w:jc w:val="right"/>
              <w:rPr>
                <w:sz w:val="20"/>
              </w:rPr>
            </w:pPr>
            <w:r>
              <w:rPr>
                <w:color w:val="231F20"/>
                <w:sz w:val="20"/>
              </w:rPr>
              <w:t>423</w:t>
            </w:r>
          </w:p>
        </w:tc>
        <w:tc>
          <w:tcPr>
            <w:tcW w:w="200" w:type="dxa"/>
          </w:tcPr>
          <w:p>
            <w:pPr/>
          </w:p>
        </w:tc>
        <w:tc>
          <w:tcPr>
            <w:tcW w:w="885" w:type="dxa"/>
            <w:tcBorders>
              <w:top w:val="single" w:sz="8" w:space="0" w:color="231F20"/>
            </w:tcBorders>
          </w:tcPr>
          <w:p>
            <w:pPr>
              <w:pStyle w:val="TableParagraph"/>
              <w:spacing w:before="41"/>
              <w:rPr>
                <w:sz w:val="20"/>
              </w:rPr>
            </w:pPr>
            <w:r>
              <w:rPr>
                <w:color w:val="231F20"/>
                <w:sz w:val="20"/>
              </w:rPr>
              <w:t>$</w:t>
            </w:r>
          </w:p>
        </w:tc>
        <w:tc>
          <w:tcPr>
            <w:tcW w:w="395" w:type="dxa"/>
            <w:tcBorders>
              <w:top w:val="single" w:sz="8" w:space="0" w:color="231F20"/>
            </w:tcBorders>
          </w:tcPr>
          <w:p>
            <w:pPr>
              <w:pStyle w:val="TableParagraph"/>
              <w:spacing w:before="41"/>
              <w:ind w:right="49"/>
              <w:jc w:val="right"/>
              <w:rPr>
                <w:sz w:val="20"/>
              </w:rPr>
            </w:pPr>
            <w:r>
              <w:rPr>
                <w:color w:val="231F20"/>
                <w:sz w:val="20"/>
              </w:rPr>
              <w:t>240</w:t>
            </w:r>
          </w:p>
        </w:tc>
      </w:tr>
      <w:tr>
        <w:trPr>
          <w:trHeight w:val="288" w:hRule="exact"/>
        </w:trPr>
        <w:tc>
          <w:tcPr>
            <w:tcW w:w="4680" w:type="dxa"/>
            <w:shd w:val="clear" w:color="auto" w:fill="CCECFC"/>
          </w:tcPr>
          <w:p>
            <w:pPr>
              <w:pStyle w:val="TableParagraph"/>
              <w:spacing w:before="41"/>
              <w:ind w:left="100"/>
              <w:rPr>
                <w:sz w:val="20"/>
              </w:rPr>
            </w:pPr>
            <w:r>
              <w:rPr>
                <w:color w:val="231F20"/>
                <w:sz w:val="20"/>
              </w:rPr>
              <w:t>Nondeductible items</w:t>
            </w:r>
          </w:p>
        </w:tc>
        <w:tc>
          <w:tcPr>
            <w:tcW w:w="200" w:type="dxa"/>
            <w:shd w:val="clear" w:color="auto" w:fill="CCECFC"/>
          </w:tcPr>
          <w:p>
            <w:pPr/>
          </w:p>
        </w:tc>
        <w:tc>
          <w:tcPr>
            <w:tcW w:w="885" w:type="dxa"/>
            <w:shd w:val="clear" w:color="auto" w:fill="CCECFC"/>
          </w:tcPr>
          <w:p>
            <w:pPr/>
          </w:p>
        </w:tc>
        <w:tc>
          <w:tcPr>
            <w:tcW w:w="395" w:type="dxa"/>
            <w:shd w:val="clear" w:color="auto" w:fill="CCECFC"/>
          </w:tcPr>
          <w:p>
            <w:pPr>
              <w:pStyle w:val="TableParagraph"/>
              <w:spacing w:before="41"/>
              <w:ind w:right="47"/>
              <w:jc w:val="right"/>
              <w:rPr>
                <w:sz w:val="20"/>
              </w:rPr>
            </w:pPr>
            <w:r>
              <w:rPr>
                <w:color w:val="231F20"/>
                <w:sz w:val="20"/>
              </w:rPr>
              <w:t>9</w:t>
            </w:r>
          </w:p>
        </w:tc>
        <w:tc>
          <w:tcPr>
            <w:tcW w:w="200" w:type="dxa"/>
            <w:shd w:val="clear" w:color="auto" w:fill="CCECFC"/>
          </w:tcPr>
          <w:p>
            <w:pPr/>
          </w:p>
        </w:tc>
        <w:tc>
          <w:tcPr>
            <w:tcW w:w="885" w:type="dxa"/>
            <w:shd w:val="clear" w:color="auto" w:fill="CCECFC"/>
          </w:tcPr>
          <w:p>
            <w:pPr/>
          </w:p>
        </w:tc>
        <w:tc>
          <w:tcPr>
            <w:tcW w:w="395" w:type="dxa"/>
            <w:shd w:val="clear" w:color="auto" w:fill="CCECFC"/>
          </w:tcPr>
          <w:p>
            <w:pPr>
              <w:pStyle w:val="TableParagraph"/>
              <w:spacing w:before="41"/>
              <w:ind w:right="47"/>
              <w:jc w:val="right"/>
              <w:rPr>
                <w:sz w:val="20"/>
              </w:rPr>
            </w:pPr>
            <w:r>
              <w:rPr>
                <w:color w:val="231F20"/>
                <w:sz w:val="20"/>
              </w:rPr>
              <w:t>10</w:t>
            </w:r>
          </w:p>
        </w:tc>
        <w:tc>
          <w:tcPr>
            <w:tcW w:w="200" w:type="dxa"/>
            <w:shd w:val="clear" w:color="auto" w:fill="CCECFC"/>
          </w:tcPr>
          <w:p>
            <w:pPr/>
          </w:p>
        </w:tc>
        <w:tc>
          <w:tcPr>
            <w:tcW w:w="885" w:type="dxa"/>
            <w:shd w:val="clear" w:color="auto" w:fill="CCECFC"/>
          </w:tcPr>
          <w:p>
            <w:pPr/>
          </w:p>
        </w:tc>
        <w:tc>
          <w:tcPr>
            <w:tcW w:w="395" w:type="dxa"/>
            <w:shd w:val="clear" w:color="auto" w:fill="CCECFC"/>
          </w:tcPr>
          <w:p>
            <w:pPr>
              <w:pStyle w:val="TableParagraph"/>
              <w:spacing w:before="41"/>
              <w:ind w:right="47"/>
              <w:jc w:val="right"/>
              <w:rPr>
                <w:sz w:val="20"/>
              </w:rPr>
            </w:pPr>
            <w:r>
              <w:rPr>
                <w:color w:val="231F20"/>
                <w:sz w:val="20"/>
              </w:rPr>
              <w:t>10</w:t>
            </w:r>
          </w:p>
        </w:tc>
      </w:tr>
      <w:tr>
        <w:trPr>
          <w:trHeight w:val="288" w:hRule="exact"/>
        </w:trPr>
        <w:tc>
          <w:tcPr>
            <w:tcW w:w="4680" w:type="dxa"/>
          </w:tcPr>
          <w:p>
            <w:pPr>
              <w:pStyle w:val="TableParagraph"/>
              <w:spacing w:before="41"/>
              <w:ind w:left="100"/>
              <w:rPr>
                <w:sz w:val="20"/>
              </w:rPr>
            </w:pPr>
            <w:r>
              <w:rPr>
                <w:color w:val="231F20"/>
                <w:sz w:val="20"/>
              </w:rPr>
              <w:t>State income taxes, net of federal benefit</w:t>
            </w:r>
          </w:p>
        </w:tc>
        <w:tc>
          <w:tcPr>
            <w:tcW w:w="200" w:type="dxa"/>
          </w:tcPr>
          <w:p>
            <w:pPr/>
          </w:p>
        </w:tc>
        <w:tc>
          <w:tcPr>
            <w:tcW w:w="885" w:type="dxa"/>
          </w:tcPr>
          <w:p>
            <w:pPr/>
          </w:p>
        </w:tc>
        <w:tc>
          <w:tcPr>
            <w:tcW w:w="395" w:type="dxa"/>
          </w:tcPr>
          <w:p>
            <w:pPr>
              <w:pStyle w:val="TableParagraph"/>
              <w:spacing w:before="41"/>
              <w:ind w:right="49"/>
              <w:jc w:val="right"/>
              <w:rPr>
                <w:sz w:val="20"/>
              </w:rPr>
            </w:pPr>
            <w:r>
              <w:rPr>
                <w:color w:val="231F20"/>
                <w:sz w:val="20"/>
              </w:rPr>
              <w:t>37</w:t>
            </w:r>
          </w:p>
        </w:tc>
        <w:tc>
          <w:tcPr>
            <w:tcW w:w="200" w:type="dxa"/>
          </w:tcPr>
          <w:p>
            <w:pPr/>
          </w:p>
        </w:tc>
        <w:tc>
          <w:tcPr>
            <w:tcW w:w="885" w:type="dxa"/>
          </w:tcPr>
          <w:p>
            <w:pPr/>
          </w:p>
        </w:tc>
        <w:tc>
          <w:tcPr>
            <w:tcW w:w="395" w:type="dxa"/>
          </w:tcPr>
          <w:p>
            <w:pPr>
              <w:pStyle w:val="TableParagraph"/>
              <w:spacing w:before="41"/>
              <w:ind w:right="49"/>
              <w:jc w:val="right"/>
              <w:rPr>
                <w:sz w:val="20"/>
              </w:rPr>
            </w:pPr>
            <w:r>
              <w:rPr>
                <w:color w:val="231F20"/>
                <w:sz w:val="20"/>
              </w:rPr>
              <w:t>25</w:t>
            </w:r>
          </w:p>
        </w:tc>
        <w:tc>
          <w:tcPr>
            <w:tcW w:w="200" w:type="dxa"/>
          </w:tcPr>
          <w:p>
            <w:pPr/>
          </w:p>
        </w:tc>
        <w:tc>
          <w:tcPr>
            <w:tcW w:w="885" w:type="dxa"/>
          </w:tcPr>
          <w:p>
            <w:pPr/>
          </w:p>
        </w:tc>
        <w:tc>
          <w:tcPr>
            <w:tcW w:w="395" w:type="dxa"/>
          </w:tcPr>
          <w:p>
            <w:pPr>
              <w:pStyle w:val="TableParagraph"/>
              <w:spacing w:before="41"/>
              <w:ind w:right="49"/>
              <w:jc w:val="right"/>
              <w:rPr>
                <w:sz w:val="20"/>
              </w:rPr>
            </w:pPr>
            <w:r>
              <w:rPr>
                <w:color w:val="231F20"/>
                <w:sz w:val="20"/>
              </w:rPr>
              <w:t>14</w:t>
            </w:r>
          </w:p>
        </w:tc>
      </w:tr>
      <w:tr>
        <w:trPr>
          <w:trHeight w:val="303" w:hRule="exact"/>
        </w:trPr>
        <w:tc>
          <w:tcPr>
            <w:tcW w:w="4680" w:type="dxa"/>
            <w:shd w:val="clear" w:color="auto" w:fill="CCECFC"/>
          </w:tcPr>
          <w:p>
            <w:pPr>
              <w:pStyle w:val="TableParagraph"/>
              <w:spacing w:before="41"/>
              <w:ind w:left="100"/>
              <w:rPr>
                <w:sz w:val="20"/>
              </w:rPr>
            </w:pPr>
            <w:r>
              <w:rPr>
                <w:color w:val="231F20"/>
                <w:sz w:val="20"/>
              </w:rPr>
              <w:t>Other, net</w:t>
            </w:r>
          </w:p>
        </w:tc>
        <w:tc>
          <w:tcPr>
            <w:tcW w:w="200" w:type="dxa"/>
            <w:shd w:val="clear" w:color="auto" w:fill="CCECFC"/>
          </w:tcPr>
          <w:p>
            <w:pPr/>
          </w:p>
        </w:tc>
        <w:tc>
          <w:tcPr>
            <w:tcW w:w="885" w:type="dxa"/>
            <w:tcBorders>
              <w:bottom w:val="single" w:sz="4" w:space="0" w:color="231F20"/>
            </w:tcBorders>
            <w:shd w:val="clear" w:color="auto" w:fill="CCECFC"/>
          </w:tcPr>
          <w:p>
            <w:pPr/>
          </w:p>
        </w:tc>
        <w:tc>
          <w:tcPr>
            <w:tcW w:w="395" w:type="dxa"/>
            <w:tcBorders>
              <w:bottom w:val="single" w:sz="4" w:space="0" w:color="231F20"/>
            </w:tcBorders>
            <w:shd w:val="clear" w:color="auto" w:fill="CCECFC"/>
          </w:tcPr>
          <w:p>
            <w:pPr>
              <w:pStyle w:val="TableParagraph"/>
              <w:spacing w:before="41"/>
              <w:jc w:val="right"/>
              <w:rPr>
                <w:sz w:val="20"/>
              </w:rPr>
            </w:pPr>
            <w:r>
              <w:rPr>
                <w:color w:val="231F20"/>
                <w:sz w:val="20"/>
              </w:rPr>
              <w:t>(2)</w:t>
            </w:r>
          </w:p>
        </w:tc>
        <w:tc>
          <w:tcPr>
            <w:tcW w:w="200" w:type="dxa"/>
            <w:shd w:val="clear" w:color="auto" w:fill="CCECFC"/>
          </w:tcPr>
          <w:p>
            <w:pPr/>
          </w:p>
        </w:tc>
        <w:tc>
          <w:tcPr>
            <w:tcW w:w="885" w:type="dxa"/>
            <w:tcBorders>
              <w:bottom w:val="single" w:sz="4" w:space="0" w:color="231F20"/>
            </w:tcBorders>
            <w:shd w:val="clear" w:color="auto" w:fill="CCECFC"/>
          </w:tcPr>
          <w:p>
            <w:pPr/>
          </w:p>
        </w:tc>
        <w:tc>
          <w:tcPr>
            <w:tcW w:w="395" w:type="dxa"/>
            <w:tcBorders>
              <w:bottom w:val="single" w:sz="4" w:space="0" w:color="231F20"/>
            </w:tcBorders>
            <w:shd w:val="clear" w:color="auto" w:fill="CCECFC"/>
          </w:tcPr>
          <w:p>
            <w:pPr>
              <w:pStyle w:val="TableParagraph"/>
              <w:spacing w:before="41"/>
              <w:jc w:val="right"/>
              <w:rPr>
                <w:sz w:val="20"/>
              </w:rPr>
            </w:pPr>
            <w:r>
              <w:rPr>
                <w:color w:val="231F20"/>
                <w:sz w:val="20"/>
              </w:rPr>
              <w:t>(3)</w:t>
            </w:r>
          </w:p>
        </w:tc>
        <w:tc>
          <w:tcPr>
            <w:tcW w:w="200" w:type="dxa"/>
            <w:shd w:val="clear" w:color="auto" w:fill="CCECFC"/>
          </w:tcPr>
          <w:p>
            <w:pPr/>
          </w:p>
        </w:tc>
        <w:tc>
          <w:tcPr>
            <w:tcW w:w="885" w:type="dxa"/>
            <w:tcBorders>
              <w:bottom w:val="single" w:sz="4" w:space="0" w:color="231F20"/>
            </w:tcBorders>
            <w:shd w:val="clear" w:color="auto" w:fill="CCECFC"/>
          </w:tcPr>
          <w:p>
            <w:pPr/>
          </w:p>
        </w:tc>
        <w:tc>
          <w:tcPr>
            <w:tcW w:w="395" w:type="dxa"/>
            <w:tcBorders>
              <w:bottom w:val="single" w:sz="4" w:space="0" w:color="231F20"/>
            </w:tcBorders>
            <w:shd w:val="clear" w:color="auto" w:fill="CCECFC"/>
          </w:tcPr>
          <w:p>
            <w:pPr>
              <w:pStyle w:val="TableParagraph"/>
              <w:spacing w:before="41"/>
              <w:ind w:right="49"/>
              <w:jc w:val="right"/>
              <w:rPr>
                <w:sz w:val="20"/>
              </w:rPr>
            </w:pPr>
            <w:r>
              <w:rPr>
                <w:color w:val="231F20"/>
                <w:sz w:val="20"/>
              </w:rPr>
              <w:t>—</w:t>
            </w:r>
          </w:p>
        </w:tc>
      </w:tr>
    </w:tbl>
    <w:p>
      <w:pPr>
        <w:tabs>
          <w:tab w:pos="4979" w:val="left" w:leader="none"/>
          <w:tab w:pos="5909" w:val="left" w:leader="none"/>
          <w:tab w:pos="6459" w:val="left" w:leader="none"/>
          <w:tab w:pos="7389" w:val="left" w:leader="none"/>
          <w:tab w:pos="7939" w:val="left" w:leader="none"/>
          <w:tab w:pos="9169" w:val="right" w:leader="none"/>
        </w:tabs>
        <w:spacing w:before="36"/>
        <w:ind w:left="300" w:right="0" w:firstLine="0"/>
        <w:jc w:val="left"/>
        <w:rPr>
          <w:sz w:val="20"/>
        </w:rPr>
      </w:pPr>
      <w:r>
        <w:rPr/>
        <w:pict>
          <v:group style="position:absolute;margin-left:312.5pt;margin-top:14.135938pt;width:65pt;height:3pt;mso-position-horizontal-relative:page;mso-position-vertical-relative:paragraph;z-index:7504" coordorigin="6250,283" coordsize="1300,60">
            <v:line style="position:absolute" from="6260,293" to="7540,293" stroked="true" strokeweight="1pt" strokecolor="#231f20">
              <v:stroke dashstyle="solid"/>
            </v:line>
            <v:line style="position:absolute" from="6260,333" to="7540,333" stroked="true" strokeweight="1pt" strokecolor="#231f20">
              <v:stroke dashstyle="solid"/>
            </v:line>
            <w10:wrap type="none"/>
          </v:group>
        </w:pict>
      </w:r>
      <w:r>
        <w:rPr/>
        <w:pict>
          <v:group style="position:absolute;margin-left:386.75pt;margin-top:14.635938pt;width:64.5pt;height:2.5pt;mso-position-horizontal-relative:page;mso-position-vertical-relative:paragraph;z-index:7528" coordorigin="7735,293" coordsize="1290,50">
            <v:line style="position:absolute" from="7740,298" to="9020,298" stroked="true" strokeweight=".5pt" strokecolor="#231f20">
              <v:stroke dashstyle="solid"/>
            </v:line>
            <v:line style="position:absolute" from="7740,338" to="9020,338" stroked="true" strokeweight=".5pt" strokecolor="#231f20">
              <v:stroke dashstyle="solid"/>
            </v:line>
            <w10:wrap type="none"/>
          </v:group>
        </w:pict>
      </w:r>
      <w:r>
        <w:rPr/>
        <w:pict>
          <v:group style="position:absolute;margin-left:460.75pt;margin-top:14.635938pt;width:64.5pt;height:2.5pt;mso-position-horizontal-relative:page;mso-position-vertical-relative:paragraph;z-index:7552" coordorigin="9215,293" coordsize="1290,50">
            <v:line style="position:absolute" from="9220,298" to="10500,298" stroked="true" strokeweight=".5pt" strokecolor="#231f20">
              <v:stroke dashstyle="solid"/>
            </v:line>
            <v:line style="position:absolute" from="9220,338" to="10500,338" stroked="true" strokeweight=".5pt" strokecolor="#231f20">
              <v:stroke dashstyle="solid"/>
            </v:line>
            <w10:wrap type="none"/>
          </v:group>
        </w:pict>
      </w:r>
      <w:r>
        <w:rPr>
          <w:color w:val="231F20"/>
          <w:sz w:val="20"/>
        </w:rPr>
        <w:t>Total income</w:t>
      </w:r>
      <w:r>
        <w:rPr>
          <w:color w:val="231F20"/>
          <w:spacing w:val="1"/>
          <w:sz w:val="20"/>
        </w:rPr>
        <w:t> </w:t>
      </w:r>
      <w:r>
        <w:rPr>
          <w:color w:val="231F20"/>
          <w:sz w:val="20"/>
        </w:rPr>
        <w:t>tax provision</w:t>
        <w:tab/>
        <w:t>$</w:t>
        <w:tab/>
        <w:t>680</w:t>
        <w:tab/>
        <w:t>$</w:t>
        <w:tab/>
        <w:t>455</w:t>
        <w:tab/>
        <w:t>$</w:t>
        <w:tab/>
        <w:t>264</w:t>
      </w:r>
    </w:p>
    <w:p>
      <w:pPr>
        <w:pStyle w:val="BodyText"/>
        <w:spacing w:line="247" w:lineRule="auto" w:before="371"/>
        <w:ind w:left="100" w:right="97" w:firstLine="720"/>
      </w:pPr>
      <w:r>
        <w:rPr>
          <w:color w:val="231F20"/>
        </w:rPr>
        <w:t>During 2014, the Company continued to maintain and did not adjust, a $5 million liability for unrecognized tax benefits, the majority of which related to AirTran’s tax positions in prior years.</w:t>
      </w:r>
    </w:p>
    <w:p>
      <w:pPr>
        <w:pStyle w:val="BodyText"/>
        <w:spacing w:line="247" w:lineRule="auto" w:before="239"/>
        <w:ind w:left="100" w:right="97" w:firstLine="720"/>
      </w:pPr>
      <w:r>
        <w:rPr>
          <w:color w:val="231F20"/>
        </w:rPr>
        <w:t>The only periods subject to examination for the Company’s federal tax return are the 2013 and 2014 tax years.</w:t>
      </w:r>
    </w:p>
    <w:p>
      <w:pPr>
        <w:spacing w:after="0" w:line="247" w:lineRule="auto"/>
        <w:sectPr>
          <w:pgSz w:w="11880" w:h="15480"/>
          <w:pgMar w:header="0" w:footer="1240" w:top="1240" w:bottom="1420" w:left="1280" w:right="1260"/>
        </w:sectPr>
      </w:pPr>
    </w:p>
    <w:p>
      <w:pPr>
        <w:pStyle w:val="Heading1"/>
        <w:ind w:left="1905"/>
      </w:pPr>
      <w:r>
        <w:rPr>
          <w:color w:val="231F20"/>
        </w:rPr>
        <w:t>Report of Independent Registered Public Accounting Firm</w:t>
      </w:r>
    </w:p>
    <w:p>
      <w:pPr>
        <w:pStyle w:val="BodyText"/>
        <w:spacing w:before="4"/>
        <w:rPr>
          <w:b/>
          <w:sz w:val="21"/>
        </w:rPr>
      </w:pPr>
    </w:p>
    <w:p>
      <w:pPr>
        <w:spacing w:line="247" w:lineRule="auto" w:before="1"/>
        <w:ind w:left="100" w:right="5327" w:firstLine="0"/>
        <w:jc w:val="left"/>
        <w:rPr>
          <w:b/>
          <w:sz w:val="22"/>
        </w:rPr>
      </w:pPr>
      <w:r>
        <w:rPr>
          <w:b/>
          <w:color w:val="231F20"/>
          <w:sz w:val="22"/>
        </w:rPr>
        <w:t>The Board of Directors and Shareholders Southwest Airlines Co.</w:t>
      </w:r>
    </w:p>
    <w:p>
      <w:pPr>
        <w:pStyle w:val="BodyText"/>
        <w:spacing w:before="9"/>
        <w:rPr>
          <w:b/>
          <w:sz w:val="20"/>
        </w:rPr>
      </w:pPr>
    </w:p>
    <w:p>
      <w:pPr>
        <w:pStyle w:val="BodyText"/>
        <w:spacing w:line="247" w:lineRule="auto"/>
        <w:ind w:left="100" w:right="117" w:firstLine="720"/>
        <w:jc w:val="both"/>
      </w:pPr>
      <w:r>
        <w:rPr>
          <w:color w:val="231F20"/>
        </w:rPr>
        <w:t>We have audited the accompanying consolidated balance sheet of Southwest Airlines Co. as of December 31, 2014 and 2013, and the related consolidated statements of income, comprehensive income, stockholders’ equity, and cash flows for each of the three years in the  period  ended  December 31, 2014. These financial statements are the responsibility of the Company’s management. Our responsibility is to express an opinion on these financial statements based on our</w:t>
      </w:r>
      <w:r>
        <w:rPr>
          <w:color w:val="231F20"/>
          <w:spacing w:val="-1"/>
        </w:rPr>
        <w:t> </w:t>
      </w:r>
      <w:r>
        <w:rPr>
          <w:color w:val="231F20"/>
        </w:rPr>
        <w:t>audits.</w:t>
      </w:r>
    </w:p>
    <w:p>
      <w:pPr>
        <w:pStyle w:val="BodyText"/>
        <w:spacing w:before="8"/>
        <w:rPr>
          <w:sz w:val="20"/>
        </w:rPr>
      </w:pPr>
    </w:p>
    <w:p>
      <w:pPr>
        <w:pStyle w:val="BodyText"/>
        <w:spacing w:line="247" w:lineRule="auto" w:before="1"/>
        <w:ind w:left="100" w:right="119" w:firstLine="720"/>
        <w:jc w:val="both"/>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w:t>
      </w:r>
      <w:r>
        <w:rPr>
          <w:color w:val="231F20"/>
          <w:spacing w:val="-2"/>
        </w:rPr>
        <w:t> </w:t>
      </w:r>
      <w:r>
        <w:rPr>
          <w:color w:val="231F20"/>
        </w:rPr>
        <w:t>opinion.</w:t>
      </w:r>
    </w:p>
    <w:p>
      <w:pPr>
        <w:pStyle w:val="BodyText"/>
        <w:spacing w:before="9"/>
        <w:rPr>
          <w:sz w:val="20"/>
        </w:rPr>
      </w:pPr>
    </w:p>
    <w:p>
      <w:pPr>
        <w:pStyle w:val="BodyText"/>
        <w:spacing w:line="247" w:lineRule="auto" w:before="1"/>
        <w:ind w:left="100" w:right="118" w:firstLine="720"/>
        <w:jc w:val="both"/>
      </w:pPr>
      <w:r>
        <w:rPr>
          <w:color w:val="231F20"/>
        </w:rPr>
        <w:t>In our opinion, the financial statements referred to above present fairly, in all material respects, the consolidated financial position of Southwest Airlines Co. at December 31, 2014 and 2013, and the consolidated results of its operations and its cash flows for each of the three years in the period ended December 31, 2014, in conformity with U.S. generally accepted accounting principles.</w:t>
      </w:r>
    </w:p>
    <w:p>
      <w:pPr>
        <w:pStyle w:val="BodyText"/>
        <w:spacing w:before="9"/>
        <w:rPr>
          <w:sz w:val="20"/>
        </w:rPr>
      </w:pPr>
    </w:p>
    <w:p>
      <w:pPr>
        <w:pStyle w:val="BodyText"/>
        <w:spacing w:line="247" w:lineRule="auto" w:before="1"/>
        <w:ind w:left="100" w:right="118" w:firstLine="720"/>
        <w:jc w:val="both"/>
      </w:pPr>
      <w:r>
        <w:rPr>
          <w:color w:val="231F20"/>
        </w:rPr>
        <w:t>We also have audited, in accordance with the standards of the Public Company Accounting Oversight Board (United States), Southwest Airlines Co.’s internal control over financial reporting as of December 31, 2014, based on criteria established in Internal Control-Integrated Framework issued  by the Committee of Sponsoring Organizations of the Treadway Commission (2013 Framework) and our report dated February 6, 2015 expressed an unqualified opinion</w:t>
      </w:r>
      <w:r>
        <w:rPr>
          <w:color w:val="231F20"/>
          <w:spacing w:val="-4"/>
        </w:rPr>
        <w:t> </w:t>
      </w:r>
      <w:r>
        <w:rPr>
          <w:color w:val="231F20"/>
        </w:rPr>
        <w:t>thereon.</w:t>
      </w:r>
    </w:p>
    <w:p>
      <w:pPr>
        <w:pStyle w:val="BodyText"/>
        <w:spacing w:before="9"/>
        <w:rPr>
          <w:sz w:val="20"/>
        </w:rPr>
      </w:pPr>
    </w:p>
    <w:p>
      <w:pPr>
        <w:pStyle w:val="BodyText"/>
        <w:spacing w:before="1"/>
        <w:ind w:right="116"/>
        <w:jc w:val="right"/>
      </w:pPr>
      <w:r>
        <w:rPr>
          <w:color w:val="231F20"/>
        </w:rPr>
        <w:t>/s/ Ernst &amp; Young LLP</w:t>
      </w:r>
    </w:p>
    <w:p>
      <w:pPr>
        <w:pStyle w:val="BodyText"/>
        <w:spacing w:before="5"/>
        <w:rPr>
          <w:sz w:val="21"/>
        </w:rPr>
      </w:pPr>
    </w:p>
    <w:p>
      <w:pPr>
        <w:pStyle w:val="BodyText"/>
        <w:spacing w:line="247" w:lineRule="auto"/>
        <w:ind w:left="7711" w:right="117" w:firstLine="310"/>
        <w:jc w:val="right"/>
      </w:pPr>
      <w:r>
        <w:rPr>
          <w:color w:val="231F20"/>
        </w:rPr>
        <w:t>Dallas, Texas</w:t>
      </w:r>
      <w:r>
        <w:rPr>
          <w:color w:val="231F20"/>
          <w:w w:val="100"/>
        </w:rPr>
        <w:t> </w:t>
      </w:r>
      <w:r>
        <w:rPr>
          <w:color w:val="231F20"/>
        </w:rPr>
        <w:t>February 6, 2015</w:t>
      </w:r>
    </w:p>
    <w:p>
      <w:pPr>
        <w:spacing w:after="0" w:line="247" w:lineRule="auto"/>
        <w:jc w:val="right"/>
        <w:sectPr>
          <w:pgSz w:w="11880" w:h="15480"/>
          <w:pgMar w:header="0" w:footer="1240" w:top="1240" w:bottom="1420" w:left="1280" w:right="1260"/>
        </w:sectPr>
      </w:pPr>
    </w:p>
    <w:p>
      <w:pPr>
        <w:pStyle w:val="Heading1"/>
        <w:ind w:left="1905"/>
      </w:pPr>
      <w:r>
        <w:rPr>
          <w:color w:val="231F20"/>
        </w:rPr>
        <w:t>Report of Independent Registered Public Accounting Firm</w:t>
      </w:r>
    </w:p>
    <w:p>
      <w:pPr>
        <w:spacing w:line="247" w:lineRule="auto" w:before="163"/>
        <w:ind w:left="100" w:right="5327" w:firstLine="0"/>
        <w:jc w:val="left"/>
        <w:rPr>
          <w:b/>
          <w:sz w:val="22"/>
        </w:rPr>
      </w:pPr>
      <w:r>
        <w:rPr>
          <w:b/>
          <w:color w:val="231F20"/>
          <w:sz w:val="22"/>
        </w:rPr>
        <w:t>The Board of Directors and Shareholders Southwest Airlines Co.</w:t>
      </w:r>
    </w:p>
    <w:p>
      <w:pPr>
        <w:pStyle w:val="BodyText"/>
        <w:spacing w:line="250" w:lineRule="exact" w:before="151"/>
        <w:ind w:left="100" w:right="117" w:firstLine="720"/>
        <w:jc w:val="both"/>
      </w:pPr>
      <w:r>
        <w:rPr>
          <w:color w:val="231F20"/>
        </w:rPr>
        <w:t>We have audited Southwest Airlines Co.’s internal control over financial reporting as of December 31, 2014, based on criteria established in Internal Control—Integrated Framework issued by the Committee of Sponsoring Organizations of the Treadway Commission (2013 Framework)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w:t>
      </w:r>
    </w:p>
    <w:p>
      <w:pPr>
        <w:pStyle w:val="BodyText"/>
        <w:spacing w:line="250" w:lineRule="exact" w:before="156"/>
        <w:ind w:left="100" w:right="117" w:firstLine="720"/>
        <w:jc w:val="both"/>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line="250" w:lineRule="exact" w:before="156"/>
        <w:ind w:left="100" w:right="117" w:firstLine="720"/>
        <w:jc w:val="both"/>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w:t>
      </w:r>
    </w:p>
    <w:p>
      <w:pPr>
        <w:pStyle w:val="BodyText"/>
        <w:spacing w:line="250" w:lineRule="exact"/>
        <w:ind w:left="100" w:right="117"/>
        <w:jc w:val="both"/>
      </w:pPr>
      <w:r>
        <w:rPr>
          <w:color w:val="231F20"/>
        </w:rPr>
        <w:t>(1)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w:t>
      </w:r>
    </w:p>
    <w:p>
      <w:pPr>
        <w:pStyle w:val="ListParagraph"/>
        <w:numPr>
          <w:ilvl w:val="0"/>
          <w:numId w:val="22"/>
        </w:numPr>
        <w:tabs>
          <w:tab w:pos="420" w:val="left" w:leader="none"/>
        </w:tabs>
        <w:spacing w:line="250" w:lineRule="exact" w:before="0" w:after="0"/>
        <w:ind w:left="100" w:right="118" w:firstLine="0"/>
        <w:jc w:val="both"/>
        <w:rPr>
          <w:sz w:val="22"/>
        </w:rPr>
      </w:pPr>
      <w:r>
        <w:rPr>
          <w:color w:val="231F20"/>
          <w:sz w:val="22"/>
        </w:rPr>
        <w:t>provide reasonable assurance regarding prevention or timely detection of unauthorized acquisition, use or disposition of the company’s assets that could have a material effect on the financial statements.</w:t>
      </w:r>
    </w:p>
    <w:p>
      <w:pPr>
        <w:pStyle w:val="BodyText"/>
        <w:spacing w:line="250" w:lineRule="exact" w:before="156"/>
        <w:ind w:left="100" w:right="117" w:firstLine="720"/>
        <w:jc w:val="both"/>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line="250" w:lineRule="exact" w:before="156"/>
        <w:ind w:left="100" w:right="117" w:firstLine="720"/>
        <w:jc w:val="both"/>
      </w:pPr>
      <w:r>
        <w:rPr>
          <w:color w:val="231F20"/>
        </w:rPr>
        <w:t>In our opinion, Southwest Airlines Co. maintained, in all material respects, effective internal control over financial reporting as of December 31, 2014, based on the COSO criteria.</w:t>
      </w:r>
    </w:p>
    <w:p>
      <w:pPr>
        <w:pStyle w:val="BodyText"/>
        <w:spacing w:line="250" w:lineRule="exact" w:before="156"/>
        <w:ind w:left="100" w:right="117" w:firstLine="720"/>
        <w:jc w:val="both"/>
      </w:pPr>
      <w:r>
        <w:rPr>
          <w:color w:val="231F20"/>
        </w:rPr>
        <w:t>We also have audited, in accordance with the standards of the Public Company Accounting Oversight Board (United States), the consolidated balance sheet of Southwest Airlines Co. as of December 31, 2014 and 2013, and the related consolidated statements of income, comprehensive income, stockholders’ equity, and cash flows for each of the three years in the  period  ended  December 31, 2014 and our report dated February 6, 2015 expressed an unqualified opinion</w:t>
      </w:r>
      <w:r>
        <w:rPr>
          <w:color w:val="231F20"/>
          <w:spacing w:val="-3"/>
        </w:rPr>
        <w:t> </w:t>
      </w:r>
      <w:r>
        <w:rPr>
          <w:color w:val="231F20"/>
        </w:rPr>
        <w:t>thereon.</w:t>
      </w:r>
    </w:p>
    <w:p>
      <w:pPr>
        <w:pStyle w:val="BodyText"/>
        <w:spacing w:before="161"/>
        <w:ind w:right="116"/>
        <w:jc w:val="right"/>
      </w:pPr>
      <w:r>
        <w:rPr>
          <w:color w:val="231F20"/>
        </w:rPr>
        <w:t>/s/ Ernst &amp; Young LLP</w:t>
      </w:r>
    </w:p>
    <w:p>
      <w:pPr>
        <w:pStyle w:val="BodyText"/>
        <w:spacing w:line="247" w:lineRule="auto" w:before="163"/>
        <w:ind w:left="7711" w:right="117" w:firstLine="310"/>
        <w:jc w:val="right"/>
      </w:pPr>
      <w:r>
        <w:rPr>
          <w:color w:val="231F20"/>
        </w:rPr>
        <w:t>Dallas, Texas</w:t>
      </w:r>
      <w:r>
        <w:rPr>
          <w:color w:val="231F20"/>
          <w:w w:val="100"/>
        </w:rPr>
        <w:t> </w:t>
      </w:r>
      <w:r>
        <w:rPr>
          <w:color w:val="231F20"/>
        </w:rPr>
        <w:t>February 6, 2015</w:t>
      </w:r>
    </w:p>
    <w:p>
      <w:pPr>
        <w:spacing w:after="0" w:line="247" w:lineRule="auto"/>
        <w:jc w:val="right"/>
        <w:sectPr>
          <w:pgSz w:w="11880" w:h="15480"/>
          <w:pgMar w:header="0" w:footer="1240" w:top="1240" w:bottom="1420" w:left="1280" w:right="1260"/>
        </w:sectPr>
      </w:pPr>
    </w:p>
    <w:p>
      <w:pPr>
        <w:pStyle w:val="Heading1"/>
        <w:ind w:left="216" w:right="217"/>
        <w:jc w:val="center"/>
      </w:pPr>
      <w:r>
        <w:rPr>
          <w:color w:val="231F20"/>
        </w:rPr>
        <w:t>QUARTERLY FINANCIAL DATA</w:t>
      </w:r>
    </w:p>
    <w:p>
      <w:pPr>
        <w:spacing w:before="66"/>
        <w:ind w:left="2" w:right="0" w:firstLine="0"/>
        <w:jc w:val="center"/>
        <w:rPr>
          <w:b/>
          <w:sz w:val="22"/>
        </w:rPr>
      </w:pPr>
      <w:r>
        <w:rPr>
          <w:b/>
          <w:color w:val="231F20"/>
          <w:sz w:val="22"/>
        </w:rPr>
        <w:t>(unaudited)</w:t>
      </w:r>
    </w:p>
    <w:p>
      <w:pPr>
        <w:pStyle w:val="BodyText"/>
        <w:spacing w:before="2"/>
        <w:rPr>
          <w:b/>
          <w:sz w:val="9"/>
        </w:rPr>
      </w:pPr>
    </w:p>
    <w:p>
      <w:pPr>
        <w:spacing w:before="100" w:after="27"/>
        <w:ind w:left="4200" w:right="0" w:firstLine="0"/>
        <w:jc w:val="center"/>
        <w:rPr>
          <w:b/>
          <w:sz w:val="20"/>
        </w:rPr>
      </w:pPr>
      <w:r>
        <w:rPr/>
        <w:pict>
          <v:line style="position:absolute;mso-position-horizontal-relative:page;mso-position-vertical-relative:paragraph;z-index:-402256" from="69pt,29.835938pt" to="269pt,29.835938pt" stroked="true" strokeweight="1pt" strokecolor="#231f20">
            <v:stroke dashstyle="solid"/>
            <w10:wrap type="none"/>
          </v:line>
        </w:pict>
      </w:r>
      <w:r>
        <w:rPr>
          <w:b/>
          <w:color w:val="231F20"/>
          <w:sz w:val="20"/>
        </w:rPr>
        <w:t>Three months ended</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200"/>
        <w:gridCol w:w="1080"/>
        <w:gridCol w:w="200"/>
        <w:gridCol w:w="1080"/>
        <w:gridCol w:w="200"/>
        <w:gridCol w:w="1080"/>
        <w:gridCol w:w="200"/>
        <w:gridCol w:w="1080"/>
      </w:tblGrid>
      <w:tr>
        <w:trPr>
          <w:trHeight w:val="240" w:hRule="exact"/>
        </w:trPr>
        <w:tc>
          <w:tcPr>
            <w:tcW w:w="4000" w:type="dxa"/>
          </w:tcPr>
          <w:p>
            <w:pPr>
              <w:pStyle w:val="TableParagraph"/>
              <w:spacing w:before="20"/>
              <w:ind w:left="40"/>
              <w:rPr>
                <w:b/>
                <w:sz w:val="16"/>
              </w:rPr>
            </w:pPr>
            <w:r>
              <w:rPr>
                <w:b/>
                <w:color w:val="231F20"/>
                <w:sz w:val="16"/>
              </w:rPr>
              <w:t>(in millions except per share amounts)</w:t>
            </w:r>
          </w:p>
        </w:tc>
        <w:tc>
          <w:tcPr>
            <w:tcW w:w="200" w:type="dxa"/>
          </w:tcPr>
          <w:p>
            <w:pPr/>
          </w:p>
        </w:tc>
        <w:tc>
          <w:tcPr>
            <w:tcW w:w="1080" w:type="dxa"/>
            <w:tcBorders>
              <w:top w:val="single" w:sz="8" w:space="0" w:color="231F20"/>
              <w:bottom w:val="single" w:sz="8" w:space="0" w:color="231F20"/>
            </w:tcBorders>
          </w:tcPr>
          <w:p>
            <w:pPr>
              <w:pStyle w:val="TableParagraph"/>
              <w:spacing w:before="10"/>
              <w:ind w:left="208"/>
              <w:rPr>
                <w:b/>
                <w:sz w:val="16"/>
              </w:rPr>
            </w:pPr>
            <w:r>
              <w:rPr>
                <w:b/>
                <w:color w:val="231F20"/>
                <w:sz w:val="16"/>
              </w:rPr>
              <w:t>March 31</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76"/>
              <w:rPr>
                <w:b/>
                <w:sz w:val="16"/>
              </w:rPr>
            </w:pPr>
            <w:r>
              <w:rPr>
                <w:b/>
                <w:color w:val="231F20"/>
                <w:sz w:val="16"/>
              </w:rPr>
              <w:t>June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68"/>
              <w:rPr>
                <w:b/>
                <w:sz w:val="16"/>
              </w:rPr>
            </w:pPr>
            <w:r>
              <w:rPr>
                <w:b/>
                <w:color w:val="231F20"/>
                <w:sz w:val="16"/>
              </w:rPr>
              <w:t>Sept.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91"/>
              <w:rPr>
                <w:b/>
                <w:sz w:val="16"/>
              </w:rPr>
            </w:pPr>
            <w:r>
              <w:rPr>
                <w:b/>
                <w:color w:val="231F20"/>
                <w:sz w:val="16"/>
              </w:rPr>
              <w:t>Dec. 31</w:t>
            </w:r>
          </w:p>
        </w:tc>
      </w:tr>
      <w:tr>
        <w:trPr>
          <w:trHeight w:val="310" w:hRule="exact"/>
        </w:trPr>
        <w:tc>
          <w:tcPr>
            <w:tcW w:w="4000" w:type="dxa"/>
            <w:shd w:val="clear" w:color="auto" w:fill="CCECFC"/>
          </w:tcPr>
          <w:p>
            <w:pPr>
              <w:pStyle w:val="TableParagraph"/>
              <w:ind w:left="50"/>
              <w:rPr>
                <w:b/>
                <w:sz w:val="20"/>
              </w:rPr>
            </w:pPr>
            <w:r>
              <w:rPr>
                <w:b/>
                <w:color w:val="231F20"/>
                <w:sz w:val="20"/>
              </w:rPr>
              <w:t>2014</w:t>
            </w:r>
          </w:p>
        </w:tc>
        <w:tc>
          <w:tcPr>
            <w:tcW w:w="200" w:type="dxa"/>
            <w:shd w:val="clear" w:color="auto" w:fill="CCECFC"/>
          </w:tcPr>
          <w:p>
            <w:pPr/>
          </w:p>
        </w:tc>
        <w:tc>
          <w:tcPr>
            <w:tcW w:w="1080" w:type="dxa"/>
            <w:tcBorders>
              <w:top w:val="single" w:sz="8" w:space="0" w:color="231F20"/>
            </w:tcBorders>
            <w:shd w:val="clear" w:color="auto" w:fill="CCECFC"/>
          </w:tcPr>
          <w:p>
            <w:pPr/>
          </w:p>
        </w:tc>
        <w:tc>
          <w:tcPr>
            <w:tcW w:w="200" w:type="dxa"/>
            <w:shd w:val="clear" w:color="auto" w:fill="CCECFC"/>
          </w:tcPr>
          <w:p>
            <w:pPr/>
          </w:p>
        </w:tc>
        <w:tc>
          <w:tcPr>
            <w:tcW w:w="1080" w:type="dxa"/>
            <w:tcBorders>
              <w:top w:val="single" w:sz="8" w:space="0" w:color="231F20"/>
            </w:tcBorders>
            <w:shd w:val="clear" w:color="auto" w:fill="CCECFC"/>
          </w:tcPr>
          <w:p>
            <w:pPr/>
          </w:p>
        </w:tc>
        <w:tc>
          <w:tcPr>
            <w:tcW w:w="200" w:type="dxa"/>
            <w:shd w:val="clear" w:color="auto" w:fill="CCECFC"/>
          </w:tcPr>
          <w:p>
            <w:pPr/>
          </w:p>
        </w:tc>
        <w:tc>
          <w:tcPr>
            <w:tcW w:w="1080" w:type="dxa"/>
            <w:tcBorders>
              <w:top w:val="single" w:sz="8" w:space="0" w:color="231F20"/>
            </w:tcBorders>
            <w:shd w:val="clear" w:color="auto" w:fill="CCECFC"/>
          </w:tcPr>
          <w:p>
            <w:pPr/>
          </w:p>
        </w:tc>
        <w:tc>
          <w:tcPr>
            <w:tcW w:w="200" w:type="dxa"/>
            <w:shd w:val="clear" w:color="auto" w:fill="CCECFC"/>
          </w:tcPr>
          <w:p>
            <w:pPr/>
          </w:p>
        </w:tc>
        <w:tc>
          <w:tcPr>
            <w:tcW w:w="1080" w:type="dxa"/>
            <w:tcBorders>
              <w:top w:val="single" w:sz="8" w:space="0" w:color="231F20"/>
            </w:tcBorders>
            <w:shd w:val="clear" w:color="auto" w:fill="CCECFC"/>
          </w:tcPr>
          <w:p>
            <w:pPr/>
          </w:p>
        </w:tc>
      </w:tr>
      <w:tr>
        <w:trPr>
          <w:trHeight w:val="300" w:hRule="exact"/>
        </w:trPr>
        <w:tc>
          <w:tcPr>
            <w:tcW w:w="4000" w:type="dxa"/>
          </w:tcPr>
          <w:p>
            <w:pPr>
              <w:pStyle w:val="TableParagraph"/>
              <w:ind w:left="400"/>
              <w:rPr>
                <w:sz w:val="20"/>
              </w:rPr>
            </w:pPr>
            <w:r>
              <w:rPr>
                <w:color w:val="231F20"/>
                <w:sz w:val="20"/>
              </w:rPr>
              <w:t>Operating revenues</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4,166</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5,011</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4,800</w:t>
            </w:r>
          </w:p>
        </w:tc>
        <w:tc>
          <w:tcPr>
            <w:tcW w:w="200" w:type="dxa"/>
          </w:tcPr>
          <w:p>
            <w:pPr/>
          </w:p>
        </w:tc>
        <w:tc>
          <w:tcPr>
            <w:tcW w:w="1080" w:type="dxa"/>
          </w:tcPr>
          <w:p>
            <w:pPr>
              <w:pStyle w:val="TableParagraph"/>
              <w:tabs>
                <w:tab w:pos="356" w:val="left" w:leader="none"/>
              </w:tabs>
              <w:jc w:val="right"/>
              <w:rPr>
                <w:sz w:val="20"/>
              </w:rPr>
            </w:pPr>
            <w:r>
              <w:rPr>
                <w:color w:val="231F20"/>
                <w:sz w:val="20"/>
              </w:rPr>
              <w:t>$</w:t>
              <w:tab/>
              <w:t>4,628 (a)</w:t>
            </w:r>
          </w:p>
        </w:tc>
      </w:tr>
      <w:tr>
        <w:trPr>
          <w:trHeight w:val="300" w:hRule="exact"/>
        </w:trPr>
        <w:tc>
          <w:tcPr>
            <w:tcW w:w="4000" w:type="dxa"/>
            <w:shd w:val="clear" w:color="auto" w:fill="CCECFC"/>
          </w:tcPr>
          <w:p>
            <w:pPr>
              <w:pStyle w:val="TableParagraph"/>
              <w:ind w:left="400"/>
              <w:rPr>
                <w:sz w:val="20"/>
              </w:rPr>
            </w:pPr>
            <w:r>
              <w:rPr>
                <w:color w:val="231F20"/>
                <w:sz w:val="20"/>
              </w:rPr>
              <w:t>Operating income</w:t>
            </w:r>
          </w:p>
        </w:tc>
        <w:tc>
          <w:tcPr>
            <w:tcW w:w="200" w:type="dxa"/>
            <w:shd w:val="clear" w:color="auto" w:fill="CCECFC"/>
          </w:tcPr>
          <w:p>
            <w:pPr/>
          </w:p>
        </w:tc>
        <w:tc>
          <w:tcPr>
            <w:tcW w:w="1080" w:type="dxa"/>
            <w:shd w:val="clear" w:color="auto" w:fill="CCECFC"/>
          </w:tcPr>
          <w:p>
            <w:pPr>
              <w:pStyle w:val="TableParagraph"/>
              <w:ind w:right="64"/>
              <w:jc w:val="right"/>
              <w:rPr>
                <w:sz w:val="20"/>
              </w:rPr>
            </w:pPr>
            <w:r>
              <w:rPr>
                <w:color w:val="231F20"/>
                <w:sz w:val="20"/>
              </w:rPr>
              <w:t>215</w:t>
            </w:r>
          </w:p>
        </w:tc>
        <w:tc>
          <w:tcPr>
            <w:tcW w:w="200" w:type="dxa"/>
            <w:shd w:val="clear" w:color="auto" w:fill="CCECFC"/>
          </w:tcPr>
          <w:p>
            <w:pPr/>
          </w:p>
        </w:tc>
        <w:tc>
          <w:tcPr>
            <w:tcW w:w="1080" w:type="dxa"/>
            <w:shd w:val="clear" w:color="auto" w:fill="CCECFC"/>
          </w:tcPr>
          <w:p>
            <w:pPr>
              <w:pStyle w:val="TableParagraph"/>
              <w:ind w:right="64"/>
              <w:jc w:val="right"/>
              <w:rPr>
                <w:sz w:val="20"/>
              </w:rPr>
            </w:pPr>
            <w:r>
              <w:rPr>
                <w:color w:val="231F20"/>
                <w:sz w:val="20"/>
              </w:rPr>
              <w:t>775</w:t>
            </w:r>
          </w:p>
        </w:tc>
        <w:tc>
          <w:tcPr>
            <w:tcW w:w="200" w:type="dxa"/>
            <w:shd w:val="clear" w:color="auto" w:fill="CCECFC"/>
          </w:tcPr>
          <w:p>
            <w:pPr/>
          </w:p>
        </w:tc>
        <w:tc>
          <w:tcPr>
            <w:tcW w:w="1080" w:type="dxa"/>
            <w:shd w:val="clear" w:color="auto" w:fill="CCECFC"/>
          </w:tcPr>
          <w:p>
            <w:pPr>
              <w:pStyle w:val="TableParagraph"/>
              <w:ind w:right="64"/>
              <w:jc w:val="right"/>
              <w:rPr>
                <w:sz w:val="20"/>
              </w:rPr>
            </w:pPr>
            <w:r>
              <w:rPr>
                <w:color w:val="231F20"/>
                <w:sz w:val="20"/>
              </w:rPr>
              <w:t>614</w:t>
            </w:r>
          </w:p>
        </w:tc>
        <w:tc>
          <w:tcPr>
            <w:tcW w:w="200" w:type="dxa"/>
            <w:shd w:val="clear" w:color="auto" w:fill="CCECFC"/>
          </w:tcPr>
          <w:p>
            <w:pPr/>
          </w:p>
        </w:tc>
        <w:tc>
          <w:tcPr>
            <w:tcW w:w="1080" w:type="dxa"/>
            <w:shd w:val="clear" w:color="auto" w:fill="CCECFC"/>
          </w:tcPr>
          <w:p>
            <w:pPr>
              <w:pStyle w:val="TableParagraph"/>
              <w:ind w:left="530"/>
              <w:rPr>
                <w:sz w:val="20"/>
              </w:rPr>
            </w:pPr>
            <w:r>
              <w:rPr>
                <w:color w:val="231F20"/>
                <w:sz w:val="20"/>
              </w:rPr>
              <w:t>621</w:t>
            </w:r>
          </w:p>
        </w:tc>
      </w:tr>
      <w:tr>
        <w:trPr>
          <w:trHeight w:val="300" w:hRule="exact"/>
        </w:trPr>
        <w:tc>
          <w:tcPr>
            <w:tcW w:w="4000" w:type="dxa"/>
          </w:tcPr>
          <w:p>
            <w:pPr>
              <w:pStyle w:val="TableParagraph"/>
              <w:ind w:left="400"/>
              <w:rPr>
                <w:sz w:val="20"/>
              </w:rPr>
            </w:pPr>
            <w:r>
              <w:rPr>
                <w:color w:val="231F20"/>
                <w:sz w:val="20"/>
              </w:rPr>
              <w:t>Income before income taxes</w:t>
            </w:r>
          </w:p>
        </w:tc>
        <w:tc>
          <w:tcPr>
            <w:tcW w:w="200" w:type="dxa"/>
          </w:tcPr>
          <w:p>
            <w:pPr/>
          </w:p>
        </w:tc>
        <w:tc>
          <w:tcPr>
            <w:tcW w:w="1080" w:type="dxa"/>
          </w:tcPr>
          <w:p>
            <w:pPr>
              <w:pStyle w:val="TableParagraph"/>
              <w:ind w:right="66"/>
              <w:jc w:val="right"/>
              <w:rPr>
                <w:sz w:val="20"/>
              </w:rPr>
            </w:pPr>
            <w:r>
              <w:rPr>
                <w:color w:val="231F20"/>
                <w:sz w:val="20"/>
              </w:rPr>
              <w:t>244</w:t>
            </w:r>
          </w:p>
        </w:tc>
        <w:tc>
          <w:tcPr>
            <w:tcW w:w="200" w:type="dxa"/>
          </w:tcPr>
          <w:p>
            <w:pPr/>
          </w:p>
        </w:tc>
        <w:tc>
          <w:tcPr>
            <w:tcW w:w="1080" w:type="dxa"/>
          </w:tcPr>
          <w:p>
            <w:pPr>
              <w:pStyle w:val="TableParagraph"/>
              <w:ind w:right="66"/>
              <w:jc w:val="right"/>
              <w:rPr>
                <w:sz w:val="20"/>
              </w:rPr>
            </w:pPr>
            <w:r>
              <w:rPr>
                <w:color w:val="231F20"/>
                <w:sz w:val="20"/>
              </w:rPr>
              <w:t>746</w:t>
            </w:r>
          </w:p>
        </w:tc>
        <w:tc>
          <w:tcPr>
            <w:tcW w:w="200" w:type="dxa"/>
          </w:tcPr>
          <w:p>
            <w:pPr/>
          </w:p>
        </w:tc>
        <w:tc>
          <w:tcPr>
            <w:tcW w:w="1080" w:type="dxa"/>
          </w:tcPr>
          <w:p>
            <w:pPr>
              <w:pStyle w:val="TableParagraph"/>
              <w:ind w:right="66"/>
              <w:jc w:val="right"/>
              <w:rPr>
                <w:sz w:val="20"/>
              </w:rPr>
            </w:pPr>
            <w:r>
              <w:rPr>
                <w:color w:val="231F20"/>
                <w:sz w:val="20"/>
              </w:rPr>
              <w:t>525</w:t>
            </w:r>
          </w:p>
        </w:tc>
        <w:tc>
          <w:tcPr>
            <w:tcW w:w="200" w:type="dxa"/>
          </w:tcPr>
          <w:p>
            <w:pPr/>
          </w:p>
        </w:tc>
        <w:tc>
          <w:tcPr>
            <w:tcW w:w="1080" w:type="dxa"/>
          </w:tcPr>
          <w:p>
            <w:pPr>
              <w:pStyle w:val="TableParagraph"/>
              <w:ind w:left="530"/>
              <w:rPr>
                <w:sz w:val="20"/>
              </w:rPr>
            </w:pPr>
            <w:r>
              <w:rPr>
                <w:color w:val="231F20"/>
                <w:sz w:val="20"/>
              </w:rPr>
              <w:t>302</w:t>
            </w:r>
          </w:p>
        </w:tc>
      </w:tr>
      <w:tr>
        <w:trPr>
          <w:trHeight w:val="300" w:hRule="exact"/>
        </w:trPr>
        <w:tc>
          <w:tcPr>
            <w:tcW w:w="4000" w:type="dxa"/>
            <w:shd w:val="clear" w:color="auto" w:fill="CCECFC"/>
          </w:tcPr>
          <w:p>
            <w:pPr>
              <w:pStyle w:val="TableParagraph"/>
              <w:ind w:left="400"/>
              <w:rPr>
                <w:sz w:val="20"/>
              </w:rPr>
            </w:pPr>
            <w:r>
              <w:rPr>
                <w:color w:val="231F20"/>
                <w:sz w:val="20"/>
              </w:rPr>
              <w:t>Net income</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152</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465</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329</w:t>
            </w:r>
          </w:p>
        </w:tc>
        <w:tc>
          <w:tcPr>
            <w:tcW w:w="200" w:type="dxa"/>
            <w:shd w:val="clear" w:color="auto" w:fill="CCECFC"/>
          </w:tcPr>
          <w:p>
            <w:pPr/>
          </w:p>
        </w:tc>
        <w:tc>
          <w:tcPr>
            <w:tcW w:w="1080" w:type="dxa"/>
            <w:shd w:val="clear" w:color="auto" w:fill="CCECFC"/>
          </w:tcPr>
          <w:p>
            <w:pPr>
              <w:pStyle w:val="TableParagraph"/>
              <w:ind w:left="530"/>
              <w:rPr>
                <w:sz w:val="20"/>
              </w:rPr>
            </w:pPr>
            <w:r>
              <w:rPr>
                <w:color w:val="231F20"/>
                <w:sz w:val="20"/>
              </w:rPr>
              <w:t>190</w:t>
            </w:r>
          </w:p>
        </w:tc>
      </w:tr>
      <w:tr>
        <w:trPr>
          <w:trHeight w:val="300" w:hRule="exact"/>
        </w:trPr>
        <w:tc>
          <w:tcPr>
            <w:tcW w:w="4000" w:type="dxa"/>
          </w:tcPr>
          <w:p>
            <w:pPr>
              <w:pStyle w:val="TableParagraph"/>
              <w:ind w:left="400"/>
              <w:rPr>
                <w:sz w:val="20"/>
              </w:rPr>
            </w:pPr>
            <w:r>
              <w:rPr>
                <w:color w:val="231F20"/>
                <w:sz w:val="20"/>
              </w:rPr>
              <w:t>Net income per share, basic</w:t>
            </w:r>
          </w:p>
        </w:tc>
        <w:tc>
          <w:tcPr>
            <w:tcW w:w="200" w:type="dxa"/>
          </w:tcPr>
          <w:p>
            <w:pPr/>
          </w:p>
        </w:tc>
        <w:tc>
          <w:tcPr>
            <w:tcW w:w="1080" w:type="dxa"/>
          </w:tcPr>
          <w:p>
            <w:pPr>
              <w:pStyle w:val="TableParagraph"/>
              <w:ind w:right="66"/>
              <w:jc w:val="right"/>
              <w:rPr>
                <w:sz w:val="20"/>
              </w:rPr>
            </w:pPr>
            <w:r>
              <w:rPr>
                <w:color w:val="231F20"/>
                <w:sz w:val="20"/>
              </w:rPr>
              <w:t>0.22</w:t>
            </w:r>
          </w:p>
        </w:tc>
        <w:tc>
          <w:tcPr>
            <w:tcW w:w="200" w:type="dxa"/>
          </w:tcPr>
          <w:p>
            <w:pPr/>
          </w:p>
        </w:tc>
        <w:tc>
          <w:tcPr>
            <w:tcW w:w="1080" w:type="dxa"/>
          </w:tcPr>
          <w:p>
            <w:pPr>
              <w:pStyle w:val="TableParagraph"/>
              <w:ind w:right="66"/>
              <w:jc w:val="right"/>
              <w:rPr>
                <w:sz w:val="20"/>
              </w:rPr>
            </w:pPr>
            <w:r>
              <w:rPr>
                <w:color w:val="231F20"/>
                <w:sz w:val="20"/>
              </w:rPr>
              <w:t>0.67</w:t>
            </w:r>
          </w:p>
        </w:tc>
        <w:tc>
          <w:tcPr>
            <w:tcW w:w="200" w:type="dxa"/>
          </w:tcPr>
          <w:p>
            <w:pPr/>
          </w:p>
        </w:tc>
        <w:tc>
          <w:tcPr>
            <w:tcW w:w="1080" w:type="dxa"/>
          </w:tcPr>
          <w:p>
            <w:pPr>
              <w:pStyle w:val="TableParagraph"/>
              <w:ind w:right="66"/>
              <w:jc w:val="right"/>
              <w:rPr>
                <w:sz w:val="20"/>
              </w:rPr>
            </w:pPr>
            <w:r>
              <w:rPr>
                <w:color w:val="231F20"/>
                <w:sz w:val="20"/>
              </w:rPr>
              <w:t>0.48</w:t>
            </w:r>
          </w:p>
        </w:tc>
        <w:tc>
          <w:tcPr>
            <w:tcW w:w="200" w:type="dxa"/>
          </w:tcPr>
          <w:p>
            <w:pPr/>
          </w:p>
        </w:tc>
        <w:tc>
          <w:tcPr>
            <w:tcW w:w="1080" w:type="dxa"/>
          </w:tcPr>
          <w:p>
            <w:pPr>
              <w:pStyle w:val="TableParagraph"/>
              <w:jc w:val="right"/>
              <w:rPr>
                <w:sz w:val="20"/>
              </w:rPr>
            </w:pPr>
            <w:r>
              <w:rPr>
                <w:color w:val="231F20"/>
                <w:sz w:val="20"/>
              </w:rPr>
              <w:t>0.28 (a)</w:t>
            </w:r>
          </w:p>
        </w:tc>
      </w:tr>
      <w:tr>
        <w:trPr>
          <w:trHeight w:val="300" w:hRule="exact"/>
        </w:trPr>
        <w:tc>
          <w:tcPr>
            <w:tcW w:w="4000" w:type="dxa"/>
            <w:shd w:val="clear" w:color="auto" w:fill="CCECFC"/>
          </w:tcPr>
          <w:p>
            <w:pPr>
              <w:pStyle w:val="TableParagraph"/>
              <w:ind w:left="400"/>
              <w:rPr>
                <w:sz w:val="20"/>
              </w:rPr>
            </w:pPr>
            <w:r>
              <w:rPr>
                <w:color w:val="231F20"/>
                <w:sz w:val="20"/>
              </w:rPr>
              <w:t>Net income per share, diluted</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0.22</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0.67</w:t>
            </w:r>
          </w:p>
        </w:tc>
        <w:tc>
          <w:tcPr>
            <w:tcW w:w="200" w:type="dxa"/>
            <w:shd w:val="clear" w:color="auto" w:fill="CCECFC"/>
          </w:tcPr>
          <w:p>
            <w:pPr/>
          </w:p>
        </w:tc>
        <w:tc>
          <w:tcPr>
            <w:tcW w:w="1080" w:type="dxa"/>
            <w:shd w:val="clear" w:color="auto" w:fill="CCECFC"/>
          </w:tcPr>
          <w:p>
            <w:pPr>
              <w:pStyle w:val="TableParagraph"/>
              <w:ind w:right="66"/>
              <w:jc w:val="right"/>
              <w:rPr>
                <w:sz w:val="20"/>
              </w:rPr>
            </w:pPr>
            <w:r>
              <w:rPr>
                <w:color w:val="231F20"/>
                <w:sz w:val="20"/>
              </w:rPr>
              <w:t>0.48</w:t>
            </w:r>
          </w:p>
        </w:tc>
        <w:tc>
          <w:tcPr>
            <w:tcW w:w="200" w:type="dxa"/>
            <w:shd w:val="clear" w:color="auto" w:fill="CCECFC"/>
          </w:tcPr>
          <w:p>
            <w:pPr/>
          </w:p>
        </w:tc>
        <w:tc>
          <w:tcPr>
            <w:tcW w:w="1080" w:type="dxa"/>
            <w:shd w:val="clear" w:color="auto" w:fill="CCECFC"/>
          </w:tcPr>
          <w:p>
            <w:pPr>
              <w:pStyle w:val="TableParagraph"/>
              <w:jc w:val="right"/>
              <w:rPr>
                <w:sz w:val="20"/>
              </w:rPr>
            </w:pPr>
            <w:r>
              <w:rPr>
                <w:color w:val="231F20"/>
                <w:sz w:val="20"/>
              </w:rPr>
              <w:t>0.28 (a)</w:t>
            </w:r>
          </w:p>
        </w:tc>
      </w:tr>
    </w:tbl>
    <w:p>
      <w:pPr>
        <w:pStyle w:val="BodyText"/>
        <w:spacing w:before="9"/>
        <w:rPr>
          <w:b/>
          <w:sz w:val="21"/>
        </w:rPr>
      </w:pPr>
    </w:p>
    <w:p>
      <w:pPr>
        <w:tabs>
          <w:tab w:pos="5463" w:val="left" w:leader="none"/>
          <w:tab w:pos="6737" w:val="left" w:leader="none"/>
          <w:tab w:pos="8039" w:val="left" w:leader="none"/>
        </w:tabs>
        <w:spacing w:before="0"/>
        <w:ind w:left="4118" w:right="0" w:firstLine="0"/>
        <w:jc w:val="center"/>
        <w:rPr>
          <w:b/>
          <w:sz w:val="16"/>
        </w:rPr>
      </w:pPr>
      <w:r>
        <w:rPr/>
        <w:pict>
          <v:shape style="position:absolute;margin-left:69pt;margin-top:11.46875pt;width:456pt;height:15pt;mso-position-horizontal-relative:page;mso-position-vertical-relative:paragraph;z-index:7576;mso-wrap-distance-left:0;mso-wrap-distance-right:0" type="#_x0000_t202" filled="true" fillcolor="#ccecfc" stroked="false">
            <v:textbox inset="0,0,0,0">
              <w:txbxContent>
                <w:p>
                  <w:pPr>
                    <w:spacing w:before="53"/>
                    <w:ind w:left="50" w:right="0" w:firstLine="0"/>
                    <w:jc w:val="left"/>
                    <w:rPr>
                      <w:b/>
                      <w:sz w:val="20"/>
                    </w:rPr>
                  </w:pPr>
                  <w:r>
                    <w:rPr>
                      <w:b/>
                      <w:color w:val="231F20"/>
                      <w:sz w:val="20"/>
                    </w:rPr>
                    <w:t>2013</w:t>
                  </w:r>
                </w:p>
              </w:txbxContent>
            </v:textbox>
            <v:fill type="solid"/>
            <w10:wrap type="topAndBottom"/>
          </v:shape>
        </w:pict>
      </w:r>
      <w:r>
        <w:rPr/>
        <w:pict>
          <v:line style="position:absolute;mso-position-horizontal-relative:page;mso-position-vertical-relative:paragraph;z-index:7624" from="279pt,10.96875pt" to="333pt,10.96875pt" stroked="true" strokeweight="1pt" strokecolor="#231f20">
            <v:stroke dashstyle="solid"/>
            <w10:wrap type="none"/>
          </v:line>
        </w:pict>
      </w:r>
      <w:r>
        <w:rPr/>
        <w:pict>
          <v:line style="position:absolute;mso-position-horizontal-relative:page;mso-position-vertical-relative:paragraph;z-index:7648" from="343pt,10.96875pt" to="397pt,10.96875pt" stroked="true" strokeweight="1pt" strokecolor="#231f20">
            <v:stroke dashstyle="solid"/>
            <w10:wrap type="none"/>
          </v:line>
        </w:pict>
      </w:r>
      <w:r>
        <w:rPr/>
        <w:pict>
          <v:line style="position:absolute;mso-position-horizontal-relative:page;mso-position-vertical-relative:paragraph;z-index:7672" from="407pt,10.96875pt" to="461pt,10.96875pt" stroked="true" strokeweight="1pt" strokecolor="#231f20">
            <v:stroke dashstyle="solid"/>
            <w10:wrap type="none"/>
          </v:line>
        </w:pict>
      </w:r>
      <w:r>
        <w:rPr/>
        <w:pict>
          <v:line style="position:absolute;mso-position-horizontal-relative:page;mso-position-vertical-relative:paragraph;z-index:7696" from="471pt,10.96875pt" to="525pt,10.96875pt" stroked="true" strokeweight="1pt" strokecolor="#231f20">
            <v:stroke dashstyle="solid"/>
            <w10:wrap type="none"/>
          </v:line>
        </w:pict>
      </w:r>
      <w:r>
        <w:rPr>
          <w:b/>
          <w:color w:val="231F20"/>
          <w:sz w:val="16"/>
        </w:rPr>
        <w:t>March</w:t>
      </w:r>
      <w:r>
        <w:rPr>
          <w:b/>
          <w:color w:val="231F20"/>
          <w:spacing w:val="-1"/>
          <w:sz w:val="16"/>
        </w:rPr>
        <w:t> </w:t>
      </w:r>
      <w:r>
        <w:rPr>
          <w:b/>
          <w:color w:val="231F20"/>
          <w:sz w:val="16"/>
        </w:rPr>
        <w:t>31</w:t>
        <w:tab/>
        <w:t>June 30</w:t>
        <w:tab/>
        <w:t>Sept.</w:t>
      </w:r>
      <w:r>
        <w:rPr>
          <w:b/>
          <w:color w:val="231F20"/>
          <w:spacing w:val="-1"/>
          <w:sz w:val="16"/>
        </w:rPr>
        <w:t> </w:t>
      </w:r>
      <w:r>
        <w:rPr>
          <w:b/>
          <w:color w:val="231F20"/>
          <w:sz w:val="16"/>
        </w:rPr>
        <w:t>30</w:t>
        <w:tab/>
        <w:t>Dec. 31</w:t>
      </w:r>
    </w:p>
    <w:p>
      <w:pPr>
        <w:pStyle w:val="BodyText"/>
        <w:spacing w:before="10"/>
        <w:rPr>
          <w:b/>
          <w:sz w:val="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30"/>
        <w:gridCol w:w="1617"/>
        <w:gridCol w:w="1280"/>
        <w:gridCol w:w="1280"/>
        <w:gridCol w:w="1213"/>
      </w:tblGrid>
      <w:tr>
        <w:trPr>
          <w:trHeight w:val="240" w:hRule="exact"/>
        </w:trPr>
        <w:tc>
          <w:tcPr>
            <w:tcW w:w="3730" w:type="dxa"/>
          </w:tcPr>
          <w:p>
            <w:pPr>
              <w:pStyle w:val="TableParagraph"/>
              <w:spacing w:line="223" w:lineRule="exact" w:before="0"/>
              <w:ind w:left="400"/>
              <w:rPr>
                <w:sz w:val="20"/>
              </w:rPr>
            </w:pPr>
            <w:r>
              <w:rPr>
                <w:color w:val="231F20"/>
                <w:sz w:val="20"/>
              </w:rPr>
              <w:t>Operating revenues</w:t>
            </w:r>
          </w:p>
        </w:tc>
        <w:tc>
          <w:tcPr>
            <w:tcW w:w="1617" w:type="dxa"/>
          </w:tcPr>
          <w:p>
            <w:pPr>
              <w:pStyle w:val="TableParagraph"/>
              <w:tabs>
                <w:tab w:pos="562" w:val="left" w:leader="none"/>
              </w:tabs>
              <w:spacing w:line="223" w:lineRule="exact" w:before="0"/>
              <w:ind w:right="131"/>
              <w:jc w:val="right"/>
              <w:rPr>
                <w:sz w:val="20"/>
              </w:rPr>
            </w:pPr>
            <w:r>
              <w:rPr>
                <w:color w:val="231F20"/>
                <w:sz w:val="20"/>
              </w:rPr>
              <w:t>$</w:t>
              <w:tab/>
              <w:t>4,084</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4,643</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4,545</w:t>
            </w:r>
          </w:p>
        </w:tc>
        <w:tc>
          <w:tcPr>
            <w:tcW w:w="1213" w:type="dxa"/>
          </w:tcPr>
          <w:p>
            <w:pPr>
              <w:pStyle w:val="TableParagraph"/>
              <w:tabs>
                <w:tab w:pos="379" w:val="left" w:leader="none"/>
              </w:tabs>
              <w:spacing w:line="223" w:lineRule="exact" w:before="0"/>
              <w:ind w:right="247"/>
              <w:jc w:val="right"/>
              <w:rPr>
                <w:sz w:val="20"/>
              </w:rPr>
            </w:pPr>
            <w:r>
              <w:rPr>
                <w:color w:val="231F20"/>
                <w:sz w:val="20"/>
              </w:rPr>
              <w:t>$</w:t>
              <w:tab/>
            </w:r>
            <w:r>
              <w:rPr>
                <w:color w:val="231F20"/>
                <w:spacing w:val="-1"/>
                <w:sz w:val="20"/>
              </w:rPr>
              <w:t>4,428</w:t>
            </w:r>
          </w:p>
        </w:tc>
      </w:tr>
      <w:tr>
        <w:trPr>
          <w:trHeight w:val="300" w:hRule="exact"/>
        </w:trPr>
        <w:tc>
          <w:tcPr>
            <w:tcW w:w="3730" w:type="dxa"/>
            <w:shd w:val="clear" w:color="auto" w:fill="CCECFC"/>
          </w:tcPr>
          <w:p>
            <w:pPr>
              <w:pStyle w:val="TableParagraph"/>
              <w:ind w:left="400"/>
              <w:rPr>
                <w:sz w:val="20"/>
              </w:rPr>
            </w:pPr>
            <w:r>
              <w:rPr>
                <w:color w:val="231F20"/>
                <w:sz w:val="20"/>
              </w:rPr>
              <w:t>Operating income</w:t>
            </w:r>
          </w:p>
        </w:tc>
        <w:tc>
          <w:tcPr>
            <w:tcW w:w="1617" w:type="dxa"/>
            <w:shd w:val="clear" w:color="auto" w:fill="CCECFC"/>
          </w:tcPr>
          <w:p>
            <w:pPr>
              <w:pStyle w:val="TableParagraph"/>
              <w:ind w:right="131"/>
              <w:jc w:val="right"/>
              <w:rPr>
                <w:sz w:val="20"/>
              </w:rPr>
            </w:pPr>
            <w:r>
              <w:rPr>
                <w:color w:val="231F20"/>
                <w:sz w:val="20"/>
              </w:rPr>
              <w:t>70</w:t>
            </w:r>
          </w:p>
        </w:tc>
        <w:tc>
          <w:tcPr>
            <w:tcW w:w="1280" w:type="dxa"/>
            <w:shd w:val="clear" w:color="auto" w:fill="CCECFC"/>
          </w:tcPr>
          <w:p>
            <w:pPr>
              <w:pStyle w:val="TableParagraph"/>
              <w:ind w:right="131"/>
              <w:jc w:val="right"/>
              <w:rPr>
                <w:sz w:val="20"/>
              </w:rPr>
            </w:pPr>
            <w:r>
              <w:rPr>
                <w:color w:val="231F20"/>
                <w:sz w:val="20"/>
              </w:rPr>
              <w:t>433</w:t>
            </w:r>
          </w:p>
        </w:tc>
        <w:tc>
          <w:tcPr>
            <w:tcW w:w="1280" w:type="dxa"/>
            <w:shd w:val="clear" w:color="auto" w:fill="CCECFC"/>
          </w:tcPr>
          <w:p>
            <w:pPr>
              <w:pStyle w:val="TableParagraph"/>
              <w:ind w:right="131"/>
              <w:jc w:val="right"/>
              <w:rPr>
                <w:sz w:val="20"/>
              </w:rPr>
            </w:pPr>
            <w:r>
              <w:rPr>
                <w:color w:val="231F20"/>
                <w:sz w:val="20"/>
              </w:rPr>
              <w:t>390</w:t>
            </w:r>
          </w:p>
        </w:tc>
        <w:tc>
          <w:tcPr>
            <w:tcW w:w="1213" w:type="dxa"/>
            <w:shd w:val="clear" w:color="auto" w:fill="CCECFC"/>
          </w:tcPr>
          <w:p>
            <w:pPr>
              <w:pStyle w:val="TableParagraph"/>
              <w:ind w:right="247"/>
              <w:jc w:val="right"/>
              <w:rPr>
                <w:sz w:val="20"/>
              </w:rPr>
            </w:pPr>
            <w:r>
              <w:rPr>
                <w:color w:val="231F20"/>
                <w:sz w:val="20"/>
              </w:rPr>
              <w:t>386</w:t>
            </w:r>
          </w:p>
        </w:tc>
      </w:tr>
      <w:tr>
        <w:trPr>
          <w:trHeight w:val="300" w:hRule="exact"/>
        </w:trPr>
        <w:tc>
          <w:tcPr>
            <w:tcW w:w="3730" w:type="dxa"/>
          </w:tcPr>
          <w:p>
            <w:pPr>
              <w:pStyle w:val="TableParagraph"/>
              <w:ind w:left="400"/>
              <w:rPr>
                <w:sz w:val="20"/>
              </w:rPr>
            </w:pPr>
            <w:r>
              <w:rPr>
                <w:color w:val="231F20"/>
                <w:sz w:val="20"/>
              </w:rPr>
              <w:t>Income (loss) before income taxes</w:t>
            </w:r>
          </w:p>
        </w:tc>
        <w:tc>
          <w:tcPr>
            <w:tcW w:w="1617" w:type="dxa"/>
          </w:tcPr>
          <w:p>
            <w:pPr>
              <w:pStyle w:val="TableParagraph"/>
              <w:ind w:right="131"/>
              <w:jc w:val="right"/>
              <w:rPr>
                <w:sz w:val="20"/>
              </w:rPr>
            </w:pPr>
            <w:r>
              <w:rPr>
                <w:color w:val="231F20"/>
                <w:sz w:val="20"/>
              </w:rPr>
              <w:t>94</w:t>
            </w:r>
          </w:p>
        </w:tc>
        <w:tc>
          <w:tcPr>
            <w:tcW w:w="1280" w:type="dxa"/>
          </w:tcPr>
          <w:p>
            <w:pPr>
              <w:pStyle w:val="TableParagraph"/>
              <w:ind w:right="131"/>
              <w:jc w:val="right"/>
              <w:rPr>
                <w:sz w:val="20"/>
              </w:rPr>
            </w:pPr>
            <w:r>
              <w:rPr>
                <w:color w:val="231F20"/>
                <w:sz w:val="20"/>
              </w:rPr>
              <w:t>363</w:t>
            </w:r>
          </w:p>
        </w:tc>
        <w:tc>
          <w:tcPr>
            <w:tcW w:w="1280" w:type="dxa"/>
          </w:tcPr>
          <w:p>
            <w:pPr>
              <w:pStyle w:val="TableParagraph"/>
              <w:ind w:right="131"/>
              <w:jc w:val="right"/>
              <w:rPr>
                <w:sz w:val="20"/>
              </w:rPr>
            </w:pPr>
            <w:r>
              <w:rPr>
                <w:color w:val="231F20"/>
                <w:sz w:val="20"/>
              </w:rPr>
              <w:t>419</w:t>
            </w:r>
          </w:p>
        </w:tc>
        <w:tc>
          <w:tcPr>
            <w:tcW w:w="1213" w:type="dxa"/>
          </w:tcPr>
          <w:p>
            <w:pPr>
              <w:pStyle w:val="TableParagraph"/>
              <w:ind w:right="249"/>
              <w:jc w:val="right"/>
              <w:rPr>
                <w:sz w:val="20"/>
              </w:rPr>
            </w:pPr>
            <w:r>
              <w:rPr>
                <w:color w:val="231F20"/>
                <w:sz w:val="20"/>
              </w:rPr>
              <w:t>334</w:t>
            </w:r>
          </w:p>
        </w:tc>
      </w:tr>
      <w:tr>
        <w:trPr>
          <w:trHeight w:val="300" w:hRule="exact"/>
        </w:trPr>
        <w:tc>
          <w:tcPr>
            <w:tcW w:w="3730" w:type="dxa"/>
            <w:shd w:val="clear" w:color="auto" w:fill="CCECFC"/>
          </w:tcPr>
          <w:p>
            <w:pPr>
              <w:pStyle w:val="TableParagraph"/>
              <w:ind w:left="400"/>
              <w:rPr>
                <w:sz w:val="20"/>
              </w:rPr>
            </w:pPr>
            <w:r>
              <w:rPr>
                <w:color w:val="231F20"/>
                <w:sz w:val="20"/>
              </w:rPr>
              <w:t>Net income (loss)</w:t>
            </w:r>
          </w:p>
        </w:tc>
        <w:tc>
          <w:tcPr>
            <w:tcW w:w="1617" w:type="dxa"/>
            <w:shd w:val="clear" w:color="auto" w:fill="CCECFC"/>
          </w:tcPr>
          <w:p>
            <w:pPr>
              <w:pStyle w:val="TableParagraph"/>
              <w:ind w:right="131"/>
              <w:jc w:val="right"/>
              <w:rPr>
                <w:sz w:val="20"/>
              </w:rPr>
            </w:pPr>
            <w:r>
              <w:rPr>
                <w:color w:val="231F20"/>
                <w:sz w:val="20"/>
              </w:rPr>
              <w:t>59</w:t>
            </w:r>
          </w:p>
        </w:tc>
        <w:tc>
          <w:tcPr>
            <w:tcW w:w="1280" w:type="dxa"/>
            <w:shd w:val="clear" w:color="auto" w:fill="CCECFC"/>
          </w:tcPr>
          <w:p>
            <w:pPr>
              <w:pStyle w:val="TableParagraph"/>
              <w:ind w:right="131"/>
              <w:jc w:val="right"/>
              <w:rPr>
                <w:sz w:val="20"/>
              </w:rPr>
            </w:pPr>
            <w:r>
              <w:rPr>
                <w:color w:val="231F20"/>
                <w:sz w:val="20"/>
              </w:rPr>
              <w:t>224</w:t>
            </w:r>
          </w:p>
        </w:tc>
        <w:tc>
          <w:tcPr>
            <w:tcW w:w="1280" w:type="dxa"/>
            <w:shd w:val="clear" w:color="auto" w:fill="CCECFC"/>
          </w:tcPr>
          <w:p>
            <w:pPr>
              <w:pStyle w:val="TableParagraph"/>
              <w:ind w:right="131"/>
              <w:jc w:val="right"/>
              <w:rPr>
                <w:sz w:val="20"/>
              </w:rPr>
            </w:pPr>
            <w:r>
              <w:rPr>
                <w:color w:val="231F20"/>
                <w:sz w:val="20"/>
              </w:rPr>
              <w:t>259</w:t>
            </w:r>
          </w:p>
        </w:tc>
        <w:tc>
          <w:tcPr>
            <w:tcW w:w="1213" w:type="dxa"/>
            <w:shd w:val="clear" w:color="auto" w:fill="CCECFC"/>
          </w:tcPr>
          <w:p>
            <w:pPr>
              <w:pStyle w:val="TableParagraph"/>
              <w:ind w:right="249"/>
              <w:jc w:val="right"/>
              <w:rPr>
                <w:sz w:val="20"/>
              </w:rPr>
            </w:pPr>
            <w:r>
              <w:rPr>
                <w:color w:val="231F20"/>
                <w:sz w:val="20"/>
              </w:rPr>
              <w:t>212</w:t>
            </w:r>
          </w:p>
        </w:tc>
      </w:tr>
      <w:tr>
        <w:trPr>
          <w:trHeight w:val="300" w:hRule="exact"/>
        </w:trPr>
        <w:tc>
          <w:tcPr>
            <w:tcW w:w="3730" w:type="dxa"/>
          </w:tcPr>
          <w:p>
            <w:pPr>
              <w:pStyle w:val="TableParagraph"/>
              <w:ind w:left="400"/>
              <w:rPr>
                <w:sz w:val="20"/>
              </w:rPr>
            </w:pPr>
            <w:r>
              <w:rPr>
                <w:color w:val="231F20"/>
                <w:sz w:val="20"/>
              </w:rPr>
              <w:t>Net income (loss) per share, basic</w:t>
            </w:r>
          </w:p>
        </w:tc>
        <w:tc>
          <w:tcPr>
            <w:tcW w:w="1617" w:type="dxa"/>
          </w:tcPr>
          <w:p>
            <w:pPr>
              <w:pStyle w:val="TableParagraph"/>
              <w:ind w:right="131"/>
              <w:jc w:val="right"/>
              <w:rPr>
                <w:sz w:val="20"/>
              </w:rPr>
            </w:pPr>
            <w:r>
              <w:rPr>
                <w:color w:val="231F20"/>
                <w:sz w:val="20"/>
              </w:rPr>
              <w:t>0.08</w:t>
            </w:r>
          </w:p>
        </w:tc>
        <w:tc>
          <w:tcPr>
            <w:tcW w:w="1280" w:type="dxa"/>
          </w:tcPr>
          <w:p>
            <w:pPr>
              <w:pStyle w:val="TableParagraph"/>
              <w:ind w:right="131"/>
              <w:jc w:val="right"/>
              <w:rPr>
                <w:sz w:val="20"/>
              </w:rPr>
            </w:pPr>
            <w:r>
              <w:rPr>
                <w:color w:val="231F20"/>
                <w:sz w:val="20"/>
              </w:rPr>
              <w:t>0.31</w:t>
            </w:r>
          </w:p>
        </w:tc>
        <w:tc>
          <w:tcPr>
            <w:tcW w:w="1280" w:type="dxa"/>
          </w:tcPr>
          <w:p>
            <w:pPr>
              <w:pStyle w:val="TableParagraph"/>
              <w:ind w:right="131"/>
              <w:jc w:val="right"/>
              <w:rPr>
                <w:sz w:val="20"/>
              </w:rPr>
            </w:pPr>
            <w:r>
              <w:rPr>
                <w:color w:val="231F20"/>
                <w:sz w:val="20"/>
              </w:rPr>
              <w:t>0.37</w:t>
            </w:r>
          </w:p>
        </w:tc>
        <w:tc>
          <w:tcPr>
            <w:tcW w:w="1213" w:type="dxa"/>
          </w:tcPr>
          <w:p>
            <w:pPr>
              <w:pStyle w:val="TableParagraph"/>
              <w:ind w:right="249"/>
              <w:jc w:val="right"/>
              <w:rPr>
                <w:sz w:val="20"/>
              </w:rPr>
            </w:pPr>
            <w:r>
              <w:rPr>
                <w:color w:val="231F20"/>
                <w:sz w:val="20"/>
              </w:rPr>
              <w:t>0.30</w:t>
            </w:r>
          </w:p>
        </w:tc>
      </w:tr>
      <w:tr>
        <w:trPr>
          <w:trHeight w:val="300" w:hRule="exact"/>
        </w:trPr>
        <w:tc>
          <w:tcPr>
            <w:tcW w:w="3730" w:type="dxa"/>
            <w:shd w:val="clear" w:color="auto" w:fill="CCECFC"/>
          </w:tcPr>
          <w:p>
            <w:pPr>
              <w:pStyle w:val="TableParagraph"/>
              <w:ind w:left="400"/>
              <w:rPr>
                <w:sz w:val="20"/>
              </w:rPr>
            </w:pPr>
            <w:r>
              <w:rPr>
                <w:color w:val="231F20"/>
                <w:sz w:val="20"/>
              </w:rPr>
              <w:t>Net income (loss) per share, diluted</w:t>
            </w:r>
          </w:p>
        </w:tc>
        <w:tc>
          <w:tcPr>
            <w:tcW w:w="1617" w:type="dxa"/>
            <w:shd w:val="clear" w:color="auto" w:fill="CCECFC"/>
          </w:tcPr>
          <w:p>
            <w:pPr>
              <w:pStyle w:val="TableParagraph"/>
              <w:ind w:right="131"/>
              <w:jc w:val="right"/>
              <w:rPr>
                <w:sz w:val="20"/>
              </w:rPr>
            </w:pPr>
            <w:r>
              <w:rPr>
                <w:color w:val="231F20"/>
                <w:sz w:val="20"/>
              </w:rPr>
              <w:t>0.08</w:t>
            </w:r>
          </w:p>
        </w:tc>
        <w:tc>
          <w:tcPr>
            <w:tcW w:w="1280" w:type="dxa"/>
            <w:shd w:val="clear" w:color="auto" w:fill="CCECFC"/>
          </w:tcPr>
          <w:p>
            <w:pPr>
              <w:pStyle w:val="TableParagraph"/>
              <w:ind w:right="131"/>
              <w:jc w:val="right"/>
              <w:rPr>
                <w:sz w:val="20"/>
              </w:rPr>
            </w:pPr>
            <w:r>
              <w:rPr>
                <w:color w:val="231F20"/>
                <w:sz w:val="20"/>
              </w:rPr>
              <w:t>0.31</w:t>
            </w:r>
          </w:p>
        </w:tc>
        <w:tc>
          <w:tcPr>
            <w:tcW w:w="1280" w:type="dxa"/>
            <w:shd w:val="clear" w:color="auto" w:fill="CCECFC"/>
          </w:tcPr>
          <w:p>
            <w:pPr>
              <w:pStyle w:val="TableParagraph"/>
              <w:ind w:right="131"/>
              <w:jc w:val="right"/>
              <w:rPr>
                <w:sz w:val="20"/>
              </w:rPr>
            </w:pPr>
            <w:r>
              <w:rPr>
                <w:color w:val="231F20"/>
                <w:sz w:val="20"/>
              </w:rPr>
              <w:t>0.37</w:t>
            </w:r>
          </w:p>
        </w:tc>
        <w:tc>
          <w:tcPr>
            <w:tcW w:w="1213" w:type="dxa"/>
            <w:shd w:val="clear" w:color="auto" w:fill="CCECFC"/>
          </w:tcPr>
          <w:p>
            <w:pPr>
              <w:pStyle w:val="TableParagraph"/>
              <w:ind w:right="249"/>
              <w:jc w:val="right"/>
              <w:rPr>
                <w:sz w:val="20"/>
              </w:rPr>
            </w:pPr>
            <w:r>
              <w:rPr>
                <w:color w:val="231F20"/>
                <w:sz w:val="20"/>
              </w:rPr>
              <w:t>0.30</w:t>
            </w:r>
          </w:p>
        </w:tc>
      </w:tr>
    </w:tbl>
    <w:p>
      <w:pPr>
        <w:pStyle w:val="BodyText"/>
        <w:spacing w:before="5"/>
        <w:rPr>
          <w:b/>
          <w:sz w:val="17"/>
        </w:rPr>
      </w:pPr>
    </w:p>
    <w:p>
      <w:pPr>
        <w:pStyle w:val="ListParagraph"/>
        <w:numPr>
          <w:ilvl w:val="1"/>
          <w:numId w:val="22"/>
        </w:numPr>
        <w:tabs>
          <w:tab w:pos="393" w:val="left" w:leader="none"/>
        </w:tabs>
        <w:spacing w:line="249" w:lineRule="auto" w:before="93" w:after="0"/>
        <w:ind w:left="120" w:right="235" w:firstLine="0"/>
        <w:jc w:val="left"/>
        <w:rPr>
          <w:color w:val="231F20"/>
          <w:sz w:val="20"/>
        </w:rPr>
      </w:pPr>
      <w:r>
        <w:rPr>
          <w:color w:val="231F20"/>
          <w:sz w:val="20"/>
        </w:rPr>
        <w:t>Includes a change in estimate, recorded on a prospective basis, effective October 1, 2014, which increased Passenger revenues by approximately $55 million and increased both Basic and Diluted net income per share</w:t>
      </w:r>
      <w:r>
        <w:rPr>
          <w:color w:val="231F20"/>
          <w:spacing w:val="10"/>
          <w:sz w:val="20"/>
        </w:rPr>
        <w:t> </w:t>
      </w:r>
      <w:r>
        <w:rPr>
          <w:color w:val="231F20"/>
          <w:sz w:val="20"/>
        </w:rPr>
        <w:t>by</w:t>
      </w:r>
    </w:p>
    <w:p>
      <w:pPr>
        <w:spacing w:before="0"/>
        <w:ind w:left="120" w:right="0" w:firstLine="0"/>
        <w:jc w:val="left"/>
        <w:rPr>
          <w:sz w:val="20"/>
        </w:rPr>
      </w:pPr>
      <w:r>
        <w:rPr>
          <w:color w:val="231F20"/>
          <w:sz w:val="20"/>
        </w:rPr>
        <w:t>$.04. See Note 1 for further detail.</w:t>
      </w:r>
    </w:p>
    <w:p>
      <w:pPr>
        <w:spacing w:after="0"/>
        <w:jc w:val="left"/>
        <w:rPr>
          <w:sz w:val="20"/>
        </w:rPr>
        <w:sectPr>
          <w:pgSz w:w="11880" w:h="15480"/>
          <w:pgMar w:header="0" w:footer="1240" w:top="1240" w:bottom="1420" w:left="1260" w:right="1260"/>
        </w:sectPr>
      </w:pPr>
    </w:p>
    <w:p>
      <w:pPr>
        <w:pStyle w:val="Heading2"/>
        <w:tabs>
          <w:tab w:pos="1439" w:val="left" w:leader="none"/>
        </w:tabs>
        <w:spacing w:line="247" w:lineRule="auto" w:before="74"/>
        <w:ind w:left="120" w:right="662"/>
      </w:pPr>
      <w:bookmarkStart w:name="Item 9. Changes in and Disagreements Wit" w:id="24"/>
      <w:bookmarkEnd w:id="24"/>
      <w:r>
        <w:rPr>
          <w:b w:val="0"/>
          <w:i w:val="0"/>
        </w:rPr>
      </w:r>
      <w:r>
        <w:rPr>
          <w:i w:val="0"/>
          <w:color w:val="231F20"/>
        </w:rPr>
        <w:t>Item 9.</w:t>
        <w:tab/>
      </w:r>
      <w:r>
        <w:rPr>
          <w:i/>
          <w:color w:val="231F20"/>
        </w:rPr>
        <w:t>Changes in and Disagreements With Accountants on Accounting</w:t>
      </w:r>
      <w:r>
        <w:rPr>
          <w:i/>
          <w:color w:val="231F20"/>
          <w:spacing w:val="-5"/>
        </w:rPr>
        <w:t> </w:t>
      </w:r>
      <w:r>
        <w:rPr>
          <w:i/>
          <w:color w:val="231F20"/>
        </w:rPr>
        <w:t>and</w:t>
      </w:r>
      <w:r>
        <w:rPr>
          <w:i/>
          <w:color w:val="231F20"/>
          <w:spacing w:val="-1"/>
        </w:rPr>
        <w:t> </w:t>
      </w:r>
      <w:r>
        <w:rPr>
          <w:i/>
          <w:color w:val="231F20"/>
        </w:rPr>
        <w:t>Financial</w:t>
      </w:r>
      <w:r>
        <w:rPr>
          <w:color w:val="231F20"/>
        </w:rPr>
        <w:t> Disclosure</w:t>
      </w:r>
    </w:p>
    <w:p>
      <w:pPr>
        <w:pStyle w:val="BodyText"/>
        <w:spacing w:before="155"/>
        <w:ind w:left="839"/>
      </w:pPr>
      <w:r>
        <w:rPr>
          <w:color w:val="231F20"/>
        </w:rPr>
        <w:t>None.</w:t>
      </w:r>
    </w:p>
    <w:p>
      <w:pPr>
        <w:tabs>
          <w:tab w:pos="2478" w:val="left" w:leader="none"/>
        </w:tabs>
        <w:spacing w:before="163"/>
        <w:ind w:left="120" w:right="0" w:firstLine="0"/>
        <w:jc w:val="left"/>
        <w:rPr>
          <w:b/>
          <w:i/>
          <w:sz w:val="22"/>
        </w:rPr>
      </w:pPr>
      <w:bookmarkStart w:name="Item 9A. Controls and Procedures" w:id="25"/>
      <w:bookmarkEnd w:id="25"/>
      <w:r>
        <w:rPr/>
      </w:r>
      <w:r>
        <w:rPr>
          <w:b/>
          <w:color w:val="231F20"/>
          <w:sz w:val="22"/>
        </w:rPr>
        <w:t>Item 9A.</w:t>
        <w:tab/>
      </w:r>
      <w:r>
        <w:rPr>
          <w:b/>
          <w:i/>
          <w:color w:val="231F20"/>
          <w:sz w:val="22"/>
        </w:rPr>
        <w:t>Controls and</w:t>
      </w:r>
      <w:r>
        <w:rPr>
          <w:b/>
          <w:i/>
          <w:color w:val="231F20"/>
          <w:spacing w:val="-2"/>
          <w:sz w:val="22"/>
        </w:rPr>
        <w:t> </w:t>
      </w:r>
      <w:r>
        <w:rPr>
          <w:b/>
          <w:i/>
          <w:color w:val="231F20"/>
          <w:sz w:val="22"/>
        </w:rPr>
        <w:t>Procedures</w:t>
      </w:r>
    </w:p>
    <w:p>
      <w:pPr>
        <w:pStyle w:val="BodyText"/>
        <w:spacing w:line="247" w:lineRule="auto" w:before="163"/>
        <w:ind w:left="120" w:right="117" w:firstLine="720"/>
        <w:jc w:val="both"/>
      </w:pPr>
      <w:r>
        <w:rPr>
          <w:i/>
          <w:color w:val="231F20"/>
        </w:rPr>
        <w:t>Evaluation</w:t>
      </w:r>
      <w:r>
        <w:rPr>
          <w:i/>
          <w:color w:val="231F20"/>
          <w:spacing w:val="-7"/>
        </w:rPr>
        <w:t> </w:t>
      </w:r>
      <w:r>
        <w:rPr>
          <w:i/>
          <w:color w:val="231F20"/>
        </w:rPr>
        <w:t>of</w:t>
      </w:r>
      <w:r>
        <w:rPr>
          <w:i/>
          <w:color w:val="231F20"/>
          <w:spacing w:val="-8"/>
        </w:rPr>
        <w:t> </w:t>
      </w:r>
      <w:r>
        <w:rPr>
          <w:i/>
          <w:color w:val="231F20"/>
        </w:rPr>
        <w:t>Disclosure</w:t>
      </w:r>
      <w:r>
        <w:rPr>
          <w:i/>
          <w:color w:val="231F20"/>
          <w:spacing w:val="-7"/>
        </w:rPr>
        <w:t> </w:t>
      </w:r>
      <w:r>
        <w:rPr>
          <w:i/>
          <w:color w:val="231F20"/>
        </w:rPr>
        <w:t>Controls</w:t>
      </w:r>
      <w:r>
        <w:rPr>
          <w:i/>
          <w:color w:val="231F20"/>
          <w:spacing w:val="-7"/>
        </w:rPr>
        <w:t> </w:t>
      </w:r>
      <w:r>
        <w:rPr>
          <w:i/>
          <w:color w:val="231F20"/>
        </w:rPr>
        <w:t>and</w:t>
      </w:r>
      <w:r>
        <w:rPr>
          <w:i/>
          <w:color w:val="231F20"/>
          <w:spacing w:val="-7"/>
        </w:rPr>
        <w:t> </w:t>
      </w:r>
      <w:r>
        <w:rPr>
          <w:i/>
          <w:color w:val="231F20"/>
        </w:rPr>
        <w:t>Procedures.</w:t>
      </w:r>
      <w:r>
        <w:rPr>
          <w:i/>
          <w:color w:val="231F20"/>
          <w:spacing w:val="-7"/>
        </w:rPr>
        <w:t> </w:t>
      </w:r>
      <w:r>
        <w:rPr>
          <w:color w:val="231F20"/>
        </w:rPr>
        <w:t>The</w:t>
      </w:r>
      <w:r>
        <w:rPr>
          <w:color w:val="231F20"/>
          <w:spacing w:val="-7"/>
        </w:rPr>
        <w:t> </w:t>
      </w:r>
      <w:r>
        <w:rPr>
          <w:color w:val="231F20"/>
        </w:rPr>
        <w:t>Company</w:t>
      </w:r>
      <w:r>
        <w:rPr>
          <w:color w:val="231F20"/>
          <w:spacing w:val="-7"/>
        </w:rPr>
        <w:t> </w:t>
      </w:r>
      <w:r>
        <w:rPr>
          <w:color w:val="231F20"/>
        </w:rPr>
        <w:t>maintains</w:t>
      </w:r>
      <w:r>
        <w:rPr>
          <w:color w:val="231F20"/>
          <w:spacing w:val="-7"/>
        </w:rPr>
        <w:t> </w:t>
      </w:r>
      <w:r>
        <w:rPr>
          <w:color w:val="231F20"/>
        </w:rPr>
        <w:t>disclosure</w:t>
      </w:r>
      <w:r>
        <w:rPr>
          <w:color w:val="231F20"/>
          <w:spacing w:val="-7"/>
        </w:rPr>
        <w:t> </w:t>
      </w:r>
      <w:r>
        <w:rPr>
          <w:color w:val="231F20"/>
        </w:rPr>
        <w:t>controls and procedures (as defined in Rule 13a-15(e) of the Securities Exchange Act (the “Exchange </w:t>
      </w:r>
      <w:r>
        <w:rPr>
          <w:color w:val="231F20"/>
          <w:spacing w:val="-2"/>
        </w:rPr>
        <w:t>Act”)) </w:t>
      </w:r>
      <w:r>
        <w:rPr>
          <w:color w:val="231F20"/>
        </w:rPr>
        <w:t>designed to provide reasonable assurance that the information required to be disclosed by the Company in the reports that it files or submits under the Exchange Act is recorded, processed, summarized, </w:t>
      </w:r>
      <w:r>
        <w:rPr>
          <w:color w:val="231F20"/>
          <w:spacing w:val="-2"/>
        </w:rPr>
        <w:t>and </w:t>
      </w:r>
      <w:r>
        <w:rPr>
          <w:color w:val="231F20"/>
          <w:spacing w:val="-3"/>
        </w:rPr>
        <w:t>reported within </w:t>
      </w:r>
      <w:r>
        <w:rPr>
          <w:color w:val="231F20"/>
        </w:rPr>
        <w:t>the </w:t>
      </w:r>
      <w:r>
        <w:rPr>
          <w:color w:val="231F20"/>
          <w:spacing w:val="-3"/>
        </w:rPr>
        <w:t>time periods specified </w:t>
      </w:r>
      <w:r>
        <w:rPr>
          <w:color w:val="231F20"/>
        </w:rPr>
        <w:t>in the </w:t>
      </w:r>
      <w:r>
        <w:rPr>
          <w:color w:val="231F20"/>
          <w:spacing w:val="-3"/>
        </w:rPr>
        <w:t>SEC’s rules </w:t>
      </w:r>
      <w:r>
        <w:rPr>
          <w:color w:val="231F20"/>
        </w:rPr>
        <w:t>and </w:t>
      </w:r>
      <w:r>
        <w:rPr>
          <w:color w:val="231F20"/>
          <w:spacing w:val="-3"/>
        </w:rPr>
        <w:t>forms. These include controls and </w:t>
      </w:r>
      <w:r>
        <w:rPr>
          <w:color w:val="231F20"/>
        </w:rPr>
        <w:t>procedures</w:t>
      </w:r>
      <w:r>
        <w:rPr>
          <w:color w:val="231F20"/>
          <w:spacing w:val="-8"/>
        </w:rPr>
        <w:t> </w:t>
      </w:r>
      <w:r>
        <w:rPr>
          <w:color w:val="231F20"/>
        </w:rPr>
        <w:t>designed</w:t>
      </w:r>
      <w:r>
        <w:rPr>
          <w:color w:val="231F20"/>
          <w:spacing w:val="-8"/>
        </w:rPr>
        <w:t> </w:t>
      </w:r>
      <w:r>
        <w:rPr>
          <w:color w:val="231F20"/>
        </w:rPr>
        <w:t>to</w:t>
      </w:r>
      <w:r>
        <w:rPr>
          <w:color w:val="231F20"/>
          <w:spacing w:val="-9"/>
        </w:rPr>
        <w:t> </w:t>
      </w:r>
      <w:r>
        <w:rPr>
          <w:color w:val="231F20"/>
        </w:rPr>
        <w:t>ensure</w:t>
      </w:r>
      <w:r>
        <w:rPr>
          <w:color w:val="231F20"/>
          <w:spacing w:val="-9"/>
        </w:rPr>
        <w:t> </w:t>
      </w:r>
      <w:r>
        <w:rPr>
          <w:color w:val="231F20"/>
        </w:rPr>
        <w:t>that</w:t>
      </w:r>
      <w:r>
        <w:rPr>
          <w:color w:val="231F20"/>
          <w:spacing w:val="-10"/>
        </w:rPr>
        <w:t> </w:t>
      </w:r>
      <w:r>
        <w:rPr>
          <w:color w:val="231F20"/>
        </w:rPr>
        <w:t>this</w:t>
      </w:r>
      <w:r>
        <w:rPr>
          <w:color w:val="231F20"/>
          <w:spacing w:val="-9"/>
        </w:rPr>
        <w:t> </w:t>
      </w:r>
      <w:r>
        <w:rPr>
          <w:color w:val="231F20"/>
        </w:rPr>
        <w:t>information</w:t>
      </w:r>
      <w:r>
        <w:rPr>
          <w:color w:val="231F20"/>
          <w:spacing w:val="-9"/>
        </w:rPr>
        <w:t> </w:t>
      </w:r>
      <w:r>
        <w:rPr>
          <w:color w:val="231F20"/>
        </w:rPr>
        <w:t>is</w:t>
      </w:r>
      <w:r>
        <w:rPr>
          <w:color w:val="231F20"/>
          <w:spacing w:val="-9"/>
        </w:rPr>
        <w:t> </w:t>
      </w:r>
      <w:r>
        <w:rPr>
          <w:color w:val="231F20"/>
        </w:rPr>
        <w:t>accumulated</w:t>
      </w:r>
      <w:r>
        <w:rPr>
          <w:color w:val="231F20"/>
          <w:spacing w:val="-9"/>
        </w:rPr>
        <w:t> </w:t>
      </w:r>
      <w:r>
        <w:rPr>
          <w:color w:val="231F20"/>
        </w:rPr>
        <w:t>and</w:t>
      </w:r>
      <w:r>
        <w:rPr>
          <w:color w:val="231F20"/>
          <w:spacing w:val="-9"/>
        </w:rPr>
        <w:t> </w:t>
      </w:r>
      <w:r>
        <w:rPr>
          <w:color w:val="231F20"/>
        </w:rPr>
        <w:t>communicated</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Company’s management, including its Chief Executive Officer and Chief Financial Officer, as appropriate to allow timely decisions regarding required disclosure. Management, with the participation of the Company’s Chief Executive Officer and Chief Financial Officer, evaluated the effectiveness of the Company’s disclosure controls and procedures as of December 31, 2014. Based on this evaluation, the Company’s Chief Executive Officer and Chief Financial Officer have concluded that the Company’s </w:t>
      </w:r>
      <w:r>
        <w:rPr>
          <w:color w:val="231F20"/>
          <w:spacing w:val="-3"/>
        </w:rPr>
        <w:t>disclosure </w:t>
      </w:r>
      <w:r>
        <w:rPr>
          <w:color w:val="231F20"/>
        </w:rPr>
        <w:t>controls</w:t>
      </w:r>
      <w:r>
        <w:rPr>
          <w:color w:val="231F20"/>
          <w:spacing w:val="-13"/>
        </w:rPr>
        <w:t> </w:t>
      </w:r>
      <w:r>
        <w:rPr>
          <w:color w:val="231F20"/>
        </w:rPr>
        <w:t>and</w:t>
      </w:r>
      <w:r>
        <w:rPr>
          <w:color w:val="231F20"/>
          <w:spacing w:val="-13"/>
        </w:rPr>
        <w:t> </w:t>
      </w:r>
      <w:r>
        <w:rPr>
          <w:color w:val="231F20"/>
        </w:rPr>
        <w:t>procedures</w:t>
      </w:r>
      <w:r>
        <w:rPr>
          <w:color w:val="231F20"/>
          <w:spacing w:val="-13"/>
        </w:rPr>
        <w:t> </w:t>
      </w:r>
      <w:r>
        <w:rPr>
          <w:color w:val="231F20"/>
        </w:rPr>
        <w:t>were</w:t>
      </w:r>
      <w:r>
        <w:rPr>
          <w:color w:val="231F20"/>
          <w:spacing w:val="-13"/>
        </w:rPr>
        <w:t> </w:t>
      </w:r>
      <w:r>
        <w:rPr>
          <w:color w:val="231F20"/>
        </w:rPr>
        <w:t>effective</w:t>
      </w:r>
      <w:r>
        <w:rPr>
          <w:color w:val="231F20"/>
          <w:spacing w:val="-13"/>
        </w:rPr>
        <w:t> </w:t>
      </w:r>
      <w:r>
        <w:rPr>
          <w:color w:val="231F20"/>
        </w:rPr>
        <w:t>as</w:t>
      </w:r>
      <w:r>
        <w:rPr>
          <w:color w:val="231F20"/>
          <w:spacing w:val="-13"/>
        </w:rPr>
        <w:t> </w:t>
      </w:r>
      <w:r>
        <w:rPr>
          <w:color w:val="231F20"/>
        </w:rPr>
        <w:t>of</w:t>
      </w:r>
      <w:r>
        <w:rPr>
          <w:color w:val="231F20"/>
          <w:spacing w:val="-14"/>
        </w:rPr>
        <w:t> </w:t>
      </w:r>
      <w:r>
        <w:rPr>
          <w:color w:val="231F20"/>
        </w:rPr>
        <w:t>December</w:t>
      </w:r>
      <w:r>
        <w:rPr>
          <w:color w:val="231F20"/>
          <w:spacing w:val="-14"/>
        </w:rPr>
        <w:t> </w:t>
      </w:r>
      <w:r>
        <w:rPr>
          <w:color w:val="231F20"/>
        </w:rPr>
        <w:t>31,</w:t>
      </w:r>
      <w:r>
        <w:rPr>
          <w:color w:val="231F20"/>
          <w:spacing w:val="-13"/>
        </w:rPr>
        <w:t> </w:t>
      </w:r>
      <w:r>
        <w:rPr>
          <w:color w:val="231F20"/>
        </w:rPr>
        <w:t>2014,</w:t>
      </w:r>
      <w:r>
        <w:rPr>
          <w:color w:val="231F20"/>
          <w:spacing w:val="-13"/>
        </w:rPr>
        <w:t> </w:t>
      </w:r>
      <w:r>
        <w:rPr>
          <w:color w:val="231F20"/>
        </w:rPr>
        <w:t>at</w:t>
      </w:r>
      <w:r>
        <w:rPr>
          <w:color w:val="231F20"/>
          <w:spacing w:val="-14"/>
        </w:rPr>
        <w:t> </w:t>
      </w:r>
      <w:r>
        <w:rPr>
          <w:color w:val="231F20"/>
        </w:rPr>
        <w:t>the</w:t>
      </w:r>
      <w:r>
        <w:rPr>
          <w:color w:val="231F20"/>
          <w:spacing w:val="-13"/>
        </w:rPr>
        <w:t> </w:t>
      </w:r>
      <w:r>
        <w:rPr>
          <w:color w:val="231F20"/>
        </w:rPr>
        <w:t>reasonable</w:t>
      </w:r>
      <w:r>
        <w:rPr>
          <w:color w:val="231F20"/>
          <w:spacing w:val="-13"/>
        </w:rPr>
        <w:t> </w:t>
      </w:r>
      <w:r>
        <w:rPr>
          <w:color w:val="231F20"/>
        </w:rPr>
        <w:t>assurance</w:t>
      </w:r>
      <w:r>
        <w:rPr>
          <w:color w:val="231F20"/>
          <w:spacing w:val="-13"/>
        </w:rPr>
        <w:t> </w:t>
      </w:r>
      <w:r>
        <w:rPr>
          <w:color w:val="231F20"/>
          <w:spacing w:val="-3"/>
        </w:rPr>
        <w:t>level.</w:t>
      </w:r>
    </w:p>
    <w:p>
      <w:pPr>
        <w:pStyle w:val="BodyText"/>
        <w:spacing w:line="247" w:lineRule="auto" w:before="155"/>
        <w:ind w:left="120" w:right="117" w:firstLine="720"/>
        <w:jc w:val="both"/>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 States.</w:t>
      </w:r>
    </w:p>
    <w:p>
      <w:pPr>
        <w:pStyle w:val="BodyText"/>
        <w:spacing w:line="247" w:lineRule="auto" w:before="155"/>
        <w:ind w:left="120" w:right="117" w:firstLine="720"/>
        <w:jc w:val="both"/>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line="247" w:lineRule="auto" w:before="155"/>
        <w:ind w:left="120" w:right="117" w:firstLine="720"/>
        <w:jc w:val="both"/>
      </w:pPr>
      <w:r>
        <w:rPr>
          <w:color w:val="231F20"/>
        </w:rPr>
        <w:t>Management, with the participation of the Company’s Chief Executive Officer and Chief Financial Officer, evaluated the effectiveness of the Company’s internal control over financial reporting as of December 31, 2014. In making this assessment, management used the criteria set forth by the Committee of Sponsoring Organizations of the Treadway Commission (COSO) in Internal Control—Integrated Framework (2013 Framework). Based on this evaluation, management, with the participation of the Company’s Chief Executive Officer and Chief Financial Officer, concluded that, as of December 31, 2014, the Company’s internal control over financial reporting was</w:t>
      </w:r>
      <w:r>
        <w:rPr>
          <w:color w:val="231F20"/>
          <w:spacing w:val="-3"/>
        </w:rPr>
        <w:t> </w:t>
      </w:r>
      <w:r>
        <w:rPr>
          <w:color w:val="231F20"/>
        </w:rPr>
        <w:t>effective.</w:t>
      </w:r>
    </w:p>
    <w:p>
      <w:pPr>
        <w:pStyle w:val="BodyText"/>
        <w:spacing w:line="247" w:lineRule="auto" w:before="155"/>
        <w:ind w:left="120" w:right="118" w:firstLine="720"/>
        <w:jc w:val="both"/>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line="247" w:lineRule="auto" w:before="155"/>
        <w:ind w:left="119" w:right="117" w:firstLine="720"/>
        <w:jc w:val="both"/>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2014, that have materially affected, or are reasonably likely to materially affect, the Company’s internal control over financial reporting.</w:t>
      </w:r>
    </w:p>
    <w:p>
      <w:pPr>
        <w:tabs>
          <w:tab w:pos="2466" w:val="left" w:leader="none"/>
        </w:tabs>
        <w:spacing w:before="155"/>
        <w:ind w:left="119" w:right="0" w:firstLine="0"/>
        <w:jc w:val="left"/>
        <w:rPr>
          <w:b/>
          <w:i/>
          <w:sz w:val="22"/>
        </w:rPr>
      </w:pPr>
      <w:bookmarkStart w:name="Item 9B. Other Information" w:id="26"/>
      <w:bookmarkEnd w:id="26"/>
      <w:r>
        <w:rPr/>
      </w:r>
      <w:r>
        <w:rPr>
          <w:b/>
          <w:color w:val="231F20"/>
          <w:sz w:val="22"/>
        </w:rPr>
        <w:t>Item 9B.</w:t>
        <w:tab/>
      </w:r>
      <w:r>
        <w:rPr>
          <w:b/>
          <w:i/>
          <w:color w:val="231F20"/>
          <w:sz w:val="22"/>
        </w:rPr>
        <w:t>Other</w:t>
      </w:r>
      <w:r>
        <w:rPr>
          <w:b/>
          <w:i/>
          <w:color w:val="231F20"/>
          <w:spacing w:val="-1"/>
          <w:sz w:val="22"/>
        </w:rPr>
        <w:t> </w:t>
      </w:r>
      <w:r>
        <w:rPr>
          <w:b/>
          <w:i/>
          <w:color w:val="231F20"/>
          <w:sz w:val="22"/>
        </w:rPr>
        <w:t>Information</w:t>
      </w:r>
    </w:p>
    <w:p>
      <w:pPr>
        <w:pStyle w:val="BodyText"/>
        <w:spacing w:before="163"/>
        <w:ind w:left="839"/>
      </w:pPr>
      <w:r>
        <w:rPr>
          <w:color w:val="231F20"/>
        </w:rPr>
        <w:t>None.</w:t>
      </w:r>
    </w:p>
    <w:p>
      <w:pPr>
        <w:spacing w:after="0"/>
        <w:sectPr>
          <w:pgSz w:w="11880" w:h="15480"/>
          <w:pgMar w:header="0" w:footer="1240" w:top="1240" w:bottom="1420" w:left="1260" w:right="1260"/>
        </w:sectPr>
      </w:pPr>
    </w:p>
    <w:p>
      <w:pPr>
        <w:pStyle w:val="Heading1"/>
        <w:ind w:left="160" w:right="179"/>
        <w:jc w:val="center"/>
      </w:pPr>
      <w:bookmarkStart w:name="PART III" w:id="27"/>
      <w:bookmarkEnd w:id="27"/>
      <w:r>
        <w:rPr>
          <w:b w:val="0"/>
        </w:rPr>
      </w:r>
      <w:r>
        <w:rPr>
          <w:color w:val="231F20"/>
        </w:rPr>
        <w:t>PART III</w:t>
      </w:r>
    </w:p>
    <w:p>
      <w:pPr>
        <w:pStyle w:val="Heading2"/>
        <w:tabs>
          <w:tab w:pos="2409" w:val="left" w:leader="none"/>
        </w:tabs>
        <w:spacing w:before="198"/>
        <w:ind w:left="100"/>
        <w:rPr>
          <w:i/>
        </w:rPr>
      </w:pPr>
      <w:bookmarkStart w:name="Item 10. Directors, Executive Officers, " w:id="28"/>
      <w:bookmarkEnd w:id="28"/>
      <w:r>
        <w:rPr>
          <w:b w:val="0"/>
          <w:i w:val="0"/>
        </w:rPr>
      </w:r>
      <w:r>
        <w:rPr>
          <w:i w:val="0"/>
          <w:color w:val="231F20"/>
        </w:rPr>
        <w:t>Item 10.</w:t>
        <w:tab/>
      </w:r>
      <w:r>
        <w:rPr>
          <w:i/>
          <w:color w:val="231F20"/>
        </w:rPr>
        <w:t>Directors, Executive Officers, and Corporate</w:t>
      </w:r>
      <w:r>
        <w:rPr>
          <w:i/>
          <w:color w:val="231F20"/>
          <w:spacing w:val="1"/>
        </w:rPr>
        <w:t> </w:t>
      </w:r>
      <w:r>
        <w:rPr>
          <w:i/>
          <w:color w:val="231F20"/>
        </w:rPr>
        <w:t>Governance</w:t>
      </w:r>
    </w:p>
    <w:p>
      <w:pPr>
        <w:pStyle w:val="BodyText"/>
        <w:spacing w:before="7"/>
        <w:rPr>
          <w:b/>
          <w:i/>
          <w:sz w:val="25"/>
        </w:rPr>
      </w:pPr>
    </w:p>
    <w:p>
      <w:pPr>
        <w:spacing w:before="0"/>
        <w:ind w:left="100" w:right="0" w:firstLine="0"/>
        <w:jc w:val="left"/>
        <w:rPr>
          <w:b/>
          <w:sz w:val="22"/>
        </w:rPr>
      </w:pPr>
      <w:r>
        <w:rPr>
          <w:b/>
          <w:color w:val="231F20"/>
          <w:sz w:val="22"/>
        </w:rPr>
        <w:t>Directors and Executive Officers</w:t>
      </w:r>
    </w:p>
    <w:p>
      <w:pPr>
        <w:pStyle w:val="BodyText"/>
        <w:spacing w:line="247" w:lineRule="auto" w:before="199"/>
        <w:ind w:left="100" w:right="117" w:firstLine="720"/>
        <w:jc w:val="both"/>
      </w:pPr>
      <w:r>
        <w:rPr>
          <w:color w:val="231F20"/>
        </w:rPr>
        <w:t>The information required by this Item 10 regarding the Company’s directors will be set forth under the heading “Proposal 1 — Election of Directors” in the Proxy Statement for the Company’s 2015 Annual Meeting of Shareholders and is incorporated herein by reference. The information required by this Item 10 regarding the Company’s executive officers is set forth under the heading “Executive Officers of the Registrant” in Part I of this Form 10-K and is incorporated herein by reference.</w:t>
      </w:r>
    </w:p>
    <w:p>
      <w:pPr>
        <w:pStyle w:val="BodyText"/>
        <w:rPr>
          <w:sz w:val="25"/>
        </w:rPr>
      </w:pPr>
    </w:p>
    <w:p>
      <w:pPr>
        <w:pStyle w:val="Heading1"/>
        <w:spacing w:before="0"/>
      </w:pPr>
      <w:r>
        <w:rPr>
          <w:color w:val="231F20"/>
        </w:rPr>
        <w:t>Section 16(a) Compliance</w:t>
      </w:r>
    </w:p>
    <w:p>
      <w:pPr>
        <w:pStyle w:val="BodyText"/>
        <w:spacing w:line="247" w:lineRule="auto" w:before="198"/>
        <w:ind w:left="100" w:right="118" w:firstLine="720"/>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2015 Annual Meeting of Shareholders and is incorporated herein by reference.</w:t>
      </w:r>
    </w:p>
    <w:p>
      <w:pPr>
        <w:pStyle w:val="BodyText"/>
        <w:spacing w:before="11"/>
        <w:rPr>
          <w:sz w:val="24"/>
        </w:rPr>
      </w:pPr>
    </w:p>
    <w:p>
      <w:pPr>
        <w:pStyle w:val="Heading1"/>
        <w:spacing w:before="0"/>
      </w:pPr>
      <w:r>
        <w:rPr>
          <w:color w:val="231F20"/>
        </w:rPr>
        <w:t>Corporate Governance</w:t>
      </w:r>
    </w:p>
    <w:p>
      <w:pPr>
        <w:pStyle w:val="BodyText"/>
        <w:spacing w:line="247" w:lineRule="auto" w:before="199"/>
        <w:ind w:left="100" w:right="118" w:firstLine="720"/>
        <w:jc w:val="both"/>
      </w:pPr>
      <w:r>
        <w:rPr>
          <w:color w:val="231F20"/>
        </w:rPr>
        <w:t>Except as set forth in the following paragraph, the remaining information required by this   Item 10 will be set forth under the heading “Corporate Governance” in the Proxy Statement for the Company’s 2015 Annual Meeting of Shareholders and is incorporated herein by</w:t>
      </w:r>
      <w:r>
        <w:rPr>
          <w:color w:val="231F20"/>
          <w:spacing w:val="-1"/>
        </w:rPr>
        <w:t> </w:t>
      </w:r>
      <w:r>
        <w:rPr>
          <w:color w:val="231F20"/>
        </w:rPr>
        <w:t>reference.</w:t>
      </w:r>
    </w:p>
    <w:p>
      <w:pPr>
        <w:pStyle w:val="BodyText"/>
        <w:spacing w:line="247" w:lineRule="auto" w:before="191"/>
        <w:ind w:left="100" w:right="117" w:firstLine="720"/>
        <w:jc w:val="both"/>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7">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17">
        <w:r>
          <w:rPr>
            <w:color w:val="231F20"/>
          </w:rPr>
          <w:t>www.southwest.com,</w:t>
        </w:r>
      </w:hyperlink>
      <w:r>
        <w:rPr>
          <w:color w:val="231F20"/>
        </w:rPr>
        <w:t> under the “About Southwest” caption, promptly following the date of any such amendment or</w:t>
      </w:r>
      <w:r>
        <w:rPr>
          <w:color w:val="231F20"/>
          <w:spacing w:val="-1"/>
        </w:rPr>
        <w:t> </w:t>
      </w:r>
      <w:r>
        <w:rPr>
          <w:color w:val="231F20"/>
        </w:rPr>
        <w:t>waiver.</w:t>
      </w:r>
    </w:p>
    <w:p>
      <w:pPr>
        <w:tabs>
          <w:tab w:pos="2409" w:val="left" w:leader="none"/>
        </w:tabs>
        <w:spacing w:before="191"/>
        <w:ind w:left="100" w:right="0" w:firstLine="0"/>
        <w:jc w:val="left"/>
        <w:rPr>
          <w:b/>
          <w:i/>
          <w:sz w:val="22"/>
        </w:rPr>
      </w:pPr>
      <w:bookmarkStart w:name="Item 11. Executive Compensation" w:id="29"/>
      <w:bookmarkEnd w:id="29"/>
      <w:r>
        <w:rPr/>
      </w:r>
      <w:r>
        <w:rPr>
          <w:b/>
          <w:color w:val="231F20"/>
          <w:sz w:val="22"/>
        </w:rPr>
        <w:t>Item 11.</w:t>
        <w:tab/>
      </w:r>
      <w:r>
        <w:rPr>
          <w:b/>
          <w:i/>
          <w:color w:val="231F20"/>
          <w:sz w:val="22"/>
        </w:rPr>
        <w:t>Executive Compensation</w:t>
      </w:r>
    </w:p>
    <w:p>
      <w:pPr>
        <w:pStyle w:val="BodyText"/>
        <w:spacing w:line="247" w:lineRule="auto" w:before="199"/>
        <w:ind w:left="100" w:right="118" w:firstLine="720"/>
        <w:jc w:val="both"/>
      </w:pPr>
      <w:r>
        <w:rPr>
          <w:color w:val="231F20"/>
        </w:rPr>
        <w:t>The information required by this Item 11 will be set forth under the headings “Compensation of Executive Officers” and “Compensation of Directors” in the Proxy Statement for the Company’s 2015 Annual Meeting of Shareholders and is incorporated herein by</w:t>
      </w:r>
      <w:r>
        <w:rPr>
          <w:color w:val="231F20"/>
          <w:spacing w:val="-1"/>
        </w:rPr>
        <w:t> </w:t>
      </w:r>
      <w:r>
        <w:rPr>
          <w:color w:val="231F20"/>
        </w:rPr>
        <w:t>reference.</w:t>
      </w:r>
    </w:p>
    <w:p>
      <w:pPr>
        <w:pStyle w:val="Heading2"/>
        <w:tabs>
          <w:tab w:pos="1969" w:val="left" w:leader="none"/>
        </w:tabs>
        <w:spacing w:line="247" w:lineRule="auto" w:before="191"/>
        <w:ind w:left="100" w:right="117"/>
      </w:pPr>
      <w:bookmarkStart w:name="Item 12. Security Ownership of Certain B" w:id="30"/>
      <w:bookmarkEnd w:id="30"/>
      <w:r>
        <w:rPr>
          <w:b w:val="0"/>
          <w:i w:val="0"/>
        </w:rPr>
      </w:r>
      <w:r>
        <w:rPr>
          <w:i w:val="0"/>
          <w:color w:val="231F20"/>
        </w:rPr>
        <w:t>Item 12.</w:t>
        <w:tab/>
      </w:r>
      <w:r>
        <w:rPr>
          <w:i/>
          <w:color w:val="231F20"/>
        </w:rPr>
        <w:t>Security  Ownership  of  Certain  Beneficial  Owners   and    </w:t>
      </w:r>
      <w:r>
        <w:rPr>
          <w:i/>
          <w:color w:val="231F20"/>
          <w:spacing w:val="3"/>
        </w:rPr>
        <w:t> </w:t>
      </w:r>
      <w:r>
        <w:rPr>
          <w:i/>
          <w:color w:val="231F20"/>
        </w:rPr>
        <w:t>Management </w:t>
      </w:r>
      <w:r>
        <w:rPr>
          <w:i/>
          <w:color w:val="231F20"/>
          <w:spacing w:val="32"/>
        </w:rPr>
        <w:t> </w:t>
      </w:r>
      <w:r>
        <w:rPr>
          <w:i/>
          <w:color w:val="231F20"/>
        </w:rPr>
        <w:t>and</w:t>
      </w:r>
      <w:r>
        <w:rPr>
          <w:color w:val="231F20"/>
        </w:rPr>
        <w:t> Related Stockholder Matters</w:t>
      </w:r>
    </w:p>
    <w:p>
      <w:pPr>
        <w:pStyle w:val="BodyText"/>
        <w:spacing w:line="247" w:lineRule="auto" w:before="191"/>
        <w:ind w:left="100" w:right="119" w:firstLine="720"/>
        <w:jc w:val="both"/>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2015 Annual Meeting of Shareholders and is incorporated herein by reference.</w:t>
      </w:r>
    </w:p>
    <w:p>
      <w:pPr>
        <w:spacing w:after="0" w:line="247" w:lineRule="auto"/>
        <w:jc w:val="both"/>
        <w:sectPr>
          <w:pgSz w:w="11880" w:h="15480"/>
          <w:pgMar w:header="0" w:footer="1240" w:top="1240" w:bottom="1420" w:left="1280" w:right="1260"/>
        </w:sectPr>
      </w:pPr>
    </w:p>
    <w:p>
      <w:pPr>
        <w:pStyle w:val="Heading1"/>
        <w:ind w:left="120"/>
      </w:pPr>
      <w:r>
        <w:rPr>
          <w:color w:val="231F20"/>
        </w:rPr>
        <w:t>Securities Authorized for Issuance under Equity Compensation Plans</w:t>
      </w:r>
    </w:p>
    <w:p>
      <w:pPr>
        <w:pStyle w:val="BodyText"/>
        <w:spacing w:line="247" w:lineRule="auto" w:before="183"/>
        <w:ind w:left="120" w:right="118" w:firstLine="720"/>
        <w:jc w:val="both"/>
      </w:pPr>
      <w:r>
        <w:rPr>
          <w:color w:val="231F20"/>
        </w:rPr>
        <w:t>The following table provides information as of December 31, 2014, regarding compensation plans (including individual compensation arrangements) under which equity securities of the Company are authorized for issuance.</w:t>
      </w:r>
    </w:p>
    <w:p>
      <w:pPr>
        <w:spacing w:after="0" w:line="247" w:lineRule="auto"/>
        <w:jc w:val="both"/>
        <w:sectPr>
          <w:pgSz w:w="11880" w:h="15480"/>
          <w:pgMar w:header="0" w:footer="1240" w:top="1240" w:bottom="1420" w:left="1260" w:right="1260"/>
        </w:sectPr>
      </w:pPr>
    </w:p>
    <w:p>
      <w:pPr>
        <w:pStyle w:val="Heading1"/>
        <w:spacing w:before="176"/>
        <w:ind w:left="2814"/>
      </w:pPr>
      <w:r>
        <w:rPr>
          <w:color w:val="231F20"/>
        </w:rPr>
        <w:t>Equity Compensation Plan</w:t>
      </w:r>
      <w:r>
        <w:rPr>
          <w:color w:val="231F20"/>
          <w:spacing w:val="-4"/>
        </w:rPr>
        <w:t> </w:t>
      </w:r>
      <w:r>
        <w:rPr>
          <w:color w:val="231F20"/>
        </w:rPr>
        <w:t>Information</w:t>
      </w:r>
    </w:p>
    <w:p>
      <w:pPr>
        <w:spacing w:line="261" w:lineRule="auto" w:before="179"/>
        <w:ind w:left="3194" w:right="1995" w:hanging="112"/>
        <w:jc w:val="left"/>
        <w:rPr>
          <w:b/>
          <w:sz w:val="16"/>
        </w:rPr>
      </w:pPr>
      <w:r>
        <w:rPr>
          <w:b/>
          <w:color w:val="231F20"/>
          <w:sz w:val="16"/>
        </w:rPr>
        <w:t>Number of Securities to be Issued Upon</w:t>
      </w:r>
    </w:p>
    <w:p>
      <w:pPr>
        <w:pStyle w:val="BodyText"/>
        <w:rPr>
          <w:b/>
          <w:sz w:val="18"/>
        </w:rPr>
      </w:pPr>
      <w:r>
        <w:rPr/>
        <w:br w:type="column"/>
      </w:r>
      <w:r>
        <w:rPr>
          <w:b/>
          <w:sz w:val="18"/>
        </w:rPr>
      </w:r>
    </w:p>
    <w:p>
      <w:pPr>
        <w:pStyle w:val="BodyText"/>
        <w:rPr>
          <w:b/>
          <w:sz w:val="18"/>
        </w:rPr>
      </w:pPr>
    </w:p>
    <w:p>
      <w:pPr>
        <w:pStyle w:val="BodyText"/>
        <w:spacing w:before="11"/>
        <w:rPr>
          <w:b/>
          <w:sz w:val="16"/>
        </w:rPr>
      </w:pPr>
    </w:p>
    <w:p>
      <w:pPr>
        <w:spacing w:line="261" w:lineRule="auto" w:before="0"/>
        <w:ind w:left="656" w:right="418" w:firstLine="115"/>
        <w:jc w:val="left"/>
        <w:rPr>
          <w:b/>
          <w:sz w:val="16"/>
        </w:rPr>
      </w:pPr>
      <w:r>
        <w:rPr>
          <w:b/>
          <w:color w:val="231F20"/>
          <w:sz w:val="16"/>
        </w:rPr>
        <w:t>Number of Securities Remaining Available for</w:t>
      </w:r>
    </w:p>
    <w:p>
      <w:pPr>
        <w:spacing w:after="0" w:line="261" w:lineRule="auto"/>
        <w:jc w:val="left"/>
        <w:rPr>
          <w:sz w:val="16"/>
        </w:rPr>
        <w:sectPr>
          <w:type w:val="continuous"/>
          <w:pgSz w:w="11880" w:h="15480"/>
          <w:pgMar w:top="1260" w:bottom="280" w:left="1260" w:right="1260"/>
          <w:cols w:num="2" w:equalWidth="0">
            <w:col w:w="6546" w:space="40"/>
            <w:col w:w="2774"/>
          </w:cols>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0"/>
        <w:rPr>
          <w:b/>
          <w:sz w:val="14"/>
        </w:rPr>
      </w:pPr>
    </w:p>
    <w:p>
      <w:pPr>
        <w:spacing w:before="0"/>
        <w:ind w:left="200" w:right="0" w:firstLine="0"/>
        <w:jc w:val="left"/>
        <w:rPr>
          <w:b/>
          <w:sz w:val="16"/>
        </w:rPr>
      </w:pPr>
      <w:r>
        <w:rPr/>
        <w:pict>
          <v:group style="position:absolute;margin-left:68.5pt;margin-top:10.468762pt;width:457pt;height:28pt;mso-position-horizontal-relative:page;mso-position-vertical-relative:paragraph;z-index:-402136" coordorigin="1370,209" coordsize="9140,560">
            <v:rect style="position:absolute;left:1380;top:229;width:9120;height:540" filled="true" fillcolor="#ccecfc" stroked="false">
              <v:fill type="solid"/>
            </v:rect>
            <v:line style="position:absolute" from="1380,219" to="4062,219" stroked="true" strokeweight="1pt" strokecolor="#231f20">
              <v:stroke dashstyle="solid"/>
            </v:line>
            <v:line style="position:absolute" from="4262,219" to="5869,219" stroked="true" strokeweight="1pt" strokecolor="#231f20">
              <v:stroke dashstyle="solid"/>
            </v:line>
            <v:line style="position:absolute" from="6269,219" to="7902,219" stroked="true" strokeweight="1pt" strokecolor="#231f20">
              <v:stroke dashstyle="solid"/>
            </v:line>
            <v:line style="position:absolute" from="8222,219" to="10500,219" stroked="true" strokeweight="1pt" strokecolor="#231f20">
              <v:stroke dashstyle="solid"/>
            </v:line>
            <w10:wrap type="none"/>
          </v:group>
        </w:pict>
      </w:r>
      <w:r>
        <w:rPr>
          <w:b/>
          <w:color w:val="231F20"/>
          <w:sz w:val="16"/>
        </w:rPr>
        <w:t>Plan Category</w:t>
      </w:r>
    </w:p>
    <w:p>
      <w:pPr>
        <w:spacing w:before="98"/>
        <w:ind w:left="220" w:right="0" w:firstLine="0"/>
        <w:jc w:val="left"/>
        <w:rPr>
          <w:sz w:val="20"/>
        </w:rPr>
      </w:pPr>
      <w:r>
        <w:rPr>
          <w:color w:val="231F20"/>
          <w:sz w:val="20"/>
        </w:rPr>
        <w:t>Equity Compensation Plans</w:t>
      </w:r>
    </w:p>
    <w:p>
      <w:pPr>
        <w:spacing w:line="261" w:lineRule="auto" w:before="0"/>
        <w:ind w:left="200" w:right="0" w:firstLine="0"/>
        <w:jc w:val="center"/>
        <w:rPr>
          <w:b/>
          <w:sz w:val="16"/>
        </w:rPr>
      </w:pPr>
      <w:r>
        <w:rPr/>
        <w:br w:type="column"/>
      </w:r>
      <w:r>
        <w:rPr>
          <w:b/>
          <w:color w:val="231F20"/>
          <w:sz w:val="16"/>
        </w:rPr>
        <w:t>Exercise of Outstanding Options, Warrants,</w:t>
      </w:r>
      <w:r>
        <w:rPr>
          <w:b/>
          <w:color w:val="231F20"/>
          <w:spacing w:val="-2"/>
          <w:sz w:val="16"/>
        </w:rPr>
        <w:t> </w:t>
      </w:r>
      <w:r>
        <w:rPr>
          <w:b/>
          <w:color w:val="231F20"/>
          <w:sz w:val="16"/>
        </w:rPr>
        <w:t>and</w:t>
      </w:r>
      <w:r>
        <w:rPr>
          <w:b/>
          <w:color w:val="231F20"/>
          <w:w w:val="99"/>
          <w:sz w:val="16"/>
        </w:rPr>
        <w:t> </w:t>
      </w:r>
      <w:r>
        <w:rPr>
          <w:b/>
          <w:color w:val="231F20"/>
          <w:sz w:val="16"/>
        </w:rPr>
        <w:t>Rights</w:t>
      </w:r>
    </w:p>
    <w:p>
      <w:pPr>
        <w:spacing w:before="0"/>
        <w:ind w:left="200" w:right="0" w:firstLine="0"/>
        <w:jc w:val="center"/>
        <w:rPr>
          <w:b/>
          <w:sz w:val="16"/>
        </w:rPr>
      </w:pPr>
      <w:r>
        <w:rPr>
          <w:b/>
          <w:color w:val="231F20"/>
          <w:sz w:val="16"/>
        </w:rPr>
        <w:t>(a)</w:t>
      </w:r>
    </w:p>
    <w:p>
      <w:pPr>
        <w:spacing w:line="261" w:lineRule="auto" w:before="0"/>
        <w:ind w:left="200" w:right="0" w:hanging="1"/>
        <w:jc w:val="center"/>
        <w:rPr>
          <w:b/>
          <w:sz w:val="16"/>
        </w:rPr>
      </w:pPr>
      <w:r>
        <w:rPr/>
        <w:br w:type="column"/>
      </w:r>
      <w:r>
        <w:rPr>
          <w:b/>
          <w:color w:val="231F20"/>
          <w:sz w:val="16"/>
        </w:rPr>
        <w:t>Weighted-Average Exercise Price of Outstanding</w:t>
      </w:r>
      <w:r>
        <w:rPr>
          <w:b/>
          <w:color w:val="231F20"/>
          <w:spacing w:val="-2"/>
          <w:sz w:val="16"/>
        </w:rPr>
        <w:t> </w:t>
      </w:r>
      <w:r>
        <w:rPr>
          <w:b/>
          <w:color w:val="231F20"/>
          <w:sz w:val="16"/>
        </w:rPr>
        <w:t>Options, Warrants, and Rights</w:t>
      </w:r>
    </w:p>
    <w:p>
      <w:pPr>
        <w:pStyle w:val="ListParagraph"/>
        <w:numPr>
          <w:ilvl w:val="1"/>
          <w:numId w:val="22"/>
        </w:numPr>
        <w:tabs>
          <w:tab w:pos="1036" w:val="left" w:leader="none"/>
        </w:tabs>
        <w:spacing w:line="240" w:lineRule="auto" w:before="0" w:after="0"/>
        <w:ind w:left="1035" w:right="0" w:hanging="196"/>
        <w:jc w:val="left"/>
        <w:rPr>
          <w:color w:val="231F20"/>
          <w:sz w:val="16"/>
        </w:rPr>
      </w:pPr>
    </w:p>
    <w:p>
      <w:pPr>
        <w:spacing w:line="261" w:lineRule="auto" w:before="0"/>
        <w:ind w:left="200" w:right="491" w:firstLine="0"/>
        <w:jc w:val="center"/>
        <w:rPr>
          <w:b/>
          <w:sz w:val="16"/>
        </w:rPr>
      </w:pPr>
      <w:r>
        <w:rPr/>
        <w:br w:type="column"/>
      </w:r>
      <w:r>
        <w:rPr>
          <w:b/>
          <w:color w:val="231F20"/>
          <w:sz w:val="16"/>
        </w:rPr>
        <w:t>Future Issuance Under Equity Compensation Plans (Excluding Securities Reflected</w:t>
      </w:r>
    </w:p>
    <w:p>
      <w:pPr>
        <w:spacing w:line="261" w:lineRule="auto" w:before="0"/>
        <w:ind w:left="484" w:right="775" w:firstLine="0"/>
        <w:jc w:val="center"/>
        <w:rPr>
          <w:b/>
          <w:sz w:val="16"/>
        </w:rPr>
      </w:pPr>
      <w:r>
        <w:rPr>
          <w:b/>
          <w:color w:val="231F20"/>
          <w:sz w:val="16"/>
        </w:rPr>
        <w:t>in Column (a)) (c)</w:t>
      </w:r>
    </w:p>
    <w:p>
      <w:pPr>
        <w:spacing w:after="0" w:line="261" w:lineRule="auto"/>
        <w:jc w:val="center"/>
        <w:rPr>
          <w:sz w:val="16"/>
        </w:rPr>
        <w:sectPr>
          <w:type w:val="continuous"/>
          <w:pgSz w:w="11880" w:h="15480"/>
          <w:pgMar w:top="1260" w:bottom="280" w:left="1260" w:right="1260"/>
          <w:cols w:num="4" w:equalWidth="0">
            <w:col w:w="2445" w:space="658"/>
            <w:col w:w="1204" w:space="582"/>
            <w:col w:w="1675" w:space="530"/>
            <w:col w:w="2266"/>
          </w:cols>
        </w:sectPr>
      </w:pPr>
    </w:p>
    <w:p>
      <w:pPr>
        <w:tabs>
          <w:tab w:pos="3808" w:val="left" w:leader="none"/>
          <w:tab w:pos="6191" w:val="left" w:leader="none"/>
          <w:tab w:pos="8049" w:val="left" w:leader="none"/>
        </w:tabs>
        <w:spacing w:before="9"/>
        <w:ind w:left="220" w:right="0" w:firstLine="0"/>
        <w:jc w:val="left"/>
        <w:rPr>
          <w:sz w:val="20"/>
        </w:rPr>
      </w:pPr>
      <w:r>
        <w:rPr>
          <w:color w:val="231F20"/>
          <w:sz w:val="20"/>
        </w:rPr>
        <w:t>Approved by Security</w:t>
      </w:r>
      <w:r>
        <w:rPr>
          <w:color w:val="231F20"/>
          <w:spacing w:val="1"/>
          <w:sz w:val="20"/>
        </w:rPr>
        <w:t> </w:t>
      </w:r>
      <w:r>
        <w:rPr>
          <w:color w:val="231F20"/>
          <w:sz w:val="20"/>
        </w:rPr>
        <w:t>Holders</w:t>
        <w:tab/>
        <w:t>4,523,901 (1) </w:t>
      </w:r>
      <w:r>
        <w:rPr>
          <w:color w:val="231F20"/>
          <w:spacing w:val="16"/>
          <w:sz w:val="20"/>
        </w:rPr>
        <w:t> </w:t>
      </w:r>
      <w:r>
        <w:rPr>
          <w:color w:val="231F20"/>
          <w:sz w:val="20"/>
        </w:rPr>
        <w:t>$</w:t>
        <w:tab/>
        <w:t>15.18 (2)</w:t>
        <w:tab/>
        <w:t>20,182,382 (3)</w:t>
      </w:r>
    </w:p>
    <w:p>
      <w:pPr>
        <w:spacing w:before="69"/>
        <w:ind w:left="220" w:right="0" w:firstLine="0"/>
        <w:jc w:val="left"/>
        <w:rPr>
          <w:sz w:val="20"/>
        </w:rPr>
      </w:pPr>
      <w:r>
        <w:rPr>
          <w:color w:val="231F20"/>
          <w:sz w:val="20"/>
        </w:rPr>
        <w:t>Equity Compensation Plans not</w:t>
      </w:r>
    </w:p>
    <w:p>
      <w:pPr>
        <w:tabs>
          <w:tab w:pos="3808" w:val="left" w:leader="none"/>
          <w:tab w:pos="4058" w:val="left" w:leader="none"/>
          <w:tab w:pos="5008" w:val="left" w:leader="none"/>
          <w:tab w:pos="6191" w:val="left" w:leader="none"/>
          <w:tab w:pos="7999" w:val="left" w:leader="none"/>
          <w:tab w:pos="8699" w:val="left" w:leader="none"/>
        </w:tabs>
        <w:spacing w:line="312" w:lineRule="auto" w:before="9"/>
        <w:ind w:left="320" w:right="457" w:hanging="100"/>
        <w:jc w:val="left"/>
        <w:rPr>
          <w:sz w:val="20"/>
        </w:rPr>
      </w:pPr>
      <w:r>
        <w:rPr/>
        <w:pict>
          <v:rect style="position:absolute;margin-left:69pt;margin-top:12.78595pt;width:456pt;height:15pt;mso-position-horizontal-relative:page;mso-position-vertical-relative:paragraph;z-index:-402112" filled="true" fillcolor="#ccecfc" stroked="false">
            <v:fill type="solid"/>
            <w10:wrap type="none"/>
          </v:rect>
        </w:pict>
      </w:r>
      <w:r>
        <w:rPr>
          <w:color w:val="231F20"/>
          <w:sz w:val="20"/>
        </w:rPr>
        <w:t>Approved by Security</w:t>
      </w:r>
      <w:r>
        <w:rPr>
          <w:color w:val="231F20"/>
          <w:spacing w:val="1"/>
          <w:sz w:val="20"/>
        </w:rPr>
        <w:t> </w:t>
      </w:r>
      <w:r>
        <w:rPr>
          <w:color w:val="231F20"/>
          <w:sz w:val="20"/>
        </w:rPr>
        <w:t>Holders</w:t>
        <w:tab/>
        <w:tab/>
        <w:t>30,434</w:t>
        <w:tab/>
        <w:t>$</w:t>
        <w:tab/>
        <w:t>14.15</w:t>
        <w:tab/>
        <w:tab/>
        <w:t>— Total</w:t>
        <w:tab/>
        <w:t>4,554,335</w:t>
        <w:tab/>
        <w:t>$</w:t>
        <w:tab/>
        <w:t>15.17 (2)</w:t>
        <w:tab/>
        <w:t>20,182,382</w:t>
      </w:r>
    </w:p>
    <w:p>
      <w:pPr>
        <w:pStyle w:val="ListParagraph"/>
        <w:numPr>
          <w:ilvl w:val="0"/>
          <w:numId w:val="23"/>
        </w:numPr>
        <w:tabs>
          <w:tab w:pos="920" w:val="left" w:leader="none"/>
        </w:tabs>
        <w:spacing w:line="249" w:lineRule="auto" w:before="180" w:after="0"/>
        <w:ind w:left="920" w:right="410" w:hanging="400"/>
        <w:jc w:val="left"/>
        <w:rPr>
          <w:sz w:val="20"/>
        </w:rPr>
      </w:pPr>
      <w:r>
        <w:rPr>
          <w:color w:val="231F20"/>
          <w:sz w:val="20"/>
        </w:rPr>
        <w:t>Includes 2,446,658 shares of common stock issuable upon exercise of outstanding stock options and 2,077,243 restricted share units settleable in shares of the Company’s common</w:t>
      </w:r>
      <w:r>
        <w:rPr>
          <w:color w:val="231F20"/>
          <w:spacing w:val="8"/>
          <w:sz w:val="20"/>
        </w:rPr>
        <w:t> </w:t>
      </w:r>
      <w:r>
        <w:rPr>
          <w:color w:val="231F20"/>
          <w:sz w:val="20"/>
        </w:rPr>
        <w:t>stock.</w:t>
      </w:r>
    </w:p>
    <w:p>
      <w:pPr>
        <w:pStyle w:val="ListParagraph"/>
        <w:numPr>
          <w:ilvl w:val="0"/>
          <w:numId w:val="23"/>
        </w:numPr>
        <w:tabs>
          <w:tab w:pos="920" w:val="left" w:leader="none"/>
        </w:tabs>
        <w:spacing w:line="249" w:lineRule="auto" w:before="1" w:after="0"/>
        <w:ind w:left="920" w:right="324" w:hanging="40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0"/>
          <w:numId w:val="23"/>
        </w:numPr>
        <w:tabs>
          <w:tab w:pos="920" w:val="left" w:leader="none"/>
        </w:tabs>
        <w:spacing w:line="249" w:lineRule="auto" w:before="1" w:after="0"/>
        <w:ind w:left="920" w:right="200" w:hanging="400"/>
        <w:jc w:val="left"/>
        <w:rPr>
          <w:sz w:val="20"/>
        </w:rPr>
      </w:pPr>
      <w:r>
        <w:rPr>
          <w:color w:val="231F20"/>
          <w:sz w:val="20"/>
        </w:rPr>
        <w:t>Of</w:t>
      </w:r>
      <w:r>
        <w:rPr>
          <w:color w:val="231F20"/>
          <w:spacing w:val="-14"/>
          <w:sz w:val="20"/>
        </w:rPr>
        <w:t> </w:t>
      </w:r>
      <w:r>
        <w:rPr>
          <w:color w:val="231F20"/>
          <w:sz w:val="20"/>
        </w:rPr>
        <w:t>these</w:t>
      </w:r>
      <w:r>
        <w:rPr>
          <w:color w:val="231F20"/>
          <w:spacing w:val="-14"/>
          <w:sz w:val="20"/>
        </w:rPr>
        <w:t> </w:t>
      </w:r>
      <w:r>
        <w:rPr>
          <w:color w:val="231F20"/>
          <w:sz w:val="20"/>
        </w:rPr>
        <w:t>shares,</w:t>
      </w:r>
      <w:r>
        <w:rPr>
          <w:color w:val="231F20"/>
          <w:spacing w:val="-14"/>
          <w:sz w:val="20"/>
        </w:rPr>
        <w:t> </w:t>
      </w:r>
      <w:r>
        <w:rPr>
          <w:color w:val="231F20"/>
          <w:sz w:val="20"/>
        </w:rPr>
        <w:t>(i)</w:t>
      </w:r>
      <w:r>
        <w:rPr>
          <w:color w:val="231F20"/>
          <w:spacing w:val="-14"/>
          <w:sz w:val="20"/>
        </w:rPr>
        <w:t> </w:t>
      </w:r>
      <w:r>
        <w:rPr>
          <w:color w:val="231F20"/>
          <w:sz w:val="20"/>
        </w:rPr>
        <w:t>10,590,011</w:t>
      </w:r>
      <w:r>
        <w:rPr>
          <w:color w:val="231F20"/>
          <w:spacing w:val="-14"/>
          <w:sz w:val="20"/>
        </w:rPr>
        <w:t> </w:t>
      </w:r>
      <w:r>
        <w:rPr>
          <w:color w:val="231F20"/>
          <w:sz w:val="20"/>
        </w:rPr>
        <w:t>shares</w:t>
      </w:r>
      <w:r>
        <w:rPr>
          <w:color w:val="231F20"/>
          <w:spacing w:val="-14"/>
          <w:sz w:val="20"/>
        </w:rPr>
        <w:t> </w:t>
      </w:r>
      <w:r>
        <w:rPr>
          <w:color w:val="231F20"/>
          <w:sz w:val="20"/>
        </w:rPr>
        <w:t>remained</w:t>
      </w:r>
      <w:r>
        <w:rPr>
          <w:color w:val="231F20"/>
          <w:spacing w:val="-14"/>
          <w:sz w:val="20"/>
        </w:rPr>
        <w:t> </w:t>
      </w:r>
      <w:r>
        <w:rPr>
          <w:color w:val="231F20"/>
          <w:sz w:val="20"/>
        </w:rPr>
        <w:t>available</w:t>
      </w:r>
      <w:r>
        <w:rPr>
          <w:color w:val="231F20"/>
          <w:spacing w:val="-14"/>
          <w:sz w:val="20"/>
        </w:rPr>
        <w:t> </w:t>
      </w:r>
      <w:r>
        <w:rPr>
          <w:color w:val="231F20"/>
          <w:sz w:val="20"/>
        </w:rPr>
        <w:t>for</w:t>
      </w:r>
      <w:r>
        <w:rPr>
          <w:color w:val="231F20"/>
          <w:spacing w:val="-14"/>
          <w:sz w:val="20"/>
        </w:rPr>
        <w:t> </w:t>
      </w:r>
      <w:r>
        <w:rPr>
          <w:color w:val="231F20"/>
          <w:sz w:val="20"/>
        </w:rPr>
        <w:t>issuance</w:t>
      </w:r>
      <w:r>
        <w:rPr>
          <w:color w:val="231F20"/>
          <w:spacing w:val="-14"/>
          <w:sz w:val="20"/>
        </w:rPr>
        <w:t> </w:t>
      </w:r>
      <w:r>
        <w:rPr>
          <w:color w:val="231F20"/>
          <w:sz w:val="20"/>
        </w:rPr>
        <w:t>under</w:t>
      </w:r>
      <w:r>
        <w:rPr>
          <w:color w:val="231F20"/>
          <w:spacing w:val="-14"/>
          <w:sz w:val="20"/>
        </w:rPr>
        <w:t> </w:t>
      </w:r>
      <w:r>
        <w:rPr>
          <w:color w:val="231F20"/>
          <w:sz w:val="20"/>
        </w:rPr>
        <w:t>the</w:t>
      </w:r>
      <w:r>
        <w:rPr>
          <w:color w:val="231F20"/>
          <w:spacing w:val="-14"/>
          <w:sz w:val="20"/>
        </w:rPr>
        <w:t> </w:t>
      </w:r>
      <w:r>
        <w:rPr>
          <w:color w:val="231F20"/>
          <w:sz w:val="20"/>
        </w:rPr>
        <w:t>Company’s</w:t>
      </w:r>
      <w:r>
        <w:rPr>
          <w:color w:val="231F20"/>
          <w:spacing w:val="-14"/>
          <w:sz w:val="20"/>
        </w:rPr>
        <w:t> </w:t>
      </w:r>
      <w:r>
        <w:rPr>
          <w:color w:val="231F20"/>
          <w:spacing w:val="-2"/>
          <w:sz w:val="20"/>
        </w:rPr>
        <w:t>tax-qualified </w:t>
      </w:r>
      <w:r>
        <w:rPr>
          <w:color w:val="231F20"/>
          <w:sz w:val="20"/>
        </w:rPr>
        <w:t>employee stock purchase plan; and (ii) 9,592,371 shares remained available for issuance under </w:t>
      </w:r>
      <w:r>
        <w:rPr>
          <w:color w:val="231F20"/>
          <w:spacing w:val="-2"/>
          <w:sz w:val="20"/>
        </w:rPr>
        <w:t>the </w:t>
      </w:r>
      <w:r>
        <w:rPr>
          <w:color w:val="231F20"/>
          <w:sz w:val="20"/>
        </w:rPr>
        <w:t>Company’s 2007 Equity Incentive Plan in connection with the exercise of stock options and stock appreciation rights, the settlement of awards of restricted stock, restricted stock units, and phantom shares, and the grant of unrestricted shares of common stock; however, no more than 685,848 </w:t>
      </w:r>
      <w:r>
        <w:rPr>
          <w:color w:val="231F20"/>
          <w:spacing w:val="-2"/>
          <w:sz w:val="20"/>
        </w:rPr>
        <w:t>shares </w:t>
      </w:r>
      <w:r>
        <w:rPr>
          <w:color w:val="231F20"/>
          <w:sz w:val="20"/>
        </w:rPr>
        <w:t>remain available for grant in connection with awards of unrestricted shares of common stock, stock- settled</w:t>
      </w:r>
      <w:r>
        <w:rPr>
          <w:color w:val="231F20"/>
          <w:spacing w:val="-14"/>
          <w:sz w:val="20"/>
        </w:rPr>
        <w:t> </w:t>
      </w:r>
      <w:r>
        <w:rPr>
          <w:color w:val="231F20"/>
          <w:sz w:val="20"/>
        </w:rPr>
        <w:t>phantom</w:t>
      </w:r>
      <w:r>
        <w:rPr>
          <w:color w:val="231F20"/>
          <w:spacing w:val="-14"/>
          <w:sz w:val="20"/>
        </w:rPr>
        <w:t> </w:t>
      </w:r>
      <w:r>
        <w:rPr>
          <w:color w:val="231F20"/>
          <w:sz w:val="20"/>
        </w:rPr>
        <w:t>shares,</w:t>
      </w:r>
      <w:r>
        <w:rPr>
          <w:color w:val="231F20"/>
          <w:spacing w:val="-14"/>
          <w:sz w:val="20"/>
        </w:rPr>
        <w:t> </w:t>
      </w:r>
      <w:r>
        <w:rPr>
          <w:color w:val="231F20"/>
          <w:sz w:val="20"/>
        </w:rPr>
        <w:t>and</w:t>
      </w:r>
      <w:r>
        <w:rPr>
          <w:color w:val="231F20"/>
          <w:spacing w:val="-14"/>
          <w:sz w:val="20"/>
        </w:rPr>
        <w:t> </w:t>
      </w:r>
      <w:r>
        <w:rPr>
          <w:color w:val="231F20"/>
          <w:sz w:val="20"/>
        </w:rPr>
        <w:t>awards</w:t>
      </w:r>
      <w:r>
        <w:rPr>
          <w:color w:val="231F20"/>
          <w:spacing w:val="-14"/>
          <w:sz w:val="20"/>
        </w:rPr>
        <w:t> </w:t>
      </w:r>
      <w:r>
        <w:rPr>
          <w:color w:val="231F20"/>
          <w:sz w:val="20"/>
        </w:rPr>
        <w:t>to</w:t>
      </w:r>
      <w:r>
        <w:rPr>
          <w:color w:val="231F20"/>
          <w:spacing w:val="-14"/>
          <w:sz w:val="20"/>
        </w:rPr>
        <w:t> </w:t>
      </w:r>
      <w:r>
        <w:rPr>
          <w:color w:val="231F20"/>
          <w:sz w:val="20"/>
        </w:rPr>
        <w:t>non-Employee</w:t>
      </w:r>
      <w:r>
        <w:rPr>
          <w:color w:val="231F20"/>
          <w:spacing w:val="-14"/>
          <w:sz w:val="20"/>
        </w:rPr>
        <w:t> </w:t>
      </w:r>
      <w:r>
        <w:rPr>
          <w:color w:val="231F20"/>
          <w:sz w:val="20"/>
        </w:rPr>
        <w:t>members</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Board.</w:t>
      </w:r>
      <w:r>
        <w:rPr>
          <w:color w:val="231F20"/>
          <w:spacing w:val="-14"/>
          <w:sz w:val="20"/>
        </w:rPr>
        <w:t> </w:t>
      </w:r>
      <w:r>
        <w:rPr>
          <w:color w:val="231F20"/>
          <w:sz w:val="20"/>
        </w:rPr>
        <w:t>These</w:t>
      </w:r>
      <w:r>
        <w:rPr>
          <w:color w:val="231F20"/>
          <w:spacing w:val="-14"/>
          <w:sz w:val="20"/>
        </w:rPr>
        <w:t> </w:t>
      </w:r>
      <w:r>
        <w:rPr>
          <w:color w:val="231F20"/>
          <w:sz w:val="20"/>
        </w:rPr>
        <w:t>shares</w:t>
      </w:r>
      <w:r>
        <w:rPr>
          <w:color w:val="231F20"/>
          <w:spacing w:val="-14"/>
          <w:sz w:val="20"/>
        </w:rPr>
        <w:t> </w:t>
      </w:r>
      <w:r>
        <w:rPr>
          <w:color w:val="231F20"/>
          <w:sz w:val="20"/>
        </w:rPr>
        <w:t>are</w:t>
      </w:r>
      <w:r>
        <w:rPr>
          <w:color w:val="231F20"/>
          <w:spacing w:val="-14"/>
          <w:sz w:val="20"/>
        </w:rPr>
        <w:t> </w:t>
      </w:r>
      <w:r>
        <w:rPr>
          <w:color w:val="231F20"/>
          <w:sz w:val="20"/>
        </w:rPr>
        <w:t>in</w:t>
      </w:r>
      <w:r>
        <w:rPr>
          <w:color w:val="231F20"/>
          <w:spacing w:val="-14"/>
          <w:sz w:val="20"/>
        </w:rPr>
        <w:t> </w:t>
      </w:r>
      <w:r>
        <w:rPr>
          <w:color w:val="231F20"/>
          <w:sz w:val="20"/>
        </w:rPr>
        <w:t>addition to</w:t>
      </w:r>
      <w:r>
        <w:rPr>
          <w:color w:val="231F20"/>
          <w:spacing w:val="-14"/>
          <w:sz w:val="20"/>
        </w:rPr>
        <w:t> </w:t>
      </w:r>
      <w:r>
        <w:rPr>
          <w:color w:val="231F20"/>
          <w:sz w:val="20"/>
        </w:rPr>
        <w:t>the</w:t>
      </w:r>
      <w:r>
        <w:rPr>
          <w:color w:val="231F20"/>
          <w:spacing w:val="-14"/>
          <w:sz w:val="20"/>
        </w:rPr>
        <w:t> </w:t>
      </w:r>
      <w:r>
        <w:rPr>
          <w:color w:val="231F20"/>
          <w:sz w:val="20"/>
        </w:rPr>
        <w:t>shares</w:t>
      </w:r>
      <w:r>
        <w:rPr>
          <w:color w:val="231F20"/>
          <w:spacing w:val="-14"/>
          <w:sz w:val="20"/>
        </w:rPr>
        <w:t> </w:t>
      </w:r>
      <w:r>
        <w:rPr>
          <w:color w:val="231F20"/>
          <w:sz w:val="20"/>
        </w:rPr>
        <w:t>reserved</w:t>
      </w:r>
      <w:r>
        <w:rPr>
          <w:color w:val="231F20"/>
          <w:spacing w:val="-14"/>
          <w:sz w:val="20"/>
        </w:rPr>
        <w:t> </w:t>
      </w:r>
      <w:r>
        <w:rPr>
          <w:color w:val="231F20"/>
          <w:sz w:val="20"/>
        </w:rPr>
        <w:t>for</w:t>
      </w:r>
      <w:r>
        <w:rPr>
          <w:color w:val="231F20"/>
          <w:spacing w:val="-14"/>
          <w:sz w:val="20"/>
        </w:rPr>
        <w:t> </w:t>
      </w:r>
      <w:r>
        <w:rPr>
          <w:color w:val="231F20"/>
          <w:sz w:val="20"/>
        </w:rPr>
        <w:t>issuance</w:t>
      </w:r>
      <w:r>
        <w:rPr>
          <w:color w:val="231F20"/>
          <w:spacing w:val="-14"/>
          <w:sz w:val="20"/>
        </w:rPr>
        <w:t> </w:t>
      </w:r>
      <w:r>
        <w:rPr>
          <w:color w:val="231F20"/>
          <w:sz w:val="20"/>
        </w:rPr>
        <w:t>pursuant</w:t>
      </w:r>
      <w:r>
        <w:rPr>
          <w:color w:val="231F20"/>
          <w:spacing w:val="-14"/>
          <w:sz w:val="20"/>
        </w:rPr>
        <w:t> </w:t>
      </w:r>
      <w:r>
        <w:rPr>
          <w:color w:val="231F20"/>
          <w:sz w:val="20"/>
        </w:rPr>
        <w:t>to</w:t>
      </w:r>
      <w:r>
        <w:rPr>
          <w:color w:val="231F20"/>
          <w:spacing w:val="-14"/>
          <w:sz w:val="20"/>
        </w:rPr>
        <w:t> </w:t>
      </w:r>
      <w:r>
        <w:rPr>
          <w:color w:val="231F20"/>
          <w:sz w:val="20"/>
        </w:rPr>
        <w:t>outstanding</w:t>
      </w:r>
      <w:r>
        <w:rPr>
          <w:color w:val="231F20"/>
          <w:spacing w:val="-14"/>
          <w:sz w:val="20"/>
        </w:rPr>
        <w:t> </w:t>
      </w:r>
      <w:r>
        <w:rPr>
          <w:color w:val="231F20"/>
          <w:sz w:val="20"/>
        </w:rPr>
        <w:t>awards</w:t>
      </w:r>
      <w:r>
        <w:rPr>
          <w:color w:val="231F20"/>
          <w:spacing w:val="-14"/>
          <w:sz w:val="20"/>
        </w:rPr>
        <w:t> </w:t>
      </w:r>
      <w:r>
        <w:rPr>
          <w:color w:val="231F20"/>
          <w:sz w:val="20"/>
        </w:rPr>
        <w:t>included</w:t>
      </w:r>
      <w:r>
        <w:rPr>
          <w:color w:val="231F20"/>
          <w:spacing w:val="-14"/>
          <w:sz w:val="20"/>
        </w:rPr>
        <w:t> </w:t>
      </w:r>
      <w:r>
        <w:rPr>
          <w:color w:val="231F20"/>
          <w:sz w:val="20"/>
        </w:rPr>
        <w:t>in</w:t>
      </w:r>
      <w:r>
        <w:rPr>
          <w:color w:val="231F20"/>
          <w:spacing w:val="-14"/>
          <w:sz w:val="20"/>
        </w:rPr>
        <w:t> </w:t>
      </w:r>
      <w:r>
        <w:rPr>
          <w:color w:val="231F20"/>
          <w:sz w:val="20"/>
        </w:rPr>
        <w:t>column</w:t>
      </w:r>
      <w:r>
        <w:rPr>
          <w:color w:val="231F20"/>
          <w:spacing w:val="-14"/>
          <w:sz w:val="20"/>
        </w:rPr>
        <w:t> </w:t>
      </w:r>
      <w:r>
        <w:rPr>
          <w:color w:val="231F20"/>
          <w:sz w:val="20"/>
        </w:rPr>
        <w:t>(a).</w:t>
      </w:r>
    </w:p>
    <w:p>
      <w:pPr>
        <w:pStyle w:val="BodyText"/>
        <w:spacing w:line="247" w:lineRule="auto" w:before="179"/>
        <w:ind w:left="120" w:right="117" w:firstLine="720"/>
        <w:jc w:val="both"/>
      </w:pPr>
      <w:r>
        <w:rPr>
          <w:color w:val="231F20"/>
        </w:rPr>
        <w:t>See Note 9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 revised.</w:t>
      </w:r>
    </w:p>
    <w:p>
      <w:pPr>
        <w:pStyle w:val="Heading2"/>
        <w:tabs>
          <w:tab w:pos="2295" w:val="left" w:leader="none"/>
        </w:tabs>
        <w:spacing w:before="176"/>
        <w:ind w:left="0" w:right="118"/>
        <w:jc w:val="right"/>
        <w:rPr>
          <w:i/>
        </w:rPr>
      </w:pPr>
      <w:bookmarkStart w:name="Item 13. Certain Relationships and Relat" w:id="31"/>
      <w:bookmarkEnd w:id="31"/>
      <w:r>
        <w:rPr>
          <w:b w:val="0"/>
          <w:i w:val="0"/>
        </w:rPr>
      </w:r>
      <w:r>
        <w:rPr>
          <w:i w:val="0"/>
          <w:color w:val="231F20"/>
        </w:rPr>
        <w:t>Item</w:t>
      </w:r>
      <w:r>
        <w:rPr>
          <w:i w:val="0"/>
          <w:color w:val="231F20"/>
          <w:spacing w:val="-6"/>
        </w:rPr>
        <w:t> </w:t>
      </w:r>
      <w:r>
        <w:rPr>
          <w:i w:val="0"/>
          <w:color w:val="231F20"/>
        </w:rPr>
        <w:t>13.</w:t>
        <w:tab/>
      </w:r>
      <w:r>
        <w:rPr>
          <w:i/>
          <w:color w:val="231F20"/>
        </w:rPr>
        <w:t>Certain</w:t>
      </w:r>
      <w:r>
        <w:rPr>
          <w:i/>
          <w:color w:val="231F20"/>
          <w:spacing w:val="-19"/>
        </w:rPr>
        <w:t> </w:t>
      </w:r>
      <w:r>
        <w:rPr>
          <w:i/>
          <w:color w:val="231F20"/>
        </w:rPr>
        <w:t>Relationships</w:t>
      </w:r>
      <w:r>
        <w:rPr>
          <w:i/>
          <w:color w:val="231F20"/>
          <w:spacing w:val="-18"/>
        </w:rPr>
        <w:t> </w:t>
      </w:r>
      <w:r>
        <w:rPr>
          <w:i/>
          <w:color w:val="231F20"/>
        </w:rPr>
        <w:t>and</w:t>
      </w:r>
      <w:r>
        <w:rPr>
          <w:i/>
          <w:color w:val="231F20"/>
          <w:spacing w:val="-18"/>
        </w:rPr>
        <w:t> </w:t>
      </w:r>
      <w:r>
        <w:rPr>
          <w:i/>
          <w:color w:val="231F20"/>
        </w:rPr>
        <w:t>Related</w:t>
      </w:r>
      <w:r>
        <w:rPr>
          <w:i/>
          <w:color w:val="231F20"/>
          <w:spacing w:val="-18"/>
        </w:rPr>
        <w:t> </w:t>
      </w:r>
      <w:r>
        <w:rPr>
          <w:i/>
          <w:color w:val="231F20"/>
        </w:rPr>
        <w:t>Transactions,</w:t>
      </w:r>
      <w:r>
        <w:rPr>
          <w:i/>
          <w:color w:val="231F20"/>
          <w:spacing w:val="-18"/>
        </w:rPr>
        <w:t> </w:t>
      </w:r>
      <w:r>
        <w:rPr>
          <w:i/>
          <w:color w:val="231F20"/>
        </w:rPr>
        <w:t>and</w:t>
      </w:r>
      <w:r>
        <w:rPr>
          <w:i/>
          <w:color w:val="231F20"/>
          <w:spacing w:val="-18"/>
        </w:rPr>
        <w:t> </w:t>
      </w:r>
      <w:r>
        <w:rPr>
          <w:i/>
          <w:color w:val="231F20"/>
        </w:rPr>
        <w:t>Director</w:t>
      </w:r>
      <w:r>
        <w:rPr>
          <w:i/>
          <w:color w:val="231F20"/>
          <w:spacing w:val="-18"/>
        </w:rPr>
        <w:t> </w:t>
      </w:r>
      <w:r>
        <w:rPr>
          <w:i/>
          <w:color w:val="231F20"/>
          <w:spacing w:val="-2"/>
        </w:rPr>
        <w:t>Independence</w:t>
      </w:r>
    </w:p>
    <w:p>
      <w:pPr>
        <w:pStyle w:val="BodyText"/>
        <w:spacing w:line="247" w:lineRule="auto" w:before="184"/>
        <w:ind w:left="120" w:right="118" w:firstLine="720"/>
        <w:jc w:val="both"/>
      </w:pPr>
      <w:r>
        <w:rPr>
          <w:color w:val="231F20"/>
        </w:rPr>
        <w:t>The information required by this Item 13 will be set forth under the heading “Certain Relationships and Related Transactions, and Director Independence” in the Proxy Statement for the Company’s 2015 Annual Meeting of Shareholders and is incorporated herein by reference.</w:t>
      </w:r>
    </w:p>
    <w:p>
      <w:pPr>
        <w:pStyle w:val="Heading2"/>
        <w:tabs>
          <w:tab w:pos="2429" w:val="left" w:leader="none"/>
        </w:tabs>
        <w:spacing w:before="176"/>
        <w:ind w:left="120"/>
        <w:rPr>
          <w:i/>
        </w:rPr>
      </w:pPr>
      <w:bookmarkStart w:name="Item 14. Principal Accounting Fees and S" w:id="32"/>
      <w:bookmarkEnd w:id="32"/>
      <w:r>
        <w:rPr>
          <w:b w:val="0"/>
          <w:i w:val="0"/>
        </w:rPr>
      </w:r>
      <w:r>
        <w:rPr>
          <w:i w:val="0"/>
          <w:color w:val="231F20"/>
        </w:rPr>
        <w:t>Item 14.</w:t>
        <w:tab/>
      </w:r>
      <w:r>
        <w:rPr>
          <w:i/>
          <w:color w:val="231F20"/>
        </w:rPr>
        <w:t>Principal Accounting Fees and</w:t>
      </w:r>
      <w:r>
        <w:rPr>
          <w:i/>
          <w:color w:val="231F20"/>
          <w:spacing w:val="-2"/>
        </w:rPr>
        <w:t> </w:t>
      </w:r>
      <w:r>
        <w:rPr>
          <w:i/>
          <w:color w:val="231F20"/>
        </w:rPr>
        <w:t>Services</w:t>
      </w:r>
    </w:p>
    <w:p>
      <w:pPr>
        <w:pStyle w:val="BodyText"/>
        <w:spacing w:line="247" w:lineRule="auto" w:before="183"/>
        <w:ind w:left="120" w:right="117" w:firstLine="720"/>
        <w:jc w:val="both"/>
      </w:pPr>
      <w:r>
        <w:rPr>
          <w:color w:val="231F20"/>
        </w:rPr>
        <w:t>The information required by this Item 14 will be set forth under the heading “Relationship with Independent Auditors” in the Proxy Statement for the Company’s 2015 Annual Meeting of Shareholders and is incorporated herein by reference.</w:t>
      </w:r>
    </w:p>
    <w:p>
      <w:pPr>
        <w:spacing w:after="0" w:line="247" w:lineRule="auto"/>
        <w:jc w:val="both"/>
        <w:sectPr>
          <w:type w:val="continuous"/>
          <w:pgSz w:w="11880" w:h="15480"/>
          <w:pgMar w:top="1260" w:bottom="280" w:left="1260" w:right="1260"/>
        </w:sectPr>
      </w:pPr>
    </w:p>
    <w:p>
      <w:pPr>
        <w:pStyle w:val="Heading1"/>
        <w:ind w:left="160" w:right="179"/>
        <w:jc w:val="center"/>
      </w:pPr>
      <w:bookmarkStart w:name="PART IV" w:id="33"/>
      <w:bookmarkEnd w:id="33"/>
      <w:r>
        <w:rPr>
          <w:b w:val="0"/>
        </w:rPr>
      </w:r>
      <w:r>
        <w:rPr>
          <w:color w:val="231F20"/>
        </w:rPr>
        <w:t>PART IV</w:t>
      </w:r>
    </w:p>
    <w:p>
      <w:pPr>
        <w:pStyle w:val="BodyText"/>
        <w:spacing w:before="8"/>
        <w:rPr>
          <w:b/>
        </w:rPr>
      </w:pPr>
    </w:p>
    <w:p>
      <w:pPr>
        <w:pStyle w:val="Heading2"/>
        <w:tabs>
          <w:tab w:pos="1969" w:val="left" w:leader="none"/>
        </w:tabs>
        <w:ind w:left="100"/>
        <w:rPr>
          <w:i/>
        </w:rPr>
      </w:pPr>
      <w:bookmarkStart w:name="Item 15. Exhibits and Financial Statemen" w:id="34"/>
      <w:bookmarkEnd w:id="34"/>
      <w:r>
        <w:rPr>
          <w:b w:val="0"/>
          <w:i w:val="0"/>
        </w:rPr>
      </w:r>
      <w:r>
        <w:rPr>
          <w:i w:val="0"/>
          <w:color w:val="231F20"/>
        </w:rPr>
        <w:t>Item 15.</w:t>
        <w:tab/>
      </w:r>
      <w:r>
        <w:rPr>
          <w:i/>
          <w:color w:val="231F20"/>
        </w:rPr>
        <w:t>Exhibits and Financial Statement</w:t>
      </w:r>
      <w:r>
        <w:rPr>
          <w:i/>
          <w:color w:val="231F20"/>
          <w:spacing w:val="-4"/>
        </w:rPr>
        <w:t> </w:t>
      </w:r>
      <w:r>
        <w:rPr>
          <w:i/>
          <w:color w:val="231F20"/>
        </w:rPr>
        <w:t>Schedules</w:t>
      </w:r>
    </w:p>
    <w:p>
      <w:pPr>
        <w:pStyle w:val="BodyText"/>
        <w:spacing w:before="8"/>
        <w:rPr>
          <w:b/>
          <w:i/>
        </w:rPr>
      </w:pPr>
    </w:p>
    <w:p>
      <w:pPr>
        <w:pStyle w:val="ListParagraph"/>
        <w:numPr>
          <w:ilvl w:val="1"/>
          <w:numId w:val="23"/>
        </w:numPr>
        <w:tabs>
          <w:tab w:pos="1119" w:val="left" w:leader="none"/>
        </w:tabs>
        <w:spacing w:line="240" w:lineRule="auto" w:before="0" w:after="0"/>
        <w:ind w:left="1119" w:right="0" w:hanging="299"/>
        <w:jc w:val="left"/>
        <w:rPr>
          <w:i/>
          <w:sz w:val="22"/>
        </w:rPr>
      </w:pPr>
      <w:r>
        <w:rPr>
          <w:color w:val="231F20"/>
          <w:sz w:val="22"/>
        </w:rPr>
        <w:t>1. </w:t>
      </w:r>
      <w:r>
        <w:rPr>
          <w:i/>
          <w:color w:val="231F20"/>
          <w:sz w:val="22"/>
        </w:rPr>
        <w:t>Financial</w:t>
      </w:r>
      <w:r>
        <w:rPr>
          <w:i/>
          <w:color w:val="231F20"/>
          <w:spacing w:val="-1"/>
          <w:sz w:val="22"/>
        </w:rPr>
        <w:t> </w:t>
      </w:r>
      <w:r>
        <w:rPr>
          <w:i/>
          <w:color w:val="231F20"/>
          <w:sz w:val="22"/>
        </w:rPr>
        <w:t>Statements:</w:t>
      </w:r>
    </w:p>
    <w:p>
      <w:pPr>
        <w:pStyle w:val="BodyText"/>
        <w:spacing w:before="8"/>
        <w:rPr>
          <w:i/>
        </w:rPr>
      </w:pPr>
    </w:p>
    <w:p>
      <w:pPr>
        <w:pStyle w:val="BodyText"/>
        <w:spacing w:line="247" w:lineRule="auto"/>
        <w:ind w:left="100" w:right="117" w:firstLine="1200"/>
        <w:jc w:val="both"/>
      </w:pPr>
      <w:r>
        <w:rPr>
          <w:color w:val="231F20"/>
        </w:rPr>
        <w:t>The financial statements included in Item 8. Financial Statements and Supplementary Data above are filed as part of this annual report.</w:t>
      </w:r>
    </w:p>
    <w:p>
      <w:pPr>
        <w:pStyle w:val="BodyText"/>
        <w:spacing w:before="1"/>
      </w:pPr>
    </w:p>
    <w:p>
      <w:pPr>
        <w:pStyle w:val="ListParagraph"/>
        <w:numPr>
          <w:ilvl w:val="0"/>
          <w:numId w:val="24"/>
        </w:numPr>
        <w:tabs>
          <w:tab w:pos="1040" w:val="left" w:leader="none"/>
        </w:tabs>
        <w:spacing w:line="240" w:lineRule="auto" w:before="0" w:after="0"/>
        <w:ind w:left="1040" w:right="0" w:hanging="220"/>
        <w:jc w:val="left"/>
        <w:rPr>
          <w:i/>
          <w:sz w:val="22"/>
        </w:rPr>
      </w:pPr>
      <w:r>
        <w:rPr>
          <w:i/>
          <w:color w:val="231F20"/>
          <w:sz w:val="22"/>
        </w:rPr>
        <w:t>Financial Statement</w:t>
      </w:r>
      <w:r>
        <w:rPr>
          <w:i/>
          <w:color w:val="231F20"/>
          <w:spacing w:val="-1"/>
          <w:sz w:val="22"/>
        </w:rPr>
        <w:t> </w:t>
      </w:r>
      <w:r>
        <w:rPr>
          <w:i/>
          <w:color w:val="231F20"/>
          <w:sz w:val="22"/>
        </w:rPr>
        <w:t>Schedules:</w:t>
      </w:r>
    </w:p>
    <w:p>
      <w:pPr>
        <w:pStyle w:val="BodyText"/>
        <w:spacing w:before="8"/>
        <w:rPr>
          <w:i/>
        </w:rPr>
      </w:pPr>
    </w:p>
    <w:p>
      <w:pPr>
        <w:pStyle w:val="BodyText"/>
        <w:spacing w:line="247" w:lineRule="auto"/>
        <w:ind w:left="100" w:right="118" w:firstLine="1200"/>
        <w:jc w:val="both"/>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BodyText"/>
        <w:spacing w:before="1"/>
      </w:pPr>
    </w:p>
    <w:p>
      <w:pPr>
        <w:pStyle w:val="ListParagraph"/>
        <w:numPr>
          <w:ilvl w:val="0"/>
          <w:numId w:val="24"/>
        </w:numPr>
        <w:tabs>
          <w:tab w:pos="1040" w:val="left" w:leader="none"/>
        </w:tabs>
        <w:spacing w:line="240" w:lineRule="auto" w:before="0" w:after="0"/>
        <w:ind w:left="1040" w:right="0" w:hanging="220"/>
        <w:jc w:val="left"/>
        <w:rPr>
          <w:sz w:val="22"/>
        </w:rPr>
      </w:pPr>
      <w:r>
        <w:rPr>
          <w:color w:val="231F20"/>
          <w:sz w:val="22"/>
        </w:rPr>
        <w:t>Exhibits:</w:t>
      </w:r>
    </w:p>
    <w:p>
      <w:pPr>
        <w:pStyle w:val="BodyText"/>
        <w:spacing w:before="7"/>
      </w:pPr>
    </w:p>
    <w:p>
      <w:pPr>
        <w:pStyle w:val="ListParagraph"/>
        <w:numPr>
          <w:ilvl w:val="1"/>
          <w:numId w:val="25"/>
        </w:numPr>
        <w:tabs>
          <w:tab w:pos="1849" w:val="left" w:leader="none"/>
          <w:tab w:pos="1850" w:val="left" w:leader="none"/>
        </w:tabs>
        <w:spacing w:line="249" w:lineRule="auto" w:before="0" w:after="0"/>
        <w:ind w:left="1850" w:right="362" w:hanging="1650"/>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w:t>
      </w:r>
      <w:r>
        <w:rPr>
          <w:color w:val="231F20"/>
          <w:spacing w:val="1"/>
          <w:sz w:val="20"/>
        </w:rPr>
        <w:t> </w:t>
      </w:r>
      <w:r>
        <w:rPr>
          <w:color w:val="231F20"/>
          <w:sz w:val="20"/>
        </w:rPr>
        <w:t>1-7259)).</w:t>
      </w:r>
    </w:p>
    <w:p>
      <w:pPr>
        <w:pStyle w:val="ListParagraph"/>
        <w:numPr>
          <w:ilvl w:val="1"/>
          <w:numId w:val="25"/>
        </w:numPr>
        <w:tabs>
          <w:tab w:pos="1849" w:val="left" w:leader="none"/>
          <w:tab w:pos="1850" w:val="left" w:leader="none"/>
        </w:tabs>
        <w:spacing w:line="249" w:lineRule="auto" w:before="127" w:after="0"/>
        <w:ind w:left="1850" w:right="389" w:hanging="1650"/>
        <w:jc w:val="left"/>
        <w:rPr>
          <w:sz w:val="20"/>
        </w:rPr>
      </w:pPr>
      <w:r>
        <w:rPr>
          <w:color w:val="231F20"/>
          <w:sz w:val="20"/>
        </w:rPr>
        <w:t>Amended and Restated Bylaws of the Company, effective November 19, 2009 (incorporated by reference to Exhibit 3.1 to the Company’s Current Report on Form 8-K dated November 19, 2009 (File No. 1-7259)).</w:t>
      </w:r>
    </w:p>
    <w:p>
      <w:pPr>
        <w:pStyle w:val="ListParagraph"/>
        <w:numPr>
          <w:ilvl w:val="1"/>
          <w:numId w:val="26"/>
        </w:numPr>
        <w:tabs>
          <w:tab w:pos="1849" w:val="left" w:leader="none"/>
          <w:tab w:pos="1850" w:val="left" w:leader="none"/>
        </w:tabs>
        <w:spacing w:line="249" w:lineRule="auto" w:before="127" w:after="0"/>
        <w:ind w:left="1850" w:right="191" w:hanging="1650"/>
        <w:jc w:val="left"/>
        <w:rPr>
          <w:sz w:val="20"/>
        </w:rPr>
      </w:pPr>
      <w:r>
        <w:rPr>
          <w:color w:val="231F20"/>
          <w:sz w:val="20"/>
        </w:rPr>
        <w:t>Specimen certificate representing common stock of the Company (incorporated by reference to Exhibit 4.2 to the Company’s Annual Report on Form 10-K for the year ended December 31, 1994 (File No.</w:t>
      </w:r>
      <w:r>
        <w:rPr>
          <w:color w:val="231F20"/>
          <w:spacing w:val="1"/>
          <w:sz w:val="20"/>
        </w:rPr>
        <w:t> </w:t>
      </w:r>
      <w:r>
        <w:rPr>
          <w:color w:val="231F20"/>
          <w:sz w:val="20"/>
        </w:rPr>
        <w:t>1-7259)).</w:t>
      </w:r>
    </w:p>
    <w:p>
      <w:pPr>
        <w:pStyle w:val="ListParagraph"/>
        <w:numPr>
          <w:ilvl w:val="1"/>
          <w:numId w:val="26"/>
        </w:numPr>
        <w:tabs>
          <w:tab w:pos="1849" w:val="left" w:leader="none"/>
          <w:tab w:pos="1850" w:val="left" w:leader="none"/>
        </w:tabs>
        <w:spacing w:line="240" w:lineRule="auto" w:before="127" w:after="0"/>
        <w:ind w:left="1850" w:right="0" w:hanging="1650"/>
        <w:jc w:val="left"/>
        <w:rPr>
          <w:sz w:val="20"/>
        </w:rPr>
      </w:pPr>
      <w:r>
        <w:rPr>
          <w:color w:val="231F20"/>
          <w:sz w:val="20"/>
        </w:rPr>
        <w:t>Indenture dated as of February 14, 2005, between the Company and The Bank</w:t>
      </w:r>
      <w:r>
        <w:rPr>
          <w:color w:val="231F20"/>
          <w:spacing w:val="1"/>
          <w:sz w:val="20"/>
        </w:rPr>
        <w:t> </w:t>
      </w:r>
      <w:r>
        <w:rPr>
          <w:color w:val="231F20"/>
          <w:sz w:val="20"/>
        </w:rPr>
        <w:t>of</w:t>
      </w:r>
    </w:p>
    <w:p>
      <w:pPr>
        <w:spacing w:line="249" w:lineRule="auto" w:before="9"/>
        <w:ind w:left="1850" w:right="327" w:firstLine="0"/>
        <w:jc w:val="left"/>
        <w:rPr>
          <w:sz w:val="20"/>
        </w:rPr>
      </w:pPr>
      <w:r>
        <w:rPr>
          <w:color w:val="231F20"/>
          <w:sz w:val="20"/>
        </w:rPr>
        <w:t>New York Trust Company, N.A., Trustee (incorporated by reference to Exhibit 4.2 to the Company’s Current Report on Form 8-K dated February 14, 2005 (File No. 1-7259)).</w:t>
      </w:r>
    </w:p>
    <w:p>
      <w:pPr>
        <w:pStyle w:val="ListParagraph"/>
        <w:numPr>
          <w:ilvl w:val="1"/>
          <w:numId w:val="26"/>
        </w:numPr>
        <w:tabs>
          <w:tab w:pos="1849" w:val="left" w:leader="none"/>
          <w:tab w:pos="1850" w:val="left" w:leader="none"/>
        </w:tabs>
        <w:spacing w:line="249" w:lineRule="auto" w:before="127" w:after="0"/>
        <w:ind w:left="1850" w:right="358" w:hanging="16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w:t>
      </w:r>
      <w:r>
        <w:rPr>
          <w:color w:val="231F20"/>
          <w:spacing w:val="3"/>
          <w:sz w:val="20"/>
        </w:rPr>
        <w:t> </w:t>
      </w:r>
      <w:r>
        <w:rPr>
          <w:color w:val="231F20"/>
          <w:sz w:val="20"/>
        </w:rPr>
        <w:t>333-100861)).</w:t>
      </w:r>
    </w:p>
    <w:p>
      <w:pPr>
        <w:pStyle w:val="ListParagraph"/>
        <w:numPr>
          <w:ilvl w:val="1"/>
          <w:numId w:val="26"/>
        </w:numPr>
        <w:tabs>
          <w:tab w:pos="1849" w:val="left" w:leader="none"/>
          <w:tab w:pos="1850" w:val="left" w:leader="none"/>
        </w:tabs>
        <w:spacing w:line="249" w:lineRule="auto" w:before="127" w:after="0"/>
        <w:ind w:left="1850" w:right="127" w:hanging="1650"/>
        <w:jc w:val="both"/>
        <w:rPr>
          <w:sz w:val="20"/>
        </w:rPr>
      </w:pPr>
      <w:r>
        <w:rPr>
          <w:color w:val="231F20"/>
          <w:sz w:val="20"/>
        </w:rPr>
        <w:t>Indenture dated as of February 25, 1997, between the Company and U.S. Trust Company of Texas, N.A. (incorporated by reference to Exhibit 4.12 to the Company’s Annual Report on Form 10-K for the year ended December 31, 1996 (File No.</w:t>
      </w:r>
      <w:r>
        <w:rPr>
          <w:color w:val="231F20"/>
          <w:spacing w:val="1"/>
          <w:sz w:val="20"/>
        </w:rPr>
        <w:t> </w:t>
      </w:r>
      <w:r>
        <w:rPr>
          <w:color w:val="231F20"/>
          <w:sz w:val="20"/>
        </w:rPr>
        <w:t>1-7259)).</w:t>
      </w:r>
    </w:p>
    <w:p>
      <w:pPr>
        <w:spacing w:line="249" w:lineRule="auto" w:before="127"/>
        <w:ind w:left="1850" w:right="249" w:firstLine="0"/>
        <w:jc w:val="left"/>
        <w:rPr>
          <w:sz w:val="20"/>
        </w:rPr>
      </w:pPr>
      <w:r>
        <w:rPr>
          <w:color w:val="231F20"/>
          <w:sz w:val="20"/>
        </w:rPr>
        <w:t>The Company is not filing any other instruments evidencing any indebtedness because the total amount of securities authorized under any single such instrument does not exceed</w:t>
      </w:r>
    </w:p>
    <w:p>
      <w:pPr>
        <w:spacing w:line="249" w:lineRule="auto" w:before="0"/>
        <w:ind w:left="1850" w:right="310" w:firstLine="0"/>
        <w:jc w:val="left"/>
        <w:rPr>
          <w:sz w:val="20"/>
        </w:rPr>
      </w:pPr>
      <w:r>
        <w:rPr>
          <w:color w:val="231F20"/>
          <w:sz w:val="20"/>
        </w:rPr>
        <w:t>10 percent of its total consolidated assets. Copies of such instruments will be furnished to the Securities and Exchange Commission upon request.</w:t>
      </w:r>
    </w:p>
    <w:p>
      <w:pPr>
        <w:pStyle w:val="ListParagraph"/>
        <w:numPr>
          <w:ilvl w:val="1"/>
          <w:numId w:val="27"/>
        </w:numPr>
        <w:tabs>
          <w:tab w:pos="1849" w:val="left" w:leader="none"/>
          <w:tab w:pos="1850" w:val="left" w:leader="none"/>
        </w:tabs>
        <w:spacing w:line="249" w:lineRule="auto" w:before="127" w:after="0"/>
        <w:ind w:left="1850" w:right="134" w:hanging="1750"/>
        <w:jc w:val="left"/>
        <w:rPr>
          <w:sz w:val="20"/>
        </w:rPr>
      </w:pPr>
      <w:r>
        <w:rPr>
          <w:color w:val="231F20"/>
          <w:sz w:val="20"/>
        </w:rPr>
        <w:t>Purchase Agreement No. 1810, dated January 19, 1994, between The Boeing Company and the 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w:t>
      </w:r>
      <w:r>
        <w:rPr>
          <w:color w:val="231F20"/>
          <w:spacing w:val="1"/>
          <w:sz w:val="20"/>
        </w:rPr>
        <w:t> </w:t>
      </w:r>
      <w:r>
        <w:rPr>
          <w:color w:val="231F20"/>
          <w:sz w:val="20"/>
        </w:rPr>
        <w:t>(File</w:t>
      </w:r>
    </w:p>
    <w:p>
      <w:pPr>
        <w:spacing w:before="0"/>
        <w:ind w:left="1850" w:right="0" w:firstLine="0"/>
        <w:jc w:val="left"/>
        <w:rPr>
          <w:sz w:val="20"/>
        </w:rPr>
      </w:pPr>
      <w:r>
        <w:rPr>
          <w:color w:val="231F20"/>
          <w:sz w:val="20"/>
        </w:rPr>
        <w:t>No. 1-7259)); Supplemental Agreements Nos. 5, 6, and 7 (incorporated by reference to</w:t>
      </w:r>
    </w:p>
    <w:p>
      <w:pPr>
        <w:spacing w:after="0"/>
        <w:jc w:val="left"/>
        <w:rPr>
          <w:sz w:val="20"/>
        </w:rPr>
        <w:sectPr>
          <w:pgSz w:w="11880" w:h="15480"/>
          <w:pgMar w:header="0" w:footer="1240" w:top="1240" w:bottom="1420" w:left="1280" w:right="1260"/>
        </w:sectPr>
      </w:pPr>
    </w:p>
    <w:p>
      <w:pPr>
        <w:spacing w:line="244" w:lineRule="auto" w:before="67"/>
        <w:ind w:left="1450" w:right="723" w:firstLine="0"/>
        <w:jc w:val="left"/>
        <w:rPr>
          <w:sz w:val="20"/>
        </w:rPr>
      </w:pPr>
      <w:r>
        <w:rPr>
          <w:color w:val="231F20"/>
          <w:sz w:val="20"/>
        </w:rPr>
        <w:t>Exhibit 10.1 to the Company’s Annual Report on Form 10-K for the year ended December 31, 1998 (File No. 1-7259)); Supplemental Agreements Nos. 8, 9, and 10</w:t>
      </w:r>
    </w:p>
    <w:p>
      <w:pPr>
        <w:spacing w:line="244" w:lineRule="auto" w:before="0"/>
        <w:ind w:left="1450" w:right="185" w:firstLine="0"/>
        <w:jc w:val="left"/>
        <w:rPr>
          <w:sz w:val="20"/>
        </w:rPr>
      </w:pPr>
      <w:r>
        <w:rPr>
          <w:color w:val="231F20"/>
          <w:sz w:val="20"/>
        </w:rPr>
        <w:t>(incorporated by reference to Exhibit 10.1 to the Company’s Annual Report on Form 10-K for the year ended December 31, 1999 (File No. 1-7259)); Supplemental Agreements</w:t>
      </w:r>
    </w:p>
    <w:p>
      <w:pPr>
        <w:spacing w:line="244" w:lineRule="auto" w:before="0"/>
        <w:ind w:left="1450" w:right="107" w:firstLine="0"/>
        <w:jc w:val="left"/>
        <w:rPr>
          <w:sz w:val="20"/>
        </w:rPr>
      </w:pPr>
      <w:r>
        <w:rPr>
          <w:color w:val="231F20"/>
          <w:sz w:val="20"/>
        </w:rPr>
        <w:t>Nos. 11, 12, 13, and 14 (incorporated by reference to Exhibit 10.1 to the Company’s Quarterly Report on Form 10-Q for the quarter ended September 30, 2000 (File No. 1- 7259)); Supplemental Agreements Nos. 15, 16, 17, 18, and 19 (incorporated by reference to Exhibit 10.1 to the Company’s Quarterly Report on Form 10-Q for the quarter ended September 30, 2001 (File No. 1-7259)); Supplemental Agreements Nos. 20, 21, 22, 23, and 24 (incorporated by reference to Exhibit 10.3 to the Company’s Quarterly Report on</w:t>
      </w:r>
    </w:p>
    <w:p>
      <w:pPr>
        <w:spacing w:line="244" w:lineRule="auto" w:before="0"/>
        <w:ind w:left="1450" w:right="357" w:firstLine="0"/>
        <w:jc w:val="left"/>
        <w:rPr>
          <w:sz w:val="20"/>
        </w:rPr>
      </w:pPr>
      <w:r>
        <w:rPr>
          <w:color w:val="231F20"/>
          <w:sz w:val="20"/>
        </w:rPr>
        <w:t>Form 10-Q for the quarter ended September 30, 2002 (File No. 1-7259)); Supplemental Agreements Nos. 25, 26, 27, 28, and 29 (incorporated by reference to Exhibit 10.8 to the Company’s Quarterly Report on Form 10-Q for the quarter ended June 30, 2003 (File</w:t>
      </w:r>
    </w:p>
    <w:p>
      <w:pPr>
        <w:spacing w:line="244" w:lineRule="auto" w:before="0"/>
        <w:ind w:left="1450" w:right="102" w:firstLine="0"/>
        <w:jc w:val="left"/>
        <w:rPr>
          <w:sz w:val="20"/>
        </w:rPr>
      </w:pPr>
      <w:r>
        <w:rPr>
          <w:color w:val="231F20"/>
          <w:sz w:val="20"/>
        </w:rPr>
        <w:t>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w:t>
      </w:r>
    </w:p>
    <w:p>
      <w:pPr>
        <w:spacing w:line="244" w:lineRule="auto" w:before="0"/>
        <w:ind w:left="1450" w:right="335" w:firstLine="0"/>
        <w:jc w:val="left"/>
        <w:rPr>
          <w:sz w:val="20"/>
        </w:rPr>
      </w:pPr>
      <w:r>
        <w:rPr>
          <w:color w:val="231F20"/>
          <w:sz w:val="20"/>
        </w:rPr>
        <w:t>Form 10-Q for the quarter ended June 30, 2004 (File No. 1-7259)); Supplemental Agreements Nos. 39 and 40 (incorporated by reference to Exhibit 10.6 to the Company’s Quarterly Report on Form 10-Q for the quarter ended September 30, 2004 (File</w:t>
      </w:r>
    </w:p>
    <w:p>
      <w:pPr>
        <w:spacing w:line="244" w:lineRule="auto" w:before="0"/>
        <w:ind w:left="1450" w:right="184" w:firstLine="0"/>
        <w:jc w:val="left"/>
        <w:rPr>
          <w:sz w:val="20"/>
        </w:rPr>
      </w:pPr>
      <w:r>
        <w:rPr>
          <w:color w:val="231F20"/>
          <w:sz w:val="20"/>
        </w:rPr>
        <w:t>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 Exhibit 10.1 to the Company’s Quarterly Report on</w:t>
      </w:r>
    </w:p>
    <w:p>
      <w:pPr>
        <w:spacing w:line="244" w:lineRule="auto" w:before="0"/>
        <w:ind w:left="1450" w:right="95" w:firstLine="0"/>
        <w:jc w:val="left"/>
        <w:rPr>
          <w:sz w:val="20"/>
        </w:rPr>
      </w:pPr>
      <w:r>
        <w:rPr>
          <w:color w:val="231F20"/>
          <w:sz w:val="20"/>
        </w:rPr>
        <w:t>Form 10-Q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w:t>
      </w:r>
    </w:p>
    <w:p>
      <w:pPr>
        <w:spacing w:line="244" w:lineRule="auto" w:before="0"/>
        <w:ind w:left="1450" w:right="248" w:firstLine="0"/>
        <w:jc w:val="left"/>
        <w:rPr>
          <w:sz w:val="20"/>
        </w:rPr>
      </w:pPr>
      <w:r>
        <w:rPr>
          <w:color w:val="231F20"/>
          <w:sz w:val="20"/>
        </w:rPr>
        <w:t>(File No. 1-7259)); Supplemental Agreement No. 51 (incorporated by reference to Exhibit 10.1 to the Company’s Annual Report on Form 10-K for the year ended December 31, 2006 (File No. 1-7259)); Supplemental Agreement No. 52 (incorporated</w:t>
      </w:r>
      <w:r>
        <w:rPr>
          <w:color w:val="231F20"/>
          <w:spacing w:val="6"/>
          <w:sz w:val="20"/>
        </w:rPr>
        <w:t> </w:t>
      </w:r>
      <w:r>
        <w:rPr>
          <w:color w:val="231F20"/>
          <w:sz w:val="20"/>
        </w:rPr>
        <w:t>by</w:t>
      </w:r>
    </w:p>
    <w:p>
      <w:pPr>
        <w:spacing w:line="244" w:lineRule="auto" w:before="0"/>
        <w:ind w:left="1450" w:right="184" w:firstLine="0"/>
        <w:jc w:val="left"/>
        <w:rPr>
          <w:sz w:val="20"/>
        </w:rPr>
      </w:pPr>
      <w:r>
        <w:rPr>
          <w:color w:val="231F20"/>
          <w:sz w:val="20"/>
        </w:rPr>
        <w:t>reference to Exhibit 10.1 to the Company’s Quarterly Report on Form 10-Q for the quarter ended March 31, 2007 (File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 Form 10-Q for the quarter ended September 30, 2007</w:t>
      </w:r>
    </w:p>
    <w:p>
      <w:pPr>
        <w:spacing w:line="230" w:lineRule="exact" w:before="0"/>
        <w:ind w:left="1450" w:right="0" w:firstLine="0"/>
        <w:jc w:val="left"/>
        <w:rPr>
          <w:sz w:val="20"/>
        </w:rPr>
      </w:pPr>
      <w:r>
        <w:rPr>
          <w:color w:val="231F20"/>
          <w:sz w:val="20"/>
        </w:rPr>
        <w:t>(File No. 1-7259)); Supplemental Agreement No. 56 (incorporated by reference to</w:t>
      </w:r>
    </w:p>
    <w:p>
      <w:pPr>
        <w:spacing w:line="244" w:lineRule="auto" w:before="3"/>
        <w:ind w:left="1450" w:right="95" w:firstLine="0"/>
        <w:jc w:val="left"/>
        <w:rPr>
          <w:sz w:val="20"/>
        </w:rPr>
      </w:pPr>
      <w:r>
        <w:rPr>
          <w:color w:val="231F20"/>
          <w:sz w:val="20"/>
        </w:rPr>
        <w:t>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 Nos. 62 and 63 (incorporated by reference to Exhibits 10.1 and 10.2, respectively, to the Company’s Quarterly Report on Form 10-Q for the quarter ended</w:t>
      </w:r>
    </w:p>
    <w:p>
      <w:pPr>
        <w:spacing w:after="0" w:line="244" w:lineRule="auto"/>
        <w:jc w:val="left"/>
        <w:rPr>
          <w:sz w:val="20"/>
        </w:rPr>
        <w:sectPr>
          <w:footerReference w:type="default" r:id="rId27"/>
          <w:pgSz w:w="11880" w:h="15480"/>
          <w:pgMar w:footer="1240" w:header="0" w:top="1240" w:bottom="1420" w:left="1680" w:right="1280"/>
          <w:pgNumType w:start="141"/>
        </w:sectPr>
      </w:pPr>
    </w:p>
    <w:p>
      <w:pPr>
        <w:spacing w:line="249" w:lineRule="auto" w:before="73"/>
        <w:ind w:left="1850" w:right="190" w:firstLine="0"/>
        <w:jc w:val="left"/>
        <w:rPr>
          <w:sz w:val="20"/>
        </w:rPr>
      </w:pPr>
      <w:r>
        <w:rPr>
          <w:color w:val="231F20"/>
          <w:sz w:val="20"/>
        </w:rPr>
        <w:t>March 31, 2009 (File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w:t>
      </w:r>
    </w:p>
    <w:p>
      <w:pPr>
        <w:spacing w:line="249" w:lineRule="auto" w:before="1"/>
        <w:ind w:left="1850" w:right="218" w:firstLine="0"/>
        <w:jc w:val="left"/>
        <w:rPr>
          <w:sz w:val="20"/>
        </w:rPr>
      </w:pPr>
      <w:r>
        <w:rPr>
          <w:color w:val="231F20"/>
          <w:sz w:val="20"/>
        </w:rPr>
        <w:t>Form 10-Q for the quarter ended September 30, 2010 (File No. 1-7259)); Supplemental Agreement No. 67 (incorporated by reference to Exhibit 10.1(a) to the Company’s Annual Report on Form 10-K for the year ended December 31, 2010 (File No. 1-7259)); Supplemental Agreement No. 68 (incorporated by reference to Exhibit 10.1(b) to the Company’s Annual Report on Form 10-K for the year ended December 31, 2010</w:t>
      </w:r>
    </w:p>
    <w:p>
      <w:pPr>
        <w:spacing w:line="249" w:lineRule="auto" w:before="1"/>
        <w:ind w:left="1850" w:right="248" w:firstLine="0"/>
        <w:jc w:val="left"/>
        <w:rPr>
          <w:sz w:val="20"/>
        </w:rPr>
      </w:pPr>
      <w:r>
        <w:rPr>
          <w:color w:val="231F20"/>
          <w:sz w:val="20"/>
        </w:rPr>
        <w:t>(File No. 1-7259)); Supplemental Agreement No. 69 (incorporated by reference to Exhibit 10.1(c) to the Company’s Annual Report on Form 10-K for the year ended December 31, 2010 (File No. 1-7259)); Supplemental Agreement No. 70 (incorporated by reference to Exhibit 10.1(d) to the Company’s Annual Report on Form 10-K for the year ended December 31, 2010 (File No. 1-7259)); Supplemental Agreements Nos. 71 and 72 (incorporated by reference to Exhibits 10.1 and 10.2, respectively, to the Company’s Quarterly Report on Form 10-Q for the quarter ended March 31, 2011 (File No. 1-7259)); Supplemental Agreement No. 73 (incorporated by reference to Exhibit 10.1 to the Company’s Quarterly Report on Form 10-Q for the quarter ended June 30,</w:t>
      </w:r>
      <w:r>
        <w:rPr>
          <w:color w:val="231F20"/>
          <w:spacing w:val="2"/>
          <w:sz w:val="20"/>
        </w:rPr>
        <w:t> </w:t>
      </w:r>
      <w:r>
        <w:rPr>
          <w:color w:val="231F20"/>
          <w:sz w:val="20"/>
        </w:rPr>
        <w:t>2011</w:t>
      </w:r>
    </w:p>
    <w:p>
      <w:pPr>
        <w:spacing w:line="249" w:lineRule="auto" w:before="1"/>
        <w:ind w:left="1850" w:right="662" w:firstLine="0"/>
        <w:jc w:val="left"/>
        <w:rPr>
          <w:sz w:val="20"/>
        </w:rPr>
      </w:pPr>
      <w:r>
        <w:rPr>
          <w:color w:val="231F20"/>
          <w:sz w:val="20"/>
        </w:rPr>
        <w:t>(File No. 1-7259)); Supplemental Agreement No. 74 (incorporated by reference to Exhibit 10.1 to the Company’s Quarterly Report on Form 10-Q for the quarter ended</w:t>
      </w:r>
    </w:p>
    <w:p>
      <w:pPr>
        <w:spacing w:line="249" w:lineRule="auto" w:before="1"/>
        <w:ind w:left="1850" w:right="185" w:firstLine="0"/>
        <w:jc w:val="left"/>
        <w:rPr>
          <w:sz w:val="20"/>
        </w:rPr>
      </w:pPr>
      <w:r>
        <w:rPr>
          <w:color w:val="231F20"/>
          <w:sz w:val="20"/>
        </w:rPr>
        <w:t>September 30, 2011 (File No. 1-7259)); Supplemental Agreement No. 75 (incorporated by reference to Exhibit 10.1(a) to the Company’s Annual Report on Form 10-K for the year ended December 31, 2011 (File No. 1-7259)); Supplemental Agreements Nos. 76 and 77 (incorporated by reference to Exhibits 10.1 and 10.2, respectively, to the Company’s Quarterly Report on Form 10-Q for the quarter ended June 30, 2012 (File No. 1-7259)); Supplemental Agreements Nos. 78 and 79 (incorporated by reference to Exhibits 10.1 and 10.2, respectively, to the Company’s Quarterly Report on Form 10-Q for the quarter ended September 30, 2012 (File No. 1-7259)); Supplemental Agreements Nos. 80 and 81 (incorporated by reference to Exhibits 10.1 and 10.2, respectively, to the Company’s Quarterly Report on Form 10-Q for the quarter ended March 31, 2013 (File No. 1-7259)); Supplemental Agreements Nos. 82 and 83 (incorporated by reference to Exhibits 10.1 and 10.2, respectively, to the Company’s Quarterly Report on Form 10-Q for the quarter ended June 30, 2013 (File No. 1-7259)); Supplemental Agreement No. 84 (incorporated by reference to Exhibit 10.1 to the Company’s Quarterly Report on Form 10-Q for the quarter ended September 30, 2013 (File No. 1-7259)); Supplemental Agreement No. 85 (incorporated by reference to Exhibit 10.1(a) to the Company’s Annual Report on</w:t>
      </w:r>
    </w:p>
    <w:p>
      <w:pPr>
        <w:spacing w:line="249" w:lineRule="auto" w:before="1"/>
        <w:ind w:left="1850" w:right="263" w:firstLine="0"/>
        <w:jc w:val="left"/>
        <w:rPr>
          <w:sz w:val="20"/>
        </w:rPr>
      </w:pPr>
      <w:r>
        <w:rPr>
          <w:color w:val="231F20"/>
          <w:sz w:val="20"/>
        </w:rPr>
        <w:t>Form 10-K for the year ended December 31, 2013 (File No. 1-7259)); Supplemental Agreement No. 86 (incorporated by reference to Exhibit 10.1 to the Company’s Quarterly Report on Form 10-Q for the quarter ended March 31, 2014 (File No. 1-7259)); Supplemental Agreement No. 87 (incorporated by reference to Exhibit 10.1 to the Company’s Quarterly Report on Form 10-Q for the quarter ended June 30, 2014</w:t>
      </w:r>
    </w:p>
    <w:p>
      <w:pPr>
        <w:spacing w:line="249" w:lineRule="auto" w:before="1"/>
        <w:ind w:left="1850" w:right="662" w:firstLine="0"/>
        <w:jc w:val="left"/>
        <w:rPr>
          <w:sz w:val="20"/>
        </w:rPr>
      </w:pPr>
      <w:r>
        <w:rPr>
          <w:color w:val="231F20"/>
          <w:sz w:val="20"/>
        </w:rPr>
        <w:t>(File No. 1-7259)); Supplemental Agreement No. 88 (incorporated by reference to Exhibit 10.1 to the Company’s Quarterly Report on Form 10-Q for the quarter ended September 30, 2014 (File No. 1-7259)). (1)</w:t>
      </w:r>
    </w:p>
    <w:p>
      <w:pPr>
        <w:tabs>
          <w:tab w:pos="1849" w:val="left" w:leader="none"/>
        </w:tabs>
        <w:spacing w:line="249" w:lineRule="auto" w:before="121"/>
        <w:ind w:left="1850" w:right="111" w:hanging="1750"/>
        <w:jc w:val="left"/>
        <w:rPr>
          <w:sz w:val="20"/>
        </w:rPr>
      </w:pPr>
      <w:r>
        <w:rPr>
          <w:color w:val="231F20"/>
          <w:sz w:val="20"/>
        </w:rPr>
        <w:t>10.1(a)</w:t>
        <w:tab/>
        <w:t>Supplemental Agreement No. 89 to Purchase Agreement No. 1810, dated January</w:t>
      </w:r>
      <w:r>
        <w:rPr>
          <w:color w:val="231F20"/>
          <w:spacing w:val="4"/>
          <w:sz w:val="20"/>
        </w:rPr>
        <w:t> </w:t>
      </w:r>
      <w:r>
        <w:rPr>
          <w:color w:val="231F20"/>
          <w:sz w:val="20"/>
        </w:rPr>
        <w:t>19, 1994, between The Boeing Company and the Company. (1)</w:t>
      </w:r>
    </w:p>
    <w:p>
      <w:pPr>
        <w:tabs>
          <w:tab w:pos="1849" w:val="left" w:leader="none"/>
        </w:tabs>
        <w:spacing w:line="249" w:lineRule="auto" w:before="121"/>
        <w:ind w:left="1850" w:right="111" w:hanging="1750"/>
        <w:jc w:val="left"/>
        <w:rPr>
          <w:sz w:val="20"/>
        </w:rPr>
      </w:pPr>
      <w:r>
        <w:rPr>
          <w:color w:val="231F20"/>
          <w:sz w:val="20"/>
        </w:rPr>
        <w:t>10.1(b)</w:t>
        <w:tab/>
        <w:t>Supplemental Agreement No. 90 to Purchase Agreement No. 1810, dated January</w:t>
      </w:r>
      <w:r>
        <w:rPr>
          <w:color w:val="231F20"/>
          <w:spacing w:val="4"/>
          <w:sz w:val="20"/>
        </w:rPr>
        <w:t> </w:t>
      </w:r>
      <w:r>
        <w:rPr>
          <w:color w:val="231F20"/>
          <w:sz w:val="20"/>
        </w:rPr>
        <w:t>19, 1994, between The Boeing Company and the Company. (1)</w:t>
      </w:r>
    </w:p>
    <w:p>
      <w:pPr>
        <w:spacing w:after="0" w:line="249" w:lineRule="auto"/>
        <w:jc w:val="left"/>
        <w:rPr>
          <w:sz w:val="20"/>
        </w:rPr>
        <w:sectPr>
          <w:pgSz w:w="11880" w:h="15480"/>
          <w:pgMar w:header="0" w:footer="1240" w:top="1240" w:bottom="1420" w:left="1280" w:right="1280"/>
        </w:sectPr>
      </w:pPr>
    </w:p>
    <w:p>
      <w:pPr>
        <w:pStyle w:val="ListParagraph"/>
        <w:numPr>
          <w:ilvl w:val="1"/>
          <w:numId w:val="27"/>
        </w:numPr>
        <w:tabs>
          <w:tab w:pos="1849" w:val="left" w:leader="none"/>
          <w:tab w:pos="1850" w:val="left" w:leader="none"/>
        </w:tabs>
        <w:spacing w:line="249" w:lineRule="auto" w:before="73" w:after="0"/>
        <w:ind w:left="1850" w:right="172" w:hanging="17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439" w:hanging="1750"/>
        <w:jc w:val="left"/>
        <w:rPr>
          <w:sz w:val="20"/>
        </w:rPr>
      </w:pPr>
      <w:r>
        <w:rPr>
          <w:color w:val="231F20"/>
          <w:sz w:val="20"/>
        </w:rPr>
        <w:t>Southwest Airlines Co. 1996 Incentive Stock Option Plan (incorporated by reference to Exhibit 10.12 to the Company’s Annual Report on Form 10-K for the year ended December 31, 2002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225" w:hanging="1750"/>
        <w:jc w:val="left"/>
        <w:rPr>
          <w:sz w:val="20"/>
        </w:rPr>
      </w:pPr>
      <w:r>
        <w:rPr>
          <w:color w:val="231F20"/>
          <w:sz w:val="20"/>
        </w:rPr>
        <w:t>Southwest Airlines Co. 1996 Non-Qualified Stock Option Plan (incorporated by reference to Exhibit 10.13 to the Company’s Annual Report on Form 10-K for the year ended December 31, 2002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517" w:hanging="1750"/>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262" w:hanging="1750"/>
        <w:jc w:val="left"/>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2"/>
          <w:sz w:val="20"/>
        </w:rPr>
        <w:t> </w:t>
      </w:r>
      <w:r>
        <w:rPr>
          <w:color w:val="231F20"/>
          <w:sz w:val="20"/>
        </w:rPr>
        <w:t>1-7259)).</w:t>
      </w:r>
    </w:p>
    <w:p>
      <w:pPr>
        <w:pStyle w:val="ListParagraph"/>
        <w:numPr>
          <w:ilvl w:val="1"/>
          <w:numId w:val="27"/>
        </w:numPr>
        <w:tabs>
          <w:tab w:pos="1849" w:val="left" w:leader="none"/>
          <w:tab w:pos="1850" w:val="left" w:leader="none"/>
        </w:tabs>
        <w:spacing w:line="249" w:lineRule="auto" w:before="130" w:after="0"/>
        <w:ind w:left="1850" w:right="172" w:hanging="17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pStyle w:val="ListParagraph"/>
        <w:numPr>
          <w:ilvl w:val="1"/>
          <w:numId w:val="27"/>
        </w:numPr>
        <w:tabs>
          <w:tab w:pos="1849" w:val="left" w:leader="none"/>
          <w:tab w:pos="1850" w:val="left" w:leader="none"/>
        </w:tabs>
        <w:spacing w:line="249" w:lineRule="auto" w:before="130" w:after="0"/>
        <w:ind w:left="1850" w:right="558" w:hanging="1750"/>
        <w:jc w:val="left"/>
        <w:rPr>
          <w:sz w:val="20"/>
        </w:rPr>
      </w:pPr>
      <w:r>
        <w:rPr>
          <w:color w:val="231F20"/>
          <w:sz w:val="20"/>
        </w:rPr>
        <w:t>Southwest Airlines Co. LUV 2000 Non-Qualified Stock Option Plan (incorporated by reference to Exhibit 4.1 to the Company’s Registration Statement on Form S-8 filed January 12, 2001 (File No. 333-53610)).</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569" w:hanging="1750"/>
        <w:jc w:val="left"/>
        <w:rPr>
          <w:sz w:val="20"/>
        </w:rPr>
      </w:pPr>
      <w:r>
        <w:rPr>
          <w:color w:val="231F20"/>
          <w:sz w:val="20"/>
        </w:rPr>
        <w:t>Southwest Airlines Co. 2002 Bonus SWAPA Non-Qualified Stock Option Plan (incorporated by reference to Exhibit 4.2 to the Company’s Registration Statement on Form S-8 filed August 27, 2002 (File No.</w:t>
      </w:r>
      <w:r>
        <w:rPr>
          <w:color w:val="231F20"/>
          <w:spacing w:val="1"/>
          <w:sz w:val="20"/>
        </w:rPr>
        <w:t> </w:t>
      </w:r>
      <w:r>
        <w:rPr>
          <w:color w:val="231F20"/>
          <w:sz w:val="20"/>
        </w:rPr>
        <w:t>333-98761)).</w:t>
      </w:r>
    </w:p>
    <w:p>
      <w:pPr>
        <w:pStyle w:val="ListParagraph"/>
        <w:numPr>
          <w:ilvl w:val="1"/>
          <w:numId w:val="27"/>
        </w:numPr>
        <w:tabs>
          <w:tab w:pos="1849" w:val="left" w:leader="none"/>
          <w:tab w:pos="1850" w:val="left" w:leader="none"/>
        </w:tabs>
        <w:spacing w:line="249" w:lineRule="auto" w:before="130" w:after="0"/>
        <w:ind w:left="1850" w:right="202" w:hanging="1750"/>
        <w:jc w:val="left"/>
        <w:rPr>
          <w:sz w:val="20"/>
        </w:rPr>
      </w:pPr>
      <w:r>
        <w:rPr>
          <w:color w:val="231F20"/>
          <w:sz w:val="20"/>
        </w:rPr>
        <w:t>Southwest Airlines Co. 2002 SWAPIA Non-Qualified Stock Option Plan (incorporated by reference to Exhibit 4.1 to the Company’s Registration Statement on Form S-8 filed October 30, 2002 (File No. 333-100862)).</w:t>
      </w:r>
    </w:p>
    <w:p>
      <w:pPr>
        <w:pStyle w:val="ListParagraph"/>
        <w:numPr>
          <w:ilvl w:val="1"/>
          <w:numId w:val="27"/>
        </w:numPr>
        <w:tabs>
          <w:tab w:pos="1849" w:val="left" w:leader="none"/>
          <w:tab w:pos="1850" w:val="left" w:leader="none"/>
        </w:tabs>
        <w:spacing w:line="249" w:lineRule="auto" w:before="130" w:after="0"/>
        <w:ind w:left="1850" w:right="314" w:hanging="1750"/>
        <w:jc w:val="left"/>
        <w:rPr>
          <w:sz w:val="20"/>
        </w:rPr>
      </w:pPr>
      <w:r>
        <w:rPr>
          <w:color w:val="231F20"/>
          <w:sz w:val="20"/>
        </w:rPr>
        <w:t>Southwest Airlines Co. Amended and Restated 2007 Equity Incentive Plan (incorporated by reference to Exhibit 10.2 to the Company’s Quarterly Report on Form 10-Q for the quarter ended September 30, 2013 (File No. 1-7259)).</w:t>
      </w:r>
      <w:r>
        <w:rPr>
          <w:color w:val="231F20"/>
          <w:spacing w:val="3"/>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101" w:hanging="17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w:t>
      </w:r>
      <w:r>
        <w:rPr>
          <w:color w:val="231F20"/>
          <w:spacing w:val="1"/>
          <w:sz w:val="20"/>
        </w:rPr>
        <w:t> </w:t>
      </w:r>
      <w:r>
        <w:rPr>
          <w:color w:val="231F20"/>
          <w:sz w:val="20"/>
        </w:rPr>
        <w:t>(File</w:t>
      </w:r>
    </w:p>
    <w:p>
      <w:pPr>
        <w:spacing w:before="1"/>
        <w:ind w:left="1850" w:right="0" w:firstLine="0"/>
        <w:jc w:val="left"/>
        <w:rPr>
          <w:sz w:val="20"/>
        </w:rPr>
      </w:pPr>
      <w:r>
        <w:rPr>
          <w:color w:val="231F20"/>
          <w:sz w:val="20"/>
        </w:rPr>
        <w:t>No. 1-7259)). (2)</w:t>
      </w:r>
    </w:p>
    <w:p>
      <w:pPr>
        <w:pStyle w:val="ListParagraph"/>
        <w:numPr>
          <w:ilvl w:val="1"/>
          <w:numId w:val="27"/>
        </w:numPr>
        <w:tabs>
          <w:tab w:pos="1849" w:val="left" w:leader="none"/>
          <w:tab w:pos="1850" w:val="left" w:leader="none"/>
        </w:tabs>
        <w:spacing w:line="249" w:lineRule="auto" w:before="139" w:after="0"/>
        <w:ind w:left="1850" w:right="205" w:hanging="1750"/>
        <w:jc w:val="left"/>
        <w:rPr>
          <w:sz w:val="20"/>
        </w:rPr>
      </w:pPr>
      <w:r>
        <w:rPr>
          <w:color w:val="231F20"/>
          <w:sz w:val="20"/>
        </w:rPr>
        <w:t>Southwest Airlines Co. Excess Benefit Plan (incorporated by reference to Exhibit 10.32 to the Company’s Annual Report on Form 10-K for the year ended December 31,</w:t>
      </w:r>
      <w:r>
        <w:rPr>
          <w:color w:val="231F20"/>
          <w:spacing w:val="1"/>
          <w:sz w:val="20"/>
        </w:rPr>
        <w:t> </w:t>
      </w:r>
      <w:r>
        <w:rPr>
          <w:color w:val="231F20"/>
          <w:sz w:val="20"/>
        </w:rPr>
        <w:t>2008</w:t>
      </w:r>
    </w:p>
    <w:p>
      <w:pPr>
        <w:spacing w:before="1"/>
        <w:ind w:left="1850" w:right="0" w:firstLine="0"/>
        <w:jc w:val="left"/>
        <w:rPr>
          <w:sz w:val="20"/>
        </w:rPr>
      </w:pPr>
      <w:r>
        <w:rPr>
          <w:color w:val="231F20"/>
          <w:sz w:val="20"/>
        </w:rPr>
        <w:t>(File No. 1-7259)). (2)</w:t>
      </w:r>
    </w:p>
    <w:p>
      <w:pPr>
        <w:pStyle w:val="ListParagraph"/>
        <w:numPr>
          <w:ilvl w:val="1"/>
          <w:numId w:val="27"/>
        </w:numPr>
        <w:tabs>
          <w:tab w:pos="1849" w:val="left" w:leader="none"/>
          <w:tab w:pos="1850" w:val="left" w:leader="none"/>
        </w:tabs>
        <w:spacing w:line="249" w:lineRule="auto" w:before="139" w:after="0"/>
        <w:ind w:left="1850" w:right="479" w:hanging="1750"/>
        <w:jc w:val="both"/>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30" w:after="0"/>
        <w:ind w:left="1850" w:right="479" w:hanging="1750"/>
        <w:jc w:val="both"/>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2"/>
          <w:sz w:val="20"/>
        </w:rPr>
        <w:t> </w:t>
      </w:r>
      <w:r>
        <w:rPr>
          <w:color w:val="231F20"/>
          <w:sz w:val="20"/>
        </w:rPr>
        <w:t>(2)</w:t>
      </w:r>
    </w:p>
    <w:p>
      <w:pPr>
        <w:spacing w:after="0" w:line="249" w:lineRule="auto"/>
        <w:jc w:val="both"/>
        <w:rPr>
          <w:sz w:val="20"/>
        </w:rPr>
        <w:sectPr>
          <w:pgSz w:w="11880" w:h="15480"/>
          <w:pgMar w:header="0" w:footer="1240" w:top="1240" w:bottom="1420" w:left="1280" w:right="1300"/>
        </w:sectPr>
      </w:pPr>
    </w:p>
    <w:p>
      <w:pPr>
        <w:pStyle w:val="ListParagraph"/>
        <w:numPr>
          <w:ilvl w:val="1"/>
          <w:numId w:val="27"/>
        </w:numPr>
        <w:tabs>
          <w:tab w:pos="1849" w:val="left" w:leader="none"/>
          <w:tab w:pos="1850" w:val="left" w:leader="none"/>
        </w:tabs>
        <w:spacing w:line="249" w:lineRule="auto" w:before="73" w:after="0"/>
        <w:ind w:left="1850" w:right="138" w:hanging="1750"/>
        <w:jc w:val="left"/>
        <w:rPr>
          <w:sz w:val="20"/>
        </w:rPr>
      </w:pPr>
      <w:r>
        <w:rPr>
          <w:color w:val="231F20"/>
          <w:sz w:val="20"/>
        </w:rPr>
        <w:t>Amended and Restated Southwest Airlines Co. 2005 Excess Benefit Plan (as amended and restated effective for plan years beginning on and after January 1, 2015) (incorporated by reference to Exhibit 10.2 to the Company’s Quarterly Report on Form 10-Q for the quarter ended September 30, 2014 (File No. 1-7259)).</w:t>
      </w:r>
      <w:r>
        <w:rPr>
          <w:color w:val="231F20"/>
          <w:spacing w:val="2"/>
          <w:sz w:val="20"/>
        </w:rPr>
        <w:t> </w:t>
      </w:r>
      <w:r>
        <w:rPr>
          <w:color w:val="231F20"/>
          <w:sz w:val="20"/>
        </w:rPr>
        <w:t>(2)</w:t>
      </w:r>
    </w:p>
    <w:p>
      <w:pPr>
        <w:pStyle w:val="ListParagraph"/>
        <w:numPr>
          <w:ilvl w:val="1"/>
          <w:numId w:val="27"/>
        </w:numPr>
        <w:tabs>
          <w:tab w:pos="1849" w:val="left" w:leader="none"/>
          <w:tab w:pos="1850" w:val="left" w:leader="none"/>
        </w:tabs>
        <w:spacing w:line="249" w:lineRule="auto" w:before="121" w:after="0"/>
        <w:ind w:left="1850" w:right="143" w:hanging="1750"/>
        <w:jc w:val="left"/>
        <w:rPr>
          <w:sz w:val="20"/>
        </w:rPr>
      </w:pPr>
      <w:r>
        <w:rPr>
          <w:color w:val="231F20"/>
          <w:sz w:val="20"/>
        </w:rPr>
        <w:t>Form of Indemnification Agreement between the Company and its Directors (incorporated by reference to Exhibit 10.1 to the Company’s Current Report on Form 8-K</w:t>
      </w:r>
      <w:r>
        <w:rPr>
          <w:color w:val="231F20"/>
          <w:spacing w:val="4"/>
          <w:sz w:val="20"/>
        </w:rPr>
        <w:t> </w:t>
      </w:r>
      <w:r>
        <w:rPr>
          <w:color w:val="231F20"/>
          <w:sz w:val="20"/>
        </w:rPr>
        <w:t>dated</w:t>
      </w:r>
    </w:p>
    <w:p>
      <w:pPr>
        <w:spacing w:before="1"/>
        <w:ind w:left="1850" w:right="0" w:firstLine="0"/>
        <w:jc w:val="left"/>
        <w:rPr>
          <w:sz w:val="20"/>
        </w:rPr>
      </w:pPr>
      <w:r>
        <w:rPr>
          <w:color w:val="231F20"/>
          <w:sz w:val="20"/>
        </w:rPr>
        <w:t>January 15, 2009 (File No. 1-7259)).</w:t>
      </w:r>
    </w:p>
    <w:p>
      <w:pPr>
        <w:pStyle w:val="ListParagraph"/>
        <w:numPr>
          <w:ilvl w:val="1"/>
          <w:numId w:val="27"/>
        </w:numPr>
        <w:tabs>
          <w:tab w:pos="1849" w:val="left" w:leader="none"/>
          <w:tab w:pos="1850" w:val="left" w:leader="none"/>
        </w:tabs>
        <w:spacing w:line="249" w:lineRule="auto" w:before="129" w:after="0"/>
        <w:ind w:left="1850" w:right="117" w:hanging="1750"/>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2014 (File No. 1-7259)).</w:t>
      </w:r>
      <w:r>
        <w:rPr>
          <w:color w:val="231F20"/>
          <w:spacing w:val="1"/>
          <w:sz w:val="20"/>
        </w:rPr>
        <w:t> </w:t>
      </w:r>
      <w:r>
        <w:rPr>
          <w:color w:val="231F20"/>
          <w:sz w:val="20"/>
        </w:rPr>
        <w:t>(2)</w:t>
      </w:r>
    </w:p>
    <w:p>
      <w:pPr>
        <w:pStyle w:val="ListParagraph"/>
        <w:numPr>
          <w:ilvl w:val="1"/>
          <w:numId w:val="27"/>
        </w:numPr>
        <w:tabs>
          <w:tab w:pos="1849" w:val="left" w:leader="none"/>
          <w:tab w:pos="1850" w:val="left" w:leader="none"/>
        </w:tabs>
        <w:spacing w:line="249" w:lineRule="auto" w:before="120" w:after="0"/>
        <w:ind w:left="1850" w:right="159" w:hanging="1750"/>
        <w:jc w:val="left"/>
        <w:rPr>
          <w:sz w:val="20"/>
        </w:rPr>
      </w:pPr>
      <w:r>
        <w:rPr>
          <w:color w:val="231F20"/>
          <w:sz w:val="20"/>
        </w:rPr>
        <w:t>$1,000,000,000 Revolving Credit Facility Agreement among the Company, The Banks Party thereto, Morgan Stanley Senior Funding, Inc., as Syndication Agent, Bank of America, N.A., Barclays Bank PLC, Deutsche Bank Securities Inc., Goldman Sachs Bank USA, and Wells Fargo Bank, N.A., as Documentation Agents, Citibank, N.A. and JPMorgan Chase Bank, N.A., as Co-Administrative Agents, and Citibank, N.A., as Paying Agent, dated as of April 2, 2013 (incorporated by reference to Exhibit 10.1 to the Company’s Current Report on Form 8-K dated April 2, 2013 (File No.</w:t>
      </w:r>
      <w:r>
        <w:rPr>
          <w:color w:val="231F20"/>
          <w:spacing w:val="1"/>
          <w:sz w:val="20"/>
        </w:rPr>
        <w:t> </w:t>
      </w:r>
      <w:r>
        <w:rPr>
          <w:color w:val="231F20"/>
          <w:sz w:val="20"/>
        </w:rPr>
        <w:t>1-7259)).</w:t>
      </w:r>
    </w:p>
    <w:p>
      <w:pPr>
        <w:pStyle w:val="ListParagraph"/>
        <w:numPr>
          <w:ilvl w:val="1"/>
          <w:numId w:val="27"/>
        </w:numPr>
        <w:tabs>
          <w:tab w:pos="1849" w:val="left" w:leader="none"/>
          <w:tab w:pos="1850" w:val="left" w:leader="none"/>
        </w:tabs>
        <w:spacing w:line="249" w:lineRule="auto" w:before="120" w:after="0"/>
        <w:ind w:left="1850" w:right="379" w:hanging="1750"/>
        <w:jc w:val="left"/>
        <w:rPr>
          <w:sz w:val="20"/>
        </w:rPr>
      </w:pPr>
      <w:r>
        <w:rPr>
          <w:color w:val="231F20"/>
          <w:sz w:val="20"/>
        </w:rPr>
        <w:t>Purchase Agreement No. 3729 and Aircraft General Terms Agreement, dated December 13, 2011, between The Boeing Company and the Company (incorporated by reference to Exhibit 10.28 to the Company’s Annual Report on Form 10-K for the year ended December 31, 2011 (File No. 1-7259)); Supplemental Agreements Nos. 1 and 2 (incorporated by reference to Exhibits 10.3 and 10.4, respectively, to the Company’s Quarterly Report on Form 10-Q for the quarter ended June 30, 2013 (File No. 1-7259)); Supplemental Agreement No. 3 (incorporated by reference to Exhibit 10.27(a) to the Company’s Annual Report on Form 10-K for the year ended December 31,</w:t>
      </w:r>
      <w:r>
        <w:rPr>
          <w:color w:val="231F20"/>
          <w:spacing w:val="1"/>
          <w:sz w:val="20"/>
        </w:rPr>
        <w:t> </w:t>
      </w:r>
      <w:r>
        <w:rPr>
          <w:color w:val="231F20"/>
          <w:sz w:val="20"/>
        </w:rPr>
        <w:t>2013</w:t>
      </w:r>
    </w:p>
    <w:p>
      <w:pPr>
        <w:spacing w:before="0"/>
        <w:ind w:left="1850" w:right="0" w:firstLine="0"/>
        <w:jc w:val="left"/>
        <w:rPr>
          <w:sz w:val="20"/>
        </w:rPr>
      </w:pPr>
      <w:r>
        <w:rPr>
          <w:color w:val="231F20"/>
          <w:sz w:val="20"/>
        </w:rPr>
        <w:t>(File No. 1-7259)). (1)</w:t>
      </w:r>
    </w:p>
    <w:p>
      <w:pPr>
        <w:pStyle w:val="ListParagraph"/>
        <w:numPr>
          <w:ilvl w:val="1"/>
          <w:numId w:val="27"/>
        </w:numPr>
        <w:tabs>
          <w:tab w:pos="1849" w:val="left" w:leader="none"/>
          <w:tab w:pos="1850" w:val="left" w:leader="none"/>
        </w:tabs>
        <w:spacing w:line="249" w:lineRule="auto" w:before="129" w:after="0"/>
        <w:ind w:left="1850" w:right="132" w:hanging="1750"/>
        <w:jc w:val="left"/>
        <w:rPr>
          <w:sz w:val="20"/>
        </w:rPr>
      </w:pPr>
      <w:r>
        <w:rPr>
          <w:color w:val="231F20"/>
          <w:sz w:val="20"/>
        </w:rPr>
        <w:t>Southwest Airlines Co. Senior Executive Short Term Incentive Plan (incorporated by reference to Exhibit 99.1 to the Company’s Current Report on Form 8-K dated January 30, 2013 (File No. 1-7259)).</w:t>
      </w:r>
      <w:r>
        <w:rPr>
          <w:color w:val="231F20"/>
          <w:spacing w:val="1"/>
          <w:sz w:val="20"/>
        </w:rPr>
        <w:t> </w:t>
      </w:r>
      <w:r>
        <w:rPr>
          <w:color w:val="231F20"/>
          <w:sz w:val="20"/>
        </w:rPr>
        <w:t>(2)</w:t>
      </w:r>
    </w:p>
    <w:p>
      <w:pPr>
        <w:pStyle w:val="ListParagraph"/>
        <w:numPr>
          <w:ilvl w:val="1"/>
          <w:numId w:val="27"/>
        </w:numPr>
        <w:tabs>
          <w:tab w:pos="1849" w:val="left" w:leader="none"/>
          <w:tab w:pos="1850" w:val="left" w:leader="none"/>
        </w:tabs>
        <w:spacing w:line="249" w:lineRule="auto" w:before="120" w:after="0"/>
        <w:ind w:left="1850" w:right="388" w:hanging="1750"/>
        <w:jc w:val="left"/>
        <w:rPr>
          <w:sz w:val="20"/>
        </w:rPr>
      </w:pPr>
      <w:r>
        <w:rPr>
          <w:color w:val="231F20"/>
          <w:sz w:val="20"/>
        </w:rPr>
        <w:t>Southwest Airlines Co. Deferred Compensation Plan for Senior Leadership and Non- Employee Members of the Southwest Airlines Co. Board of Directors (incorporated by reference to Exhibit 99.1 to the Company’s Current Report on Form 8-K dated May 13, 2014 (File No. 1-7259)).</w:t>
      </w:r>
      <w:r>
        <w:rPr>
          <w:color w:val="231F20"/>
          <w:spacing w:val="1"/>
          <w:sz w:val="20"/>
        </w:rPr>
        <w:t> </w:t>
      </w:r>
      <w:r>
        <w:rPr>
          <w:color w:val="231F20"/>
          <w:sz w:val="20"/>
        </w:rPr>
        <w:t>(2)</w:t>
      </w:r>
    </w:p>
    <w:p>
      <w:pPr>
        <w:pStyle w:val="ListParagraph"/>
        <w:numPr>
          <w:ilvl w:val="1"/>
          <w:numId w:val="27"/>
        </w:numPr>
        <w:tabs>
          <w:tab w:pos="1849" w:val="left" w:leader="none"/>
          <w:tab w:pos="1850" w:val="left" w:leader="none"/>
        </w:tabs>
        <w:spacing w:line="249" w:lineRule="auto" w:before="120" w:after="0"/>
        <w:ind w:left="1850" w:right="117" w:hanging="1750"/>
        <w:jc w:val="left"/>
        <w:rPr>
          <w:sz w:val="20"/>
        </w:rPr>
      </w:pPr>
      <w:r>
        <w:rPr>
          <w:color w:val="231F20"/>
          <w:sz w:val="20"/>
        </w:rPr>
        <w:t>Southwest Airlines Co. Amended and Restated 2007 Equity Incentive Plan Form of Notice of Grant and Terms and Conditions for Performance-Based Restricted Stock Unit grants (incorporated by reference to Exhibit 10.4 to the Company’s Quarterly Report</w:t>
      </w:r>
      <w:r>
        <w:rPr>
          <w:color w:val="231F20"/>
          <w:spacing w:val="6"/>
          <w:sz w:val="20"/>
        </w:rPr>
        <w:t> </w:t>
      </w:r>
      <w:r>
        <w:rPr>
          <w:color w:val="231F20"/>
          <w:sz w:val="20"/>
        </w:rPr>
        <w:t>on</w:t>
      </w:r>
    </w:p>
    <w:p>
      <w:pPr>
        <w:spacing w:before="0"/>
        <w:ind w:left="1850" w:right="0" w:firstLine="0"/>
        <w:jc w:val="left"/>
        <w:rPr>
          <w:sz w:val="20"/>
        </w:rPr>
      </w:pPr>
      <w:r>
        <w:rPr>
          <w:color w:val="231F20"/>
          <w:sz w:val="20"/>
        </w:rPr>
        <w:t>Form 10-Q for the quarter ended June 30, 2014 (File No. 1-7259)). (2)</w:t>
      </w:r>
    </w:p>
    <w:p>
      <w:pPr>
        <w:tabs>
          <w:tab w:pos="1849" w:val="left" w:leader="none"/>
        </w:tabs>
        <w:spacing w:before="129"/>
        <w:ind w:left="100" w:right="0" w:firstLine="0"/>
        <w:jc w:val="left"/>
        <w:rPr>
          <w:sz w:val="20"/>
        </w:rPr>
      </w:pPr>
      <w:r>
        <w:rPr>
          <w:color w:val="231F20"/>
          <w:sz w:val="20"/>
        </w:rPr>
        <w:t>21</w:t>
        <w:tab/>
        <w:t>Subsidiaries of the</w:t>
      </w:r>
      <w:r>
        <w:rPr>
          <w:color w:val="231F20"/>
          <w:spacing w:val="2"/>
          <w:sz w:val="20"/>
        </w:rPr>
        <w:t> </w:t>
      </w:r>
      <w:r>
        <w:rPr>
          <w:color w:val="231F20"/>
          <w:sz w:val="20"/>
        </w:rPr>
        <w:t>Company.</w:t>
      </w:r>
    </w:p>
    <w:p>
      <w:pPr>
        <w:tabs>
          <w:tab w:pos="1849" w:val="left" w:leader="none"/>
        </w:tabs>
        <w:spacing w:before="129"/>
        <w:ind w:left="100" w:right="0" w:firstLine="0"/>
        <w:jc w:val="left"/>
        <w:rPr>
          <w:sz w:val="20"/>
        </w:rPr>
      </w:pPr>
      <w:r>
        <w:rPr>
          <w:color w:val="231F20"/>
          <w:sz w:val="20"/>
        </w:rPr>
        <w:t>23</w:t>
        <w:tab/>
        <w:t>Consent of Ernst &amp; Young LLP, Independent Registered Public Accounting Firm.</w:t>
      </w:r>
    </w:p>
    <w:p>
      <w:pPr>
        <w:pStyle w:val="ListParagraph"/>
        <w:numPr>
          <w:ilvl w:val="1"/>
          <w:numId w:val="28"/>
        </w:numPr>
        <w:tabs>
          <w:tab w:pos="1849" w:val="left" w:leader="none"/>
          <w:tab w:pos="1850" w:val="left" w:leader="none"/>
        </w:tabs>
        <w:spacing w:line="240" w:lineRule="auto" w:before="129" w:after="0"/>
        <w:ind w:left="1850" w:right="0" w:hanging="1750"/>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8"/>
        </w:numPr>
        <w:tabs>
          <w:tab w:pos="1849" w:val="left" w:leader="none"/>
          <w:tab w:pos="1850" w:val="left" w:leader="none"/>
        </w:tabs>
        <w:spacing w:line="240" w:lineRule="auto" w:before="129" w:after="0"/>
        <w:ind w:left="1850" w:right="0" w:hanging="1750"/>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8"/>
        </w:numPr>
        <w:tabs>
          <w:tab w:pos="1849" w:val="left" w:leader="none"/>
          <w:tab w:pos="1850" w:val="left" w:leader="none"/>
        </w:tabs>
        <w:spacing w:line="376" w:lineRule="auto" w:before="129" w:after="0"/>
        <w:ind w:left="100" w:right="853" w:firstLine="0"/>
        <w:jc w:val="left"/>
        <w:rPr>
          <w:color w:val="231F20"/>
          <w:sz w:val="20"/>
        </w:rPr>
      </w:pPr>
      <w:r>
        <w:rPr>
          <w:color w:val="231F20"/>
          <w:spacing w:val="-4"/>
          <w:sz w:val="20"/>
        </w:rPr>
        <w:t>Section </w:t>
      </w:r>
      <w:r>
        <w:rPr>
          <w:color w:val="231F20"/>
          <w:spacing w:val="-3"/>
          <w:sz w:val="20"/>
        </w:rPr>
        <w:t>1350 </w:t>
      </w:r>
      <w:r>
        <w:rPr>
          <w:color w:val="231F20"/>
          <w:spacing w:val="-4"/>
          <w:sz w:val="20"/>
        </w:rPr>
        <w:t>Certification </w:t>
      </w:r>
      <w:r>
        <w:rPr>
          <w:color w:val="231F20"/>
          <w:sz w:val="20"/>
        </w:rPr>
        <w:t>of </w:t>
      </w:r>
      <w:r>
        <w:rPr>
          <w:color w:val="231F20"/>
          <w:spacing w:val="-4"/>
          <w:sz w:val="20"/>
        </w:rPr>
        <w:t>Chief Executive Officer </w:t>
      </w:r>
      <w:r>
        <w:rPr>
          <w:color w:val="231F20"/>
          <w:spacing w:val="-3"/>
          <w:sz w:val="20"/>
        </w:rPr>
        <w:t>and </w:t>
      </w:r>
      <w:r>
        <w:rPr>
          <w:color w:val="231F20"/>
          <w:spacing w:val="-4"/>
          <w:sz w:val="20"/>
        </w:rPr>
        <w:t>Chief Financial Officer.</w:t>
      </w:r>
      <w:r>
        <w:rPr>
          <w:color w:val="231F20"/>
          <w:spacing w:val="-28"/>
          <w:sz w:val="20"/>
        </w:rPr>
        <w:t> </w:t>
      </w:r>
      <w:r>
        <w:rPr>
          <w:color w:val="231F20"/>
          <w:spacing w:val="-4"/>
          <w:sz w:val="20"/>
        </w:rPr>
        <w:t>(3) </w:t>
      </w:r>
      <w:r>
        <w:rPr>
          <w:color w:val="231F20"/>
          <w:sz w:val="20"/>
        </w:rPr>
        <w:t>101.INS</w:t>
        <w:tab/>
        <w:t>XBRL Instance</w:t>
      </w:r>
      <w:r>
        <w:rPr>
          <w:color w:val="231F20"/>
          <w:spacing w:val="-1"/>
          <w:sz w:val="20"/>
        </w:rPr>
        <w:t> </w:t>
      </w:r>
      <w:r>
        <w:rPr>
          <w:color w:val="231F20"/>
          <w:sz w:val="20"/>
        </w:rPr>
        <w:t>Document</w:t>
      </w:r>
    </w:p>
    <w:p>
      <w:pPr>
        <w:tabs>
          <w:tab w:pos="1849" w:val="left" w:leader="none"/>
        </w:tabs>
        <w:spacing w:before="3"/>
        <w:ind w:left="100" w:right="0" w:firstLine="0"/>
        <w:jc w:val="left"/>
        <w:rPr>
          <w:sz w:val="20"/>
        </w:rPr>
      </w:pPr>
      <w:r>
        <w:rPr>
          <w:color w:val="231F20"/>
          <w:sz w:val="20"/>
        </w:rPr>
        <w:t>101.SCH</w:t>
        <w:tab/>
        <w:t>XBRL Taxonomy Extension Schema</w:t>
      </w:r>
      <w:r>
        <w:rPr>
          <w:color w:val="231F20"/>
          <w:spacing w:val="-1"/>
          <w:sz w:val="20"/>
        </w:rPr>
        <w:t> </w:t>
      </w:r>
      <w:r>
        <w:rPr>
          <w:color w:val="231F20"/>
          <w:sz w:val="20"/>
        </w:rPr>
        <w:t>Document</w:t>
      </w:r>
    </w:p>
    <w:p>
      <w:pPr>
        <w:spacing w:after="0"/>
        <w:jc w:val="left"/>
        <w:rPr>
          <w:sz w:val="20"/>
        </w:rPr>
        <w:sectPr>
          <w:footerReference w:type="default" r:id="rId28"/>
          <w:pgSz w:w="11880" w:h="15480"/>
          <w:pgMar w:footer="1240" w:header="0" w:top="1240" w:bottom="1420" w:left="1280" w:right="1340"/>
          <w:pgNumType w:start="144"/>
        </w:sectPr>
      </w:pPr>
    </w:p>
    <w:p>
      <w:pPr>
        <w:tabs>
          <w:tab w:pos="1869" w:val="left" w:leader="none"/>
        </w:tabs>
        <w:spacing w:line="376" w:lineRule="auto" w:before="73"/>
        <w:ind w:left="120" w:right="2546" w:firstLine="0"/>
        <w:jc w:val="left"/>
        <w:rPr>
          <w:sz w:val="20"/>
        </w:rPr>
      </w:pPr>
      <w:r>
        <w:rPr>
          <w:color w:val="231F20"/>
          <w:sz w:val="20"/>
        </w:rPr>
        <w:t>101.CAL</w:t>
        <w:tab/>
        <w:t>XBRL Taxonomy Extension Calculation Linkbase Document</w:t>
      </w:r>
      <w:r>
        <w:rPr>
          <w:color w:val="231F20"/>
          <w:w w:val="100"/>
          <w:sz w:val="20"/>
        </w:rPr>
        <w:t> </w:t>
      </w:r>
      <w:r>
        <w:rPr>
          <w:color w:val="231F20"/>
          <w:sz w:val="20"/>
        </w:rPr>
        <w:t>101.DEF</w:t>
        <w:tab/>
        <w:t>XBRL Taxonomy Extension Definition Linkbase Document</w:t>
      </w:r>
      <w:r>
        <w:rPr>
          <w:color w:val="231F20"/>
          <w:w w:val="100"/>
          <w:sz w:val="20"/>
        </w:rPr>
        <w:t> </w:t>
      </w:r>
      <w:r>
        <w:rPr>
          <w:color w:val="231F20"/>
          <w:sz w:val="20"/>
        </w:rPr>
        <w:t>101.LAB</w:t>
        <w:tab/>
        <w:t>XBRL Extension Labels Linkbase</w:t>
      </w:r>
      <w:r>
        <w:rPr>
          <w:color w:val="231F20"/>
          <w:spacing w:val="-1"/>
          <w:sz w:val="20"/>
        </w:rPr>
        <w:t> </w:t>
      </w:r>
      <w:r>
        <w:rPr>
          <w:color w:val="231F20"/>
          <w:sz w:val="20"/>
        </w:rPr>
        <w:t>Document</w:t>
      </w:r>
    </w:p>
    <w:p>
      <w:pPr>
        <w:pStyle w:val="ListParagraph"/>
        <w:numPr>
          <w:ilvl w:val="0"/>
          <w:numId w:val="29"/>
        </w:numPr>
        <w:tabs>
          <w:tab w:pos="471" w:val="left" w:leader="none"/>
          <w:tab w:pos="1869" w:val="left" w:leader="none"/>
        </w:tabs>
        <w:spacing w:line="240" w:lineRule="auto" w:before="3" w:after="0"/>
        <w:ind w:left="471" w:right="0" w:hanging="351"/>
        <w:jc w:val="left"/>
        <w:rPr>
          <w:sz w:val="20"/>
        </w:rPr>
      </w:pPr>
      <w:r>
        <w:rPr/>
        <w:pict>
          <v:line style="position:absolute;mso-position-horizontal-relative:page;mso-position-vertical-relative:paragraph;z-index:7768;mso-wrap-distance-left:0;mso-wrap-distance-right:0" from="69pt,17.235937pt" to="141pt,17.235937pt" stroked="true" strokeweight=".5pt" strokecolor="#231f20">
            <v:stroke dashstyle="solid"/>
            <w10:wrap type="topAndBottom"/>
          </v:line>
        </w:pict>
      </w:r>
      <w:r>
        <w:rPr>
          <w:color w:val="231F20"/>
          <w:sz w:val="20"/>
        </w:rPr>
        <w:t>PRE</w:t>
        <w:tab/>
        <w:t>XBRL Taxonomy Extension Presentation Linkbase</w:t>
      </w:r>
      <w:r>
        <w:rPr>
          <w:color w:val="231F20"/>
          <w:spacing w:val="1"/>
          <w:sz w:val="20"/>
        </w:rPr>
        <w:t> </w:t>
      </w:r>
      <w:r>
        <w:rPr>
          <w:color w:val="231F20"/>
          <w:sz w:val="20"/>
        </w:rPr>
        <w:t>Document</w:t>
      </w:r>
    </w:p>
    <w:p>
      <w:pPr>
        <w:pStyle w:val="ListParagraph"/>
        <w:numPr>
          <w:ilvl w:val="1"/>
          <w:numId w:val="29"/>
        </w:numPr>
        <w:tabs>
          <w:tab w:pos="920" w:val="left" w:leader="none"/>
        </w:tabs>
        <w:spacing w:line="249" w:lineRule="auto" w:before="24" w:after="0"/>
        <w:ind w:left="920" w:right="161" w:hanging="40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1"/>
          <w:numId w:val="29"/>
        </w:numPr>
        <w:tabs>
          <w:tab w:pos="920" w:val="left" w:leader="none"/>
        </w:tabs>
        <w:spacing w:line="240" w:lineRule="auto" w:before="1" w:after="0"/>
        <w:ind w:left="920" w:right="0" w:hanging="40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1"/>
          <w:numId w:val="29"/>
        </w:numPr>
        <w:tabs>
          <w:tab w:pos="920" w:val="left" w:leader="none"/>
        </w:tabs>
        <w:spacing w:line="249" w:lineRule="auto" w:before="10" w:after="0"/>
        <w:ind w:left="920" w:right="201" w:hanging="40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rPr>
          <w:sz w:val="21"/>
        </w:rPr>
      </w:pPr>
    </w:p>
    <w:p>
      <w:pPr>
        <w:pStyle w:val="BodyText"/>
        <w:spacing w:line="247" w:lineRule="auto" w:before="1"/>
        <w:ind w:left="120" w:right="117" w:firstLine="720"/>
        <w:jc w:val="both"/>
      </w:pPr>
      <w:r>
        <w:rPr>
          <w:color w:val="231F20"/>
        </w:rPr>
        <w:t>A copy of each exhibit may be obtained at a price of 15 cents per page, $10.00 minimum  order,  by  writing  to:  Investor  Relations,  Southwest  Airlines  Co.,  P.O.  Box  36611,  Dallas,   Texas 75235-1611.</w:t>
      </w:r>
    </w:p>
    <w:p>
      <w:pPr>
        <w:spacing w:after="0" w:line="247" w:lineRule="auto"/>
        <w:jc w:val="both"/>
        <w:sectPr>
          <w:pgSz w:w="11880" w:h="15480"/>
          <w:pgMar w:header="0" w:footer="1240" w:top="1240" w:bottom="1420" w:left="126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BodyText"/>
        <w:ind w:left="2020"/>
      </w:pPr>
      <w:r>
        <w:rPr>
          <w:color w:val="231F20"/>
        </w:rPr>
        <w:t>[THIS PAGE INTENTIONALLY LEFT BLANK]</w:t>
      </w:r>
    </w:p>
    <w:p>
      <w:pPr>
        <w:spacing w:after="0"/>
        <w:sectPr>
          <w:footerReference w:type="default" r:id="rId29"/>
          <w:pgSz w:w="11880" w:h="15480"/>
          <w:pgMar w:footer="0" w:header="0" w:top="1460" w:bottom="280" w:left="1680" w:right="1680"/>
        </w:sectPr>
      </w:pPr>
    </w:p>
    <w:p>
      <w:pPr>
        <w:spacing w:before="73"/>
        <w:ind w:left="3516" w:right="3414" w:firstLine="0"/>
        <w:jc w:val="center"/>
        <w:rPr>
          <w:b/>
          <w:sz w:val="20"/>
        </w:rPr>
      </w:pPr>
      <w:r>
        <w:rPr>
          <w:b/>
          <w:color w:val="231F20"/>
          <w:sz w:val="20"/>
        </w:rPr>
        <w:t>BOARD OF DIRECTORS</w:t>
      </w:r>
    </w:p>
    <w:p>
      <w:pPr>
        <w:pStyle w:val="BodyText"/>
        <w:rPr>
          <w:b/>
          <w:sz w:val="20"/>
        </w:rPr>
      </w:pPr>
    </w:p>
    <w:p>
      <w:pPr>
        <w:pStyle w:val="BodyText"/>
        <w:rPr>
          <w:b/>
          <w:sz w:val="20"/>
        </w:rPr>
      </w:pPr>
    </w:p>
    <w:p>
      <w:pPr>
        <w:pStyle w:val="BodyText"/>
        <w:spacing w:before="5"/>
        <w:rPr>
          <w:b/>
          <w:sz w:val="16"/>
        </w:rPr>
      </w:pPr>
    </w:p>
    <w:p>
      <w:pPr>
        <w:spacing w:after="0"/>
        <w:rPr>
          <w:sz w:val="16"/>
        </w:rPr>
        <w:sectPr>
          <w:footerReference w:type="default" r:id="rId30"/>
          <w:pgSz w:w="11880" w:h="15480"/>
          <w:pgMar w:footer="0" w:header="0" w:top="1240" w:bottom="280" w:left="1260" w:right="1360"/>
        </w:sectPr>
      </w:pPr>
    </w:p>
    <w:p>
      <w:pPr>
        <w:spacing w:before="99"/>
        <w:ind w:left="119" w:right="0" w:firstLine="0"/>
        <w:jc w:val="left"/>
        <w:rPr>
          <w:b/>
          <w:sz w:val="20"/>
        </w:rPr>
      </w:pPr>
      <w:r>
        <w:rPr>
          <w:b/>
          <w:color w:val="231F20"/>
          <w:sz w:val="20"/>
        </w:rPr>
        <w:t>DAVID W. BIEGLER</w:t>
      </w:r>
    </w:p>
    <w:p>
      <w:pPr>
        <w:spacing w:before="129"/>
        <w:ind w:left="119" w:right="0" w:firstLine="0"/>
        <w:jc w:val="left"/>
        <w:rPr>
          <w:sz w:val="20"/>
        </w:rPr>
      </w:pPr>
      <w:r>
        <w:rPr>
          <w:color w:val="231F20"/>
          <w:sz w:val="20"/>
        </w:rPr>
        <w:t>Chairman</w:t>
      </w:r>
    </w:p>
    <w:p>
      <w:pPr>
        <w:spacing w:line="249" w:lineRule="auto" w:before="9"/>
        <w:ind w:left="119" w:right="251" w:firstLine="0"/>
        <w:jc w:val="left"/>
        <w:rPr>
          <w:sz w:val="20"/>
        </w:rPr>
      </w:pPr>
      <w:r>
        <w:rPr>
          <w:color w:val="231F20"/>
          <w:sz w:val="20"/>
        </w:rPr>
        <w:t>Southcross Energy Partners GP, LLC (midstream natural gas company)</w:t>
      </w:r>
    </w:p>
    <w:p>
      <w:pPr>
        <w:spacing w:before="0"/>
        <w:ind w:left="119" w:right="0" w:firstLine="0"/>
        <w:jc w:val="left"/>
        <w:rPr>
          <w:sz w:val="20"/>
        </w:rPr>
      </w:pPr>
      <w:r>
        <w:rPr>
          <w:color w:val="231F20"/>
          <w:sz w:val="20"/>
        </w:rPr>
        <w:t>Retired Vice Chairman of TXU Corp.</w:t>
      </w:r>
    </w:p>
    <w:p>
      <w:pPr>
        <w:spacing w:line="249" w:lineRule="auto" w:before="9"/>
        <w:ind w:left="119" w:right="-16" w:firstLine="0"/>
        <w:jc w:val="left"/>
        <w:rPr>
          <w:i/>
          <w:sz w:val="20"/>
        </w:rPr>
      </w:pPr>
      <w:r>
        <w:rPr>
          <w:i/>
          <w:color w:val="231F20"/>
          <w:sz w:val="20"/>
        </w:rPr>
        <w:t>Audit Committee, Compensation Committee (Chair), </w:t>
      </w:r>
      <w:r>
        <w:rPr>
          <w:i/>
          <w:color w:val="231F20"/>
          <w:sz w:val="20"/>
        </w:rPr>
        <w:t>and Safety and Compliance Oversight Committee</w:t>
      </w:r>
    </w:p>
    <w:p>
      <w:pPr>
        <w:pStyle w:val="BodyText"/>
        <w:spacing w:before="10"/>
        <w:rPr>
          <w:i/>
          <w:sz w:val="20"/>
        </w:rPr>
      </w:pPr>
    </w:p>
    <w:p>
      <w:pPr>
        <w:spacing w:before="0"/>
        <w:ind w:left="119" w:right="0" w:firstLine="0"/>
        <w:jc w:val="left"/>
        <w:rPr>
          <w:b/>
          <w:sz w:val="20"/>
        </w:rPr>
      </w:pPr>
      <w:r>
        <w:rPr>
          <w:b/>
          <w:color w:val="231F20"/>
          <w:sz w:val="20"/>
        </w:rPr>
        <w:t>J. VERONICA BIGGINS</w:t>
      </w:r>
    </w:p>
    <w:p>
      <w:pPr>
        <w:spacing w:before="129"/>
        <w:ind w:left="119" w:right="0" w:firstLine="0"/>
        <w:jc w:val="left"/>
        <w:rPr>
          <w:sz w:val="20"/>
        </w:rPr>
      </w:pPr>
      <w:r>
        <w:rPr>
          <w:color w:val="231F20"/>
          <w:sz w:val="20"/>
        </w:rPr>
        <w:t>Managing Partner</w:t>
      </w:r>
    </w:p>
    <w:p>
      <w:pPr>
        <w:spacing w:line="249" w:lineRule="auto" w:before="9"/>
        <w:ind w:left="119" w:right="-4" w:firstLine="0"/>
        <w:jc w:val="left"/>
        <w:rPr>
          <w:sz w:val="20"/>
        </w:rPr>
      </w:pPr>
      <w:r>
        <w:rPr>
          <w:color w:val="231F20"/>
          <w:sz w:val="20"/>
        </w:rPr>
        <w:t>Diversified Search LLC (executive and board search firm)</w:t>
      </w:r>
    </w:p>
    <w:p>
      <w:pPr>
        <w:spacing w:line="249" w:lineRule="auto" w:before="0"/>
        <w:ind w:left="119" w:right="439" w:firstLine="0"/>
        <w:jc w:val="left"/>
        <w:rPr>
          <w:i/>
          <w:sz w:val="20"/>
        </w:rPr>
      </w:pP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0"/>
        <w:ind w:left="119" w:right="0" w:firstLine="0"/>
        <w:jc w:val="left"/>
        <w:rPr>
          <w:b/>
          <w:sz w:val="20"/>
        </w:rPr>
      </w:pPr>
      <w:r>
        <w:rPr>
          <w:b/>
          <w:color w:val="231F20"/>
          <w:sz w:val="20"/>
        </w:rPr>
        <w:t>DOUGLAS H. BROOKS</w:t>
      </w:r>
    </w:p>
    <w:p>
      <w:pPr>
        <w:spacing w:line="249" w:lineRule="auto" w:before="129"/>
        <w:ind w:left="119" w:right="1" w:firstLine="0"/>
        <w:jc w:val="left"/>
        <w:rPr>
          <w:sz w:val="20"/>
        </w:rPr>
      </w:pPr>
      <w:r>
        <w:rPr>
          <w:color w:val="231F20"/>
          <w:sz w:val="20"/>
        </w:rPr>
        <w:t>Former Chairman of the Board, President, and Chief Executive Officer</w:t>
      </w:r>
    </w:p>
    <w:p>
      <w:pPr>
        <w:spacing w:line="249" w:lineRule="auto" w:before="0"/>
        <w:ind w:left="119" w:right="102" w:firstLine="0"/>
        <w:jc w:val="left"/>
        <w:rPr>
          <w:sz w:val="20"/>
        </w:rPr>
      </w:pPr>
      <w:r>
        <w:rPr>
          <w:color w:val="231F20"/>
          <w:sz w:val="20"/>
        </w:rPr>
        <w:t>Brinker International, Inc. (casual dining restaurant company)</w:t>
      </w:r>
    </w:p>
    <w:p>
      <w:pPr>
        <w:spacing w:line="249" w:lineRule="auto" w:before="0"/>
        <w:ind w:left="119" w:right="84" w:firstLine="0"/>
        <w:jc w:val="left"/>
        <w:rPr>
          <w:i/>
          <w:sz w:val="20"/>
        </w:rPr>
      </w:pPr>
      <w:r>
        <w:rPr>
          <w:i/>
          <w:color w:val="231F20"/>
          <w:sz w:val="20"/>
        </w:rPr>
        <w:t>Nominating and Corporate Governance Committee </w:t>
      </w:r>
      <w:r>
        <w:rPr>
          <w:i/>
          <w:color w:val="231F20"/>
          <w:sz w:val="20"/>
        </w:rPr>
        <w:t>and Safety and Compliance Oversight Committee</w:t>
      </w:r>
    </w:p>
    <w:p>
      <w:pPr>
        <w:pStyle w:val="BodyText"/>
        <w:spacing w:before="10"/>
        <w:rPr>
          <w:i/>
          <w:sz w:val="20"/>
        </w:rPr>
      </w:pPr>
    </w:p>
    <w:p>
      <w:pPr>
        <w:spacing w:before="0"/>
        <w:ind w:left="119" w:right="0" w:firstLine="0"/>
        <w:jc w:val="left"/>
        <w:rPr>
          <w:b/>
          <w:sz w:val="20"/>
        </w:rPr>
      </w:pPr>
      <w:r>
        <w:rPr>
          <w:b/>
          <w:color w:val="231F20"/>
          <w:sz w:val="20"/>
        </w:rPr>
        <w:t>WILLIAM H. CUNNINGHAM, PHD</w:t>
      </w:r>
    </w:p>
    <w:p>
      <w:pPr>
        <w:spacing w:before="9"/>
        <w:ind w:left="119" w:right="0" w:firstLine="0"/>
        <w:jc w:val="left"/>
        <w:rPr>
          <w:b/>
          <w:sz w:val="20"/>
        </w:rPr>
      </w:pPr>
      <w:r>
        <w:rPr>
          <w:b/>
          <w:color w:val="231F20"/>
          <w:sz w:val="20"/>
        </w:rPr>
        <w:t>(Presiding Director)</w:t>
      </w:r>
    </w:p>
    <w:p>
      <w:pPr>
        <w:spacing w:before="129"/>
        <w:ind w:left="119" w:right="0" w:firstLine="0"/>
        <w:jc w:val="left"/>
        <w:rPr>
          <w:sz w:val="20"/>
        </w:rPr>
      </w:pPr>
      <w:r>
        <w:rPr>
          <w:color w:val="231F20"/>
          <w:sz w:val="20"/>
        </w:rPr>
        <w:t>James L. Bayless Chair for Free Enterprise</w:t>
      </w:r>
    </w:p>
    <w:p>
      <w:pPr>
        <w:spacing w:line="249" w:lineRule="auto" w:before="9"/>
        <w:ind w:left="119" w:right="223" w:firstLine="0"/>
        <w:jc w:val="left"/>
        <w:rPr>
          <w:sz w:val="20"/>
        </w:rPr>
      </w:pPr>
      <w:r>
        <w:rPr>
          <w:color w:val="231F20"/>
          <w:sz w:val="20"/>
        </w:rPr>
        <w:t>The University of Texas at Austin Red McCombs School of Business</w:t>
      </w:r>
    </w:p>
    <w:p>
      <w:pPr>
        <w:spacing w:line="249" w:lineRule="auto" w:before="1"/>
        <w:ind w:left="119" w:right="473" w:firstLine="0"/>
        <w:jc w:val="left"/>
        <w:rPr>
          <w:sz w:val="20"/>
        </w:rPr>
      </w:pPr>
      <w:r>
        <w:rPr>
          <w:color w:val="231F20"/>
          <w:sz w:val="20"/>
        </w:rPr>
        <w:t>Former Chancellor of The University of Texas System</w:t>
      </w:r>
    </w:p>
    <w:p>
      <w:pPr>
        <w:spacing w:line="249" w:lineRule="auto" w:before="1"/>
        <w:ind w:left="119" w:right="435" w:firstLine="0"/>
        <w:jc w:val="left"/>
        <w:rPr>
          <w:i/>
          <w:sz w:val="20"/>
        </w:rPr>
      </w:pPr>
      <w:r>
        <w:rPr>
          <w:i/>
          <w:color w:val="231F20"/>
          <w:sz w:val="20"/>
        </w:rPr>
        <w:t>Audit Committee, Nominating and Corporate </w:t>
      </w:r>
      <w:r>
        <w:rPr>
          <w:i/>
          <w:color w:val="231F20"/>
          <w:sz w:val="20"/>
        </w:rPr>
        <w:t>Governance Committee (Chair), and Executive Committee</w:t>
      </w:r>
    </w:p>
    <w:p>
      <w:pPr>
        <w:pStyle w:val="BodyText"/>
        <w:spacing w:before="10"/>
        <w:rPr>
          <w:i/>
          <w:sz w:val="20"/>
        </w:rPr>
      </w:pPr>
    </w:p>
    <w:p>
      <w:pPr>
        <w:spacing w:before="1"/>
        <w:ind w:left="119" w:right="0" w:firstLine="0"/>
        <w:jc w:val="left"/>
        <w:rPr>
          <w:b/>
          <w:sz w:val="20"/>
        </w:rPr>
      </w:pPr>
      <w:r>
        <w:rPr>
          <w:b/>
          <w:color w:val="231F20"/>
          <w:sz w:val="20"/>
        </w:rPr>
        <w:t>JOHN G. DENISON</w:t>
      </w:r>
    </w:p>
    <w:p>
      <w:pPr>
        <w:spacing w:before="130"/>
        <w:ind w:left="119" w:right="0" w:firstLine="0"/>
        <w:jc w:val="left"/>
        <w:rPr>
          <w:sz w:val="20"/>
        </w:rPr>
      </w:pPr>
      <w:r>
        <w:rPr>
          <w:color w:val="231F20"/>
          <w:sz w:val="20"/>
        </w:rPr>
        <w:t>Former Chairman of the Board</w:t>
      </w:r>
    </w:p>
    <w:p>
      <w:pPr>
        <w:spacing w:line="249" w:lineRule="auto" w:before="10"/>
        <w:ind w:left="119" w:right="262" w:firstLine="0"/>
        <w:jc w:val="left"/>
        <w:rPr>
          <w:sz w:val="20"/>
        </w:rPr>
      </w:pPr>
      <w:r>
        <w:rPr>
          <w:color w:val="231F20"/>
          <w:sz w:val="20"/>
        </w:rPr>
        <w:t>Global Aero Logistics Inc. (diversified passenger airline)</w:t>
      </w:r>
    </w:p>
    <w:p>
      <w:pPr>
        <w:spacing w:line="249" w:lineRule="auto" w:before="1"/>
        <w:ind w:left="119" w:right="62" w:firstLine="0"/>
        <w:jc w:val="left"/>
        <w:rPr>
          <w:i/>
          <w:sz w:val="20"/>
        </w:rPr>
      </w:pPr>
      <w:r>
        <w:rPr>
          <w:i/>
          <w:color w:val="231F20"/>
          <w:sz w:val="20"/>
        </w:rPr>
        <w:t>Audit Committee, Safety and Compliance Oversight </w:t>
      </w:r>
      <w:r>
        <w:rPr>
          <w:i/>
          <w:color w:val="231F20"/>
          <w:sz w:val="20"/>
        </w:rPr>
        <w:t>Committee (Chair), and Executive Committee</w:t>
      </w:r>
    </w:p>
    <w:p>
      <w:pPr>
        <w:spacing w:before="99"/>
        <w:ind w:left="120" w:right="0" w:firstLine="0"/>
        <w:jc w:val="left"/>
        <w:rPr>
          <w:b/>
          <w:sz w:val="20"/>
        </w:rPr>
      </w:pPr>
      <w:r>
        <w:rPr/>
        <w:br w:type="column"/>
      </w:r>
      <w:r>
        <w:rPr>
          <w:b/>
          <w:color w:val="231F20"/>
          <w:sz w:val="20"/>
        </w:rPr>
        <w:t>GARY C. KELLY</w:t>
      </w:r>
    </w:p>
    <w:p>
      <w:pPr>
        <w:spacing w:line="249" w:lineRule="auto" w:before="129"/>
        <w:ind w:left="120" w:right="754" w:firstLine="0"/>
        <w:jc w:val="left"/>
        <w:rPr>
          <w:sz w:val="20"/>
        </w:rPr>
      </w:pPr>
      <w:r>
        <w:rPr>
          <w:color w:val="231F20"/>
          <w:sz w:val="20"/>
        </w:rPr>
        <w:t>Chairman of the Board, President, and Chief Executive Officer</w:t>
      </w:r>
    </w:p>
    <w:p>
      <w:pPr>
        <w:spacing w:before="1"/>
        <w:ind w:left="120" w:right="0" w:firstLine="0"/>
        <w:jc w:val="left"/>
        <w:rPr>
          <w:sz w:val="20"/>
        </w:rPr>
      </w:pPr>
      <w:r>
        <w:rPr>
          <w:color w:val="231F20"/>
          <w:sz w:val="20"/>
        </w:rPr>
        <w:t>Southwest Airlines Co.</w:t>
      </w:r>
    </w:p>
    <w:p>
      <w:pPr>
        <w:spacing w:before="10"/>
        <w:ind w:left="120" w:right="0" w:firstLine="0"/>
        <w:jc w:val="left"/>
        <w:rPr>
          <w:i/>
          <w:sz w:val="20"/>
        </w:rPr>
      </w:pPr>
      <w:r>
        <w:rPr>
          <w:i/>
          <w:color w:val="231F20"/>
          <w:sz w:val="20"/>
        </w:rPr>
        <w:t>Executive Committee (Chair)</w:t>
      </w:r>
    </w:p>
    <w:p>
      <w:pPr>
        <w:pStyle w:val="BodyText"/>
        <w:spacing w:before="8"/>
        <w:rPr>
          <w:i/>
          <w:sz w:val="21"/>
        </w:rPr>
      </w:pPr>
    </w:p>
    <w:p>
      <w:pPr>
        <w:spacing w:before="0"/>
        <w:ind w:left="120" w:right="0" w:firstLine="0"/>
        <w:jc w:val="left"/>
        <w:rPr>
          <w:b/>
          <w:sz w:val="20"/>
        </w:rPr>
      </w:pPr>
      <w:r>
        <w:rPr>
          <w:b/>
          <w:color w:val="231F20"/>
          <w:sz w:val="20"/>
        </w:rPr>
        <w:t>NANCY B. LOEFFLER</w:t>
      </w:r>
    </w:p>
    <w:p>
      <w:pPr>
        <w:spacing w:line="249" w:lineRule="auto" w:before="129"/>
        <w:ind w:left="120" w:right="220" w:firstLine="0"/>
        <w:jc w:val="left"/>
        <w:rPr>
          <w:sz w:val="20"/>
        </w:rPr>
      </w:pPr>
      <w:r>
        <w:rPr>
          <w:color w:val="231F20"/>
          <w:sz w:val="20"/>
        </w:rPr>
        <w:t>Consultant for Frost Bank and member of the Frost Bank Advisory Board</w:t>
      </w:r>
    </w:p>
    <w:p>
      <w:pPr>
        <w:spacing w:line="249" w:lineRule="auto" w:before="0"/>
        <w:ind w:left="120" w:right="553" w:firstLine="0"/>
        <w:jc w:val="left"/>
        <w:rPr>
          <w:i/>
          <w:sz w:val="20"/>
        </w:rPr>
      </w:pPr>
      <w:r>
        <w:rPr>
          <w:color w:val="231F20"/>
          <w:sz w:val="20"/>
        </w:rPr>
        <w:t>Long-time advocate of volunteerism </w:t>
      </w: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0"/>
        <w:ind w:left="120" w:right="0" w:firstLine="0"/>
        <w:jc w:val="left"/>
        <w:rPr>
          <w:b/>
          <w:sz w:val="20"/>
        </w:rPr>
      </w:pPr>
      <w:r>
        <w:rPr>
          <w:b/>
          <w:color w:val="231F20"/>
          <w:sz w:val="20"/>
        </w:rPr>
        <w:t>JOHN T. MONTFORD</w:t>
      </w:r>
    </w:p>
    <w:p>
      <w:pPr>
        <w:spacing w:line="249" w:lineRule="auto" w:before="129"/>
        <w:ind w:left="120" w:right="1265" w:firstLine="0"/>
        <w:jc w:val="left"/>
        <w:rPr>
          <w:sz w:val="20"/>
        </w:rPr>
      </w:pPr>
      <w:r>
        <w:rPr>
          <w:color w:val="231F20"/>
          <w:sz w:val="20"/>
        </w:rPr>
        <w:t>President and Chief Executive Officer JTM Consulting, LLC</w:t>
      </w:r>
    </w:p>
    <w:p>
      <w:pPr>
        <w:spacing w:line="249" w:lineRule="auto" w:before="0"/>
        <w:ind w:left="120" w:right="98" w:firstLine="0"/>
        <w:jc w:val="left"/>
        <w:rPr>
          <w:i/>
          <w:sz w:val="20"/>
        </w:rPr>
      </w:pPr>
      <w:r>
        <w:rPr>
          <w:i/>
          <w:color w:val="231F20"/>
          <w:sz w:val="20"/>
        </w:rPr>
        <w:t>Audit Committee (Chair), Compensation Committee, </w:t>
      </w:r>
      <w:r>
        <w:rPr>
          <w:i/>
          <w:color w:val="231F20"/>
          <w:sz w:val="20"/>
        </w:rPr>
        <w:t>and Nominating and Corporate Governance Committee</w:t>
      </w:r>
    </w:p>
    <w:p>
      <w:pPr>
        <w:pStyle w:val="BodyText"/>
        <w:spacing w:before="10"/>
        <w:rPr>
          <w:i/>
          <w:sz w:val="20"/>
        </w:rPr>
      </w:pPr>
    </w:p>
    <w:p>
      <w:pPr>
        <w:spacing w:before="0"/>
        <w:ind w:left="120" w:right="0" w:firstLine="0"/>
        <w:jc w:val="left"/>
        <w:rPr>
          <w:b/>
          <w:sz w:val="20"/>
        </w:rPr>
      </w:pPr>
      <w:r>
        <w:rPr>
          <w:b/>
          <w:color w:val="231F20"/>
          <w:sz w:val="20"/>
        </w:rPr>
        <w:t>THOMAS M. NEALON</w:t>
      </w:r>
    </w:p>
    <w:p>
      <w:pPr>
        <w:spacing w:before="129"/>
        <w:ind w:left="120" w:right="0" w:firstLine="0"/>
        <w:jc w:val="left"/>
        <w:rPr>
          <w:sz w:val="20"/>
        </w:rPr>
      </w:pPr>
      <w:r>
        <w:rPr>
          <w:color w:val="231F20"/>
          <w:sz w:val="20"/>
        </w:rPr>
        <w:t>Former Group Executive Vice President</w:t>
      </w:r>
    </w:p>
    <w:p>
      <w:pPr>
        <w:spacing w:line="249" w:lineRule="auto" w:before="9"/>
        <w:ind w:left="120" w:right="730" w:firstLine="0"/>
        <w:jc w:val="both"/>
        <w:rPr>
          <w:i/>
          <w:sz w:val="20"/>
        </w:rPr>
      </w:pPr>
      <w:r>
        <w:rPr>
          <w:color w:val="231F20"/>
          <w:sz w:val="20"/>
        </w:rPr>
        <w:t>J.C. Penney Company, Inc. (retail company) </w:t>
      </w:r>
      <w:r>
        <w:rPr>
          <w:i/>
          <w:color w:val="231F20"/>
          <w:sz w:val="20"/>
        </w:rPr>
        <w:t>Audit Committee and Safety and Compliance </w:t>
      </w:r>
      <w:r>
        <w:rPr>
          <w:i/>
          <w:color w:val="231F20"/>
          <w:sz w:val="20"/>
        </w:rPr>
        <w:t>Oversight Committee</w:t>
      </w:r>
    </w:p>
    <w:p>
      <w:pPr>
        <w:pStyle w:val="BodyText"/>
        <w:spacing w:before="10"/>
        <w:rPr>
          <w:i/>
          <w:sz w:val="20"/>
        </w:rPr>
      </w:pPr>
    </w:p>
    <w:p>
      <w:pPr>
        <w:spacing w:before="0"/>
        <w:ind w:left="120" w:right="0" w:firstLine="0"/>
        <w:jc w:val="left"/>
        <w:rPr>
          <w:b/>
          <w:sz w:val="20"/>
        </w:rPr>
      </w:pPr>
      <w:r>
        <w:rPr>
          <w:b/>
          <w:color w:val="231F20"/>
          <w:sz w:val="20"/>
        </w:rPr>
        <w:t>DANIEL D. VILLANUEVA</w:t>
      </w:r>
    </w:p>
    <w:p>
      <w:pPr>
        <w:spacing w:before="129"/>
        <w:ind w:left="120" w:right="0" w:firstLine="0"/>
        <w:jc w:val="left"/>
        <w:rPr>
          <w:sz w:val="20"/>
        </w:rPr>
      </w:pPr>
      <w:r>
        <w:rPr>
          <w:color w:val="231F20"/>
          <w:sz w:val="20"/>
        </w:rPr>
        <w:t>Partner</w:t>
      </w:r>
    </w:p>
    <w:p>
      <w:pPr>
        <w:spacing w:line="249" w:lineRule="auto" w:before="9"/>
        <w:ind w:left="120" w:right="320" w:firstLine="0"/>
        <w:jc w:val="left"/>
        <w:rPr>
          <w:sz w:val="20"/>
        </w:rPr>
      </w:pPr>
      <w:r>
        <w:rPr>
          <w:color w:val="231F20"/>
          <w:sz w:val="20"/>
        </w:rPr>
        <w:t>Rustic Canyon/Fontis Partners, LP (private equity firm)</w:t>
      </w:r>
    </w:p>
    <w:p>
      <w:pPr>
        <w:spacing w:line="249" w:lineRule="auto" w:before="0"/>
        <w:ind w:left="120" w:right="1009" w:firstLine="0"/>
        <w:jc w:val="left"/>
        <w:rPr>
          <w:i/>
          <w:sz w:val="20"/>
        </w:rPr>
      </w:pPr>
      <w:r>
        <w:rPr>
          <w:color w:val="231F20"/>
          <w:sz w:val="20"/>
        </w:rPr>
        <w:t>President of The Villanueva Companies </w:t>
      </w:r>
      <w:r>
        <w:rPr>
          <w:i/>
          <w:color w:val="231F20"/>
          <w:sz w:val="20"/>
        </w:rPr>
        <w:t>Compensation Committee and Safety and </w:t>
      </w:r>
      <w:r>
        <w:rPr>
          <w:i/>
          <w:color w:val="231F20"/>
          <w:sz w:val="20"/>
        </w:rPr>
        <w:t>Compliance Oversight Committee</w:t>
      </w:r>
    </w:p>
    <w:p>
      <w:pPr>
        <w:pStyle w:val="BodyText"/>
        <w:spacing w:before="10"/>
        <w:rPr>
          <w:i/>
          <w:sz w:val="20"/>
        </w:rPr>
      </w:pPr>
    </w:p>
    <w:p>
      <w:pPr>
        <w:spacing w:before="0"/>
        <w:ind w:left="120" w:right="0" w:firstLine="0"/>
        <w:jc w:val="left"/>
        <w:rPr>
          <w:b/>
          <w:i/>
          <w:sz w:val="20"/>
        </w:rPr>
      </w:pPr>
      <w:r>
        <w:rPr>
          <w:b/>
          <w:i/>
          <w:color w:val="231F20"/>
          <w:sz w:val="20"/>
        </w:rPr>
        <w:t>HONORARY DESIGNATIONS</w:t>
      </w:r>
    </w:p>
    <w:p>
      <w:pPr>
        <w:spacing w:before="129"/>
        <w:ind w:left="120" w:right="0" w:firstLine="0"/>
        <w:jc w:val="left"/>
        <w:rPr>
          <w:b/>
          <w:sz w:val="20"/>
        </w:rPr>
      </w:pPr>
      <w:r>
        <w:rPr>
          <w:b/>
          <w:color w:val="231F20"/>
          <w:sz w:val="20"/>
        </w:rPr>
        <w:t>HERBERT D. KELLEHER</w:t>
      </w:r>
    </w:p>
    <w:p>
      <w:pPr>
        <w:spacing w:line="249" w:lineRule="auto" w:before="9"/>
        <w:ind w:left="120" w:right="1965" w:firstLine="0"/>
        <w:jc w:val="left"/>
        <w:rPr>
          <w:b/>
          <w:sz w:val="20"/>
        </w:rPr>
      </w:pPr>
      <w:r>
        <w:rPr>
          <w:color w:val="231F20"/>
          <w:sz w:val="20"/>
        </w:rPr>
        <w:t>Chairman Emeritus Southwest Airlines Co. </w:t>
      </w:r>
      <w:r>
        <w:rPr>
          <w:b/>
          <w:color w:val="231F20"/>
          <w:sz w:val="20"/>
        </w:rPr>
        <w:t>COLLEEN C. BARRETT</w:t>
      </w:r>
    </w:p>
    <w:p>
      <w:pPr>
        <w:spacing w:line="249" w:lineRule="auto" w:before="0"/>
        <w:ind w:left="120" w:right="2458" w:firstLine="0"/>
        <w:jc w:val="left"/>
        <w:rPr>
          <w:sz w:val="20"/>
        </w:rPr>
      </w:pPr>
      <w:r>
        <w:rPr>
          <w:color w:val="231F20"/>
          <w:sz w:val="20"/>
        </w:rPr>
        <w:t>President Emeritus Southwest Airlines Co.</w:t>
      </w:r>
    </w:p>
    <w:p>
      <w:pPr>
        <w:spacing w:after="0" w:line="249" w:lineRule="auto"/>
        <w:jc w:val="left"/>
        <w:rPr>
          <w:sz w:val="20"/>
        </w:rPr>
        <w:sectPr>
          <w:type w:val="continuous"/>
          <w:pgSz w:w="11880" w:h="15480"/>
          <w:pgMar w:top="1260" w:bottom="280" w:left="1260" w:right="1360"/>
          <w:cols w:num="2" w:equalWidth="0">
            <w:col w:w="4345" w:space="455"/>
            <w:col w:w="4460"/>
          </w:cols>
        </w:sectPr>
      </w:pPr>
    </w:p>
    <w:p>
      <w:pPr>
        <w:pStyle w:val="Heading1"/>
        <w:ind w:left="216" w:right="217"/>
        <w:jc w:val="center"/>
      </w:pPr>
      <w:r>
        <w:rPr>
          <w:color w:val="231F20"/>
        </w:rPr>
        <w:t>CORPORATE INFORMATION</w:t>
      </w:r>
    </w:p>
    <w:p>
      <w:pPr>
        <w:pStyle w:val="BodyText"/>
        <w:spacing w:before="8"/>
        <w:rPr>
          <w:b/>
          <w:sz w:val="15"/>
        </w:rPr>
      </w:pPr>
    </w:p>
    <w:p>
      <w:pPr>
        <w:spacing w:after="0"/>
        <w:rPr>
          <w:sz w:val="15"/>
        </w:rPr>
        <w:sectPr>
          <w:footerReference w:type="default" r:id="rId31"/>
          <w:pgSz w:w="11880" w:h="15480"/>
          <w:pgMar w:footer="0" w:header="0" w:top="1000" w:bottom="280" w:left="1260" w:right="1260"/>
        </w:sectPr>
      </w:pPr>
    </w:p>
    <w:p>
      <w:pPr>
        <w:spacing w:line="200" w:lineRule="exact" w:before="108"/>
        <w:ind w:left="520" w:right="709" w:firstLine="0"/>
        <w:jc w:val="left"/>
        <w:rPr>
          <w:b/>
          <w:sz w:val="18"/>
        </w:rPr>
      </w:pPr>
      <w:r>
        <w:rPr>
          <w:b/>
          <w:color w:val="231F20"/>
          <w:sz w:val="18"/>
        </w:rPr>
        <w:t>SOUTHWEST AIRLINES CO. GENERAL OFFICES</w:t>
      </w:r>
    </w:p>
    <w:p>
      <w:pPr>
        <w:spacing w:line="195" w:lineRule="exact" w:before="0"/>
        <w:ind w:left="520" w:right="0" w:firstLine="0"/>
        <w:jc w:val="left"/>
        <w:rPr>
          <w:sz w:val="18"/>
        </w:rPr>
      </w:pPr>
      <w:r>
        <w:rPr>
          <w:color w:val="231F20"/>
          <w:sz w:val="18"/>
        </w:rPr>
        <w:t>P.O. Box 36611</w:t>
      </w:r>
    </w:p>
    <w:p>
      <w:pPr>
        <w:spacing w:line="200" w:lineRule="exact" w:before="5"/>
        <w:ind w:left="520" w:right="2425" w:firstLine="0"/>
        <w:jc w:val="left"/>
        <w:rPr>
          <w:sz w:val="18"/>
        </w:rPr>
      </w:pPr>
      <w:r>
        <w:rPr>
          <w:color w:val="231F20"/>
          <w:sz w:val="18"/>
        </w:rPr>
        <w:t>2702 Love Field Drive Dallas, TX 75235</w:t>
      </w:r>
    </w:p>
    <w:p>
      <w:pPr>
        <w:spacing w:line="199" w:lineRule="exact" w:before="0"/>
        <w:ind w:left="520" w:right="0" w:firstLine="0"/>
        <w:jc w:val="left"/>
        <w:rPr>
          <w:sz w:val="18"/>
        </w:rPr>
      </w:pPr>
      <w:r>
        <w:rPr>
          <w:color w:val="231F20"/>
          <w:sz w:val="18"/>
        </w:rPr>
        <w:t>Telephone: 214-792-4000</w:t>
      </w:r>
    </w:p>
    <w:p>
      <w:pPr>
        <w:spacing w:line="203" w:lineRule="exact" w:before="141"/>
        <w:ind w:left="520" w:right="0" w:firstLine="0"/>
        <w:jc w:val="left"/>
        <w:rPr>
          <w:b/>
          <w:sz w:val="18"/>
        </w:rPr>
      </w:pPr>
      <w:r>
        <w:rPr>
          <w:b/>
          <w:color w:val="231F20"/>
          <w:sz w:val="18"/>
        </w:rPr>
        <w:t>FINANCIAL INFORMATION</w:t>
      </w:r>
    </w:p>
    <w:p>
      <w:pPr>
        <w:spacing w:line="200" w:lineRule="exact" w:before="4"/>
        <w:ind w:left="520" w:right="-20" w:firstLine="0"/>
        <w:jc w:val="left"/>
        <w:rPr>
          <w:sz w:val="18"/>
        </w:rPr>
      </w:pPr>
      <w:r>
        <w:rPr>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spacing w:line="200" w:lineRule="exact" w:before="149"/>
        <w:ind w:left="520" w:right="1945" w:firstLine="0"/>
        <w:jc w:val="left"/>
        <w:rPr>
          <w:sz w:val="18"/>
        </w:rPr>
      </w:pPr>
      <w:r>
        <w:rPr>
          <w:color w:val="231F20"/>
          <w:sz w:val="18"/>
        </w:rPr>
        <w:t>Southwest Airlines Co. Investor Relations, HDQ-6IR</w:t>
      </w:r>
    </w:p>
    <w:p>
      <w:pPr>
        <w:spacing w:line="195" w:lineRule="exact" w:before="0"/>
        <w:ind w:left="520" w:right="0" w:firstLine="0"/>
        <w:jc w:val="left"/>
        <w:rPr>
          <w:sz w:val="18"/>
        </w:rPr>
      </w:pPr>
      <w:r>
        <w:rPr>
          <w:color w:val="231F20"/>
          <w:sz w:val="18"/>
        </w:rPr>
        <w:t>P.O. Box 36611</w:t>
      </w:r>
    </w:p>
    <w:p>
      <w:pPr>
        <w:spacing w:line="200" w:lineRule="exact" w:before="5"/>
        <w:ind w:left="520" w:right="2425" w:firstLine="0"/>
        <w:jc w:val="left"/>
        <w:rPr>
          <w:sz w:val="18"/>
        </w:rPr>
      </w:pPr>
      <w:r>
        <w:rPr>
          <w:color w:val="231F20"/>
          <w:sz w:val="18"/>
        </w:rPr>
        <w:t>2702 Love Field Drive Dallas, Texas 75235</w:t>
      </w:r>
    </w:p>
    <w:p>
      <w:pPr>
        <w:spacing w:line="199" w:lineRule="exact" w:before="0"/>
        <w:ind w:left="520" w:right="0" w:firstLine="0"/>
        <w:jc w:val="left"/>
        <w:rPr>
          <w:sz w:val="18"/>
        </w:rPr>
      </w:pPr>
      <w:r>
        <w:rPr>
          <w:color w:val="231F20"/>
          <w:sz w:val="18"/>
        </w:rPr>
        <w:t>Telephone: 214-792-4908</w:t>
      </w:r>
    </w:p>
    <w:p>
      <w:pPr>
        <w:spacing w:line="203" w:lineRule="exact" w:before="141"/>
        <w:ind w:left="520" w:right="0" w:firstLine="0"/>
        <w:jc w:val="left"/>
        <w:rPr>
          <w:b/>
          <w:sz w:val="18"/>
        </w:rPr>
      </w:pPr>
      <w:r>
        <w:rPr>
          <w:b/>
          <w:color w:val="231F20"/>
          <w:sz w:val="18"/>
        </w:rPr>
        <w:t>ANNUAL MEETING</w:t>
      </w:r>
    </w:p>
    <w:p>
      <w:pPr>
        <w:spacing w:line="200" w:lineRule="exact" w:before="4"/>
        <w:ind w:left="520" w:right="-10" w:firstLine="0"/>
        <w:jc w:val="left"/>
        <w:rPr>
          <w:sz w:val="18"/>
        </w:rPr>
      </w:pPr>
      <w:r>
        <w:rPr>
          <w:color w:val="231F20"/>
          <w:sz w:val="18"/>
        </w:rPr>
        <w:t>The Annual Meeting of Shareholders of Southwest Airlines Co. will be held at 10:00 a.m. on May 13, 2015, at the Hyatt Regency Houston located at 1200 Louisiana Street, Houston, Texas 77002.</w:t>
      </w:r>
    </w:p>
    <w:p>
      <w:pPr>
        <w:spacing w:line="203" w:lineRule="exact" w:before="100"/>
        <w:ind w:left="270" w:right="0" w:firstLine="0"/>
        <w:jc w:val="left"/>
        <w:rPr>
          <w:b/>
          <w:sz w:val="18"/>
        </w:rPr>
      </w:pPr>
      <w:r>
        <w:rPr/>
        <w:br w:type="column"/>
      </w:r>
      <w:r>
        <w:rPr>
          <w:b/>
          <w:color w:val="231F20"/>
          <w:sz w:val="18"/>
        </w:rPr>
        <w:t>STOCK EXCHANGE LISTING</w:t>
      </w:r>
    </w:p>
    <w:p>
      <w:pPr>
        <w:spacing w:line="203" w:lineRule="exact" w:before="0"/>
        <w:ind w:left="270" w:right="0" w:firstLine="0"/>
        <w:jc w:val="left"/>
        <w:rPr>
          <w:sz w:val="18"/>
        </w:rPr>
      </w:pPr>
      <w:r>
        <w:rPr>
          <w:color w:val="231F20"/>
          <w:sz w:val="18"/>
        </w:rPr>
        <w:t>New York Stock Exchange Ticker Symbol: LUV</w:t>
      </w:r>
    </w:p>
    <w:p>
      <w:pPr>
        <w:spacing w:line="203" w:lineRule="exact" w:before="141"/>
        <w:ind w:left="270" w:right="0" w:firstLine="0"/>
        <w:jc w:val="left"/>
        <w:rPr>
          <w:b/>
          <w:sz w:val="18"/>
        </w:rPr>
      </w:pPr>
      <w:r>
        <w:rPr>
          <w:b/>
          <w:color w:val="231F20"/>
          <w:sz w:val="18"/>
        </w:rPr>
        <w:t>TRANSFER AGENT AND REGISTRAR</w:t>
      </w:r>
    </w:p>
    <w:p>
      <w:pPr>
        <w:spacing w:line="200" w:lineRule="exact" w:before="4"/>
        <w:ind w:left="270" w:right="780" w:firstLine="0"/>
        <w:jc w:val="left"/>
        <w:rPr>
          <w:sz w:val="18"/>
        </w:rPr>
      </w:pPr>
      <w:r>
        <w:rPr>
          <w:color w:val="231F20"/>
          <w:sz w:val="18"/>
        </w:rPr>
        <w:t>Registered shareholder inquiries regarding stock transfers, address changes, lost stock certificates, dividend payments and reinvestments, direct stock purchases, or account consolidation should be directed to:</w:t>
      </w:r>
    </w:p>
    <w:p>
      <w:pPr>
        <w:spacing w:line="200" w:lineRule="exact" w:before="149"/>
        <w:ind w:left="630" w:right="1428" w:firstLine="0"/>
        <w:jc w:val="left"/>
        <w:rPr>
          <w:sz w:val="18"/>
        </w:rPr>
      </w:pPr>
      <w:r>
        <w:rPr>
          <w:color w:val="231F20"/>
          <w:sz w:val="18"/>
        </w:rPr>
        <w:t>Wells Fargo Shareowner Services 1110 Centre Pointe Curve, Suite 101 Mendota Heights, MN 55120-4100 866-877-6206</w:t>
      </w:r>
    </w:p>
    <w:p>
      <w:pPr>
        <w:spacing w:line="195" w:lineRule="exact" w:before="0"/>
        <w:ind w:left="630" w:right="0" w:firstLine="0"/>
        <w:jc w:val="left"/>
        <w:rPr>
          <w:sz w:val="18"/>
        </w:rPr>
      </w:pPr>
      <w:r>
        <w:rPr>
          <w:color w:val="231F20"/>
          <w:sz w:val="18"/>
        </w:rPr>
        <w:t>651-450-4064</w:t>
      </w:r>
    </w:p>
    <w:p>
      <w:pPr>
        <w:spacing w:line="203" w:lineRule="exact" w:before="0"/>
        <w:ind w:left="630" w:right="0" w:firstLine="0"/>
        <w:jc w:val="left"/>
        <w:rPr>
          <w:i/>
          <w:sz w:val="18"/>
        </w:rPr>
      </w:pPr>
      <w:hyperlink r:id="rId32">
        <w:r>
          <w:rPr>
            <w:i/>
            <w:color w:val="231F20"/>
            <w:sz w:val="18"/>
          </w:rPr>
          <w:t>www.shareowneronline.com</w:t>
        </w:r>
      </w:hyperlink>
    </w:p>
    <w:p>
      <w:pPr>
        <w:spacing w:line="200" w:lineRule="exact" w:before="148"/>
        <w:ind w:left="270" w:right="1159" w:firstLine="0"/>
        <w:jc w:val="left"/>
        <w:rPr>
          <w:b/>
          <w:sz w:val="18"/>
        </w:rPr>
      </w:pPr>
      <w:r>
        <w:rPr>
          <w:b/>
          <w:color w:val="231F20"/>
          <w:sz w:val="18"/>
        </w:rPr>
        <w:t>INDEPENDENT REGISTERED PUBLIC ACCOUNTING FIRM</w:t>
      </w:r>
    </w:p>
    <w:p>
      <w:pPr>
        <w:spacing w:line="200" w:lineRule="exact" w:before="0"/>
        <w:ind w:left="270" w:right="2955" w:firstLine="0"/>
        <w:jc w:val="left"/>
        <w:rPr>
          <w:sz w:val="18"/>
        </w:rPr>
      </w:pPr>
      <w:r>
        <w:rPr>
          <w:color w:val="231F20"/>
          <w:sz w:val="18"/>
        </w:rPr>
        <w:t>Ernst &amp; Young LLP Dallas, Texas</w:t>
      </w:r>
    </w:p>
    <w:p>
      <w:pPr>
        <w:spacing w:after="0" w:line="200" w:lineRule="exact"/>
        <w:jc w:val="left"/>
        <w:rPr>
          <w:sz w:val="18"/>
        </w:rPr>
        <w:sectPr>
          <w:type w:val="continuous"/>
          <w:pgSz w:w="11880" w:h="15480"/>
          <w:pgMar w:top="1260" w:bottom="280" w:left="1260" w:right="1260"/>
          <w:cols w:num="2" w:equalWidth="0">
            <w:col w:w="4610" w:space="40"/>
            <w:col w:w="4710"/>
          </w:cols>
        </w:sectPr>
      </w:pPr>
    </w:p>
    <w:p>
      <w:pPr>
        <w:spacing w:before="139"/>
        <w:ind w:left="0" w:right="0" w:firstLine="0"/>
        <w:jc w:val="center"/>
        <w:rPr>
          <w:b/>
          <w:sz w:val="18"/>
        </w:rPr>
      </w:pPr>
      <w:r>
        <w:rPr>
          <w:b/>
          <w:color w:val="231F20"/>
          <w:sz w:val="18"/>
        </w:rPr>
        <w:t>2014 SOUTHWEST AIRLINES ONE REPORT</w:t>
      </w:r>
    </w:p>
    <w:p>
      <w:pPr>
        <w:spacing w:line="200" w:lineRule="exact" w:before="149"/>
        <w:ind w:left="119" w:right="238"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sixth annual Southwest Airlines One Report. Our award-winning integrated One Report combines financial, corporate responsibility, and environmental reporting into one comprehensive report, which adheres to the Global Reporting Initiative, an internationally recognized standard for sustainability reporting. You can read the 2014 Southwest Airlines One Report at </w:t>
      </w:r>
      <w:hyperlink r:id="rId33">
        <w:r>
          <w:rPr>
            <w:i/>
            <w:color w:val="231F20"/>
            <w:sz w:val="18"/>
          </w:rPr>
          <w:t>http://southwest.com/citizenship</w:t>
        </w:r>
      </w:hyperlink>
      <w:r>
        <w:rPr>
          <w:i/>
          <w:color w:val="231F20"/>
          <w:sz w:val="18"/>
        </w:rPr>
        <w:t> </w:t>
      </w:r>
      <w:r>
        <w:rPr>
          <w:color w:val="231F20"/>
          <w:sz w:val="18"/>
        </w:rPr>
        <w:t>or </w:t>
      </w:r>
      <w:hyperlink r:id="rId34">
        <w:r>
          <w:rPr>
            <w:i/>
            <w:color w:val="231F20"/>
            <w:sz w:val="18"/>
          </w:rPr>
          <w:t>http://southwest.investorroom.com/.</w:t>
        </w:r>
      </w:hyperlink>
    </w:p>
    <w:p>
      <w:pPr>
        <w:spacing w:before="140"/>
        <w:ind w:left="0" w:right="0" w:firstLine="0"/>
        <w:jc w:val="center"/>
        <w:rPr>
          <w:b/>
          <w:sz w:val="18"/>
        </w:rPr>
      </w:pPr>
      <w:r>
        <w:rPr>
          <w:b/>
          <w:color w:val="231F20"/>
          <w:sz w:val="18"/>
        </w:rPr>
        <w:t>CAUTIONARY STATEMENT REGARDING FORWARD-LOOKING STATEMENTS</w:t>
      </w:r>
    </w:p>
    <w:p>
      <w:pPr>
        <w:spacing w:line="200" w:lineRule="exact" w:before="149"/>
        <w:ind w:left="119" w:right="128"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financial position, outlook, goals, and projected results of operations; (ii) its growth opportunities and its network and capacity plans and expectations; (iii) its fleet plans and expectations; (iv) its plans and expectations related to managing risk associated with jet fuel prices; (v) its strategic initiatives and related plans and expectations, in particular with respect to the replacement of its reservation system; and (vi) the Company’s vision. These statements involve risks, uncertainties, assumptions, and other factors that are difficult to predict and that could cause actual results to vary materially from those expressed in or indicated by them. Factors include, among others, (i) changes in demand for the Company’s services and other changes in consumer behavior; (ii) the impact of economic conditions, fuel prices, actions of competitors (including without limitation pricing, scheduling, and capacity decisions and consolidation and alliance activities), and other factors beyond the Company’s control on the Company’s business decisions, plans, and strategies; (iii) the impact of governmental regulations and other actions related to the Company’s operations; (iv) the Company’s ability to timely and effectively implement, transition, and maintain the necessary information technology systems and infrastructure to support its operations and initiatives; (v) the Company’s dependence on third parties, in particular with respect to its technology and fleet plans; (vi) the Company’s ability to timely and effectively prioritize its strategic initiatives and related expenditures; (vii) changes in fuel prices, the impact of hedge accounting, and any changes to the Company’s fuel hedging strategies and positions; and (viii) other factors, as described in the Company’s filings with the Securities and Exchange Commission, including the detailed factors discussed under the heading “Risk Factors” in the Company’s Annual Report on Form 10-K for the fiscal year ended December 31,</w:t>
      </w:r>
      <w:r>
        <w:rPr>
          <w:color w:val="231F20"/>
          <w:spacing w:val="-1"/>
          <w:sz w:val="18"/>
        </w:rPr>
        <w:t> </w:t>
      </w:r>
      <w:r>
        <w:rPr>
          <w:color w:val="231F20"/>
          <w:sz w:val="18"/>
        </w:rPr>
        <w:t>2014.</w:t>
      </w:r>
    </w:p>
    <w:p>
      <w:pPr>
        <w:pStyle w:val="BodyText"/>
        <w:rPr>
          <w:sz w:val="20"/>
        </w:rPr>
      </w:pPr>
    </w:p>
    <w:p>
      <w:pPr>
        <w:pStyle w:val="BodyText"/>
        <w:spacing w:before="4"/>
        <w:rPr>
          <w:sz w:val="14"/>
        </w:rPr>
      </w:pPr>
      <w:r>
        <w:rPr/>
        <w:pict>
          <v:group style="position:absolute;margin-left:397.579987pt;margin-top:10.210988pt;width:127.5pt;height:58.35pt;mso-position-horizontal-relative:page;mso-position-vertical-relative:paragraph;z-index:7792;mso-wrap-distance-left:0;mso-wrap-distance-right:0" coordorigin="7952,204" coordsize="2550,1167">
            <v:shape style="position:absolute;left:7961;top:213;width:2532;height:1149" coordorigin="7961,213" coordsize="2532,1149" path="m8047,213l10405,213,10439,220,10466,238,10485,266,10492,299,10492,1276,10485,1309,10466,1336,10439,1355,10405,1362,8047,1362,8013,1355,7986,1336,7967,1309,7961,1276,7961,299,7967,266,7986,238,8013,220,8047,213xe" filled="false" stroked="true" strokeweight=".859pt" strokecolor="#231f20">
              <v:path arrowok="t"/>
              <v:stroke dashstyle="solid"/>
            </v:shape>
            <v:shape style="position:absolute;left:8199;top:1194;width:76;height:55" coordorigin="8199,1194" coordsize="76,55" path="m8209,1194l8199,1194,8216,1249,8226,1249,8229,1237,8221,1237,8218,1225,8209,1194xm8245,1207l8237,1207,8239,1216,8248,1249,8257,1249,8261,1236,8253,1236,8250,1225,8245,1207xm8242,1194l8233,1194,8222,1233,8221,1237,8229,1237,8237,1207,8245,1207,8242,1194xm8275,1194l8266,1194,8256,1226,8253,1236,8261,1236,8275,1194xe" filled="true" fillcolor="#231f20" stroked="false">
              <v:path arrowok="t"/>
              <v:fill type="solid"/>
            </v:shape>
            <v:shape style="position:absolute;left:8278;top:1194;width:76;height:55" coordorigin="8278,1194" coordsize="76,55" path="m8287,1194l8278,1194,8295,1249,8304,1249,8307,1237,8299,1237,8296,1225,8287,1194xm8324,1207l8315,1207,8318,1216,8326,1249,8336,1249,8340,1236,8331,1236,8329,1225,8324,1207xm8320,1194l8311,1194,8302,1226,8300,1233,8299,1237,8307,1237,8315,1207,8324,1207,8320,1194xm8353,1194l8344,1194,8331,1236,8340,1236,8353,1194xe" filled="true" fillcolor="#231f20" stroked="false">
              <v:path arrowok="t"/>
              <v:fill type="solid"/>
            </v:shape>
            <v:shape style="position:absolute;left:8356;top:1194;width:76;height:55" coordorigin="8356,1194" coordsize="76,55" path="m8366,1194l8356,1194,8373,1249,8383,1249,8386,1237,8378,1237,8375,1225,8366,1194xm8402,1207l8394,1207,8396,1216,8405,1249,8414,1249,8418,1236,8410,1236,8407,1225,8402,1207xm8399,1194l8389,1194,8381,1226,8379,1233,8378,1237,8378,1237,8386,1237,8394,1207,8402,1207,8399,1194xm8432,1194l8423,1194,8410,1236,8418,1236,8432,1194xe" filled="true" fillcolor="#231f20" stroked="false">
              <v:path arrowok="t"/>
              <v:fill type="solid"/>
            </v:shape>
            <v:line style="position:absolute" from="8434,1243" to="8444,1243" stroked="true" strokeweight=".5224pt" strokecolor="#231f20">
              <v:stroke dashstyle="solid"/>
            </v:line>
            <v:shape style="position:absolute;left:8452;top:1172;width:32;height:77" coordorigin="8452,1172" coordsize="32,77" path="m8478,1172l8471,1172,8468,1173,8463,1176,8462,1178,8460,1182,8460,1183,8460,1194,8452,1194,8452,1201,8460,1201,8460,1249,8469,1249,8469,1201,8480,1201,8480,1194,8469,1194,8469,1186,8470,1183,8471,1182,8472,1181,8474,1180,8483,1180,8484,1173,8481,1172,8478,1172xm8483,1180l8474,1180,8480,1181,8482,1181,8483,1180xe" filled="true" fillcolor="#231f20" stroked="false">
              <v:path arrowok="t"/>
              <v:fill type="solid"/>
            </v:shape>
            <v:shape style="position:absolute;left:8485;top:1193;width:46;height:58" coordorigin="8485,1193" coordsize="46,58" path="m8494,1231l8485,1232,8486,1238,8488,1243,8492,1245,8496,1248,8501,1250,8512,1250,8516,1249,8520,1248,8523,1246,8526,1244,8527,1242,8504,1242,8501,1241,8498,1239,8496,1237,8494,1235,8494,1231xm8511,1193l8504,1193,8501,1193,8498,1194,8496,1195,8494,1196,8493,1197,8491,1198,8489,1200,8488,1202,8487,1204,8487,1205,8487,1212,8487,1214,8490,1218,8492,1220,8494,1221,8497,1222,8502,1224,8508,1225,8514,1227,8517,1228,8518,1229,8520,1230,8521,1232,8521,1236,8520,1238,8515,1241,8512,1242,8527,1242,8529,1239,8530,1236,8530,1229,8529,1227,8528,1225,8526,1223,8524,1221,8519,1219,8515,1217,8508,1215,8504,1214,8501,1214,8498,1212,8497,1212,8496,1210,8495,1209,8495,1205,8496,1204,8500,1201,8503,1200,8525,1200,8523,1198,8521,1196,8514,1193,8511,1193xm8525,1200l8511,1200,8513,1201,8517,1204,8519,1207,8519,1209,8528,1208,8527,1205,8526,1202,8525,1200xe" filled="true" fillcolor="#231f20" stroked="false">
              <v:path arrowok="t"/>
              <v:fill type="solid"/>
            </v:shape>
            <v:shape style="position:absolute;left:8538;top:1193;width:48;height:58" coordorigin="8538,1193" coordsize="48,58" path="m8569,1193l8558,1193,8554,1194,8550,1196,8546,1198,8543,1202,8539,1210,8538,1216,8538,1231,8540,1238,8549,1247,8555,1250,8569,1250,8574,1248,8580,1242,8558,1242,8554,1241,8552,1237,8549,1234,8547,1229,8547,1214,8549,1209,8552,1205,8555,1202,8558,1200,8581,1200,8581,1200,8577,1197,8573,1194,8569,1193xm8576,1229l8576,1233,8574,1237,8572,1239,8569,1241,8566,1242,8580,1242,8582,1241,8584,1236,8585,1230,8576,1229xm8581,1200l8566,1200,8569,1201,8573,1205,8574,1208,8575,1211,8584,1210,8583,1205,8581,1200xe" filled="true" fillcolor="#231f20" stroked="false">
              <v:path arrowok="t"/>
              <v:fill type="solid"/>
            </v:shape>
            <v:line style="position:absolute" from="8595,1243" to="8606,1243" stroked="true" strokeweight=".5224pt" strokecolor="#231f20">
              <v:stroke dashstyle="solid"/>
            </v:line>
            <v:shape style="position:absolute;left:8614;top:1193;width:52;height:58" coordorigin="8614,1193" coordsize="52,58" path="m8648,1193l8633,1193,8628,1195,8617,1204,8614,1211,8614,1231,8617,1238,8621,1243,8626,1247,8632,1250,8645,1250,8649,1249,8657,1244,8659,1242,8635,1242,8632,1241,8625,1234,8624,1228,8624,1214,8625,1209,8632,1202,8635,1200,8659,1200,8654,1195,8648,1193xm8659,1200l8645,1200,8648,1202,8652,1206,8655,1209,8656,1214,8656,1228,8655,1233,8655,1234,8649,1241,8645,1242,8659,1242,8660,1241,8665,1233,8666,1228,8666,1212,8663,1205,8659,1200xe" filled="true" fillcolor="#231f20" stroked="false">
              <v:path arrowok="t"/>
              <v:fill type="solid"/>
            </v:shape>
            <v:shape style="position:absolute;left:8676;top:1193;width:30;height:56" coordorigin="8676,1193" coordsize="30,56" path="m8685,1194l8676,1194,8676,1249,8686,1249,8686,1216,8686,1213,8688,1207,8689,1205,8691,1204,8692,1203,8694,1202,8703,1202,8704,1202,8685,1202,8685,1194xm8703,1202l8698,1202,8701,1203,8703,1204,8703,1202xm8700,1193l8694,1193,8692,1193,8689,1196,8687,1198,8685,1202,8704,1202,8706,1196,8703,1194,8700,1193xe" filled="true" fillcolor="#231f20" stroked="false">
              <v:path arrowok="t"/>
              <v:fill type="solid"/>
            </v:shape>
            <v:shape style="position:absolute;left:8707;top:1193;width:49;height:79" coordorigin="8707,1193" coordsize="49,79" path="m8709,1253l8709,1259,8711,1264,8715,1267,8719,1269,8724,1271,8736,1271,8741,1270,8744,1268,8748,1266,8751,1263,8727,1263,8724,1262,8721,1261,8720,1259,8719,1257,8718,1254,8709,1253xm8755,1242l8746,1242,8746,1249,8746,1252,8745,1253,8745,1257,8743,1259,8738,1262,8735,1263,8751,1263,8751,1263,8754,1256,8755,1250,8755,1242xm8737,1193l8726,1193,8722,1194,8715,1199,8712,1202,8710,1207,8708,1211,8707,1216,8707,1229,8709,1235,8713,1241,8717,1246,8723,1249,8737,1249,8742,1246,8746,1242,8755,1242,8755,1241,8727,1241,8724,1239,8721,1236,8718,1233,8717,1228,8717,1214,8718,1209,8721,1205,8724,1202,8727,1200,8746,1200,8743,1195,8737,1193xm8746,1200l8736,1200,8739,1202,8745,1209,8747,1214,8747,1228,8745,1233,8740,1239,8736,1241,8755,1241,8755,1201,8747,1201,8746,1200xm8755,1194l8747,1194,8747,1201,8755,1201,8755,1194xe" filled="true" fillcolor="#231f20" stroked="false">
              <v:path arrowok="t"/>
              <v:fill type="solid"/>
            </v:shape>
            <v:shape style="position:absolute;left:8074;top:295;width:688;height:598" coordorigin="8074,295" coordsize="688,598" path="m8450,784l8401,784,8401,882,8414,893,8552,893,8563,881,8563,844,8451,844,8450,784xm8539,731l8524,731,8514,743,8514,844,8563,844,8563,788,8701,788,8723,774,8734,759,8638,759,8609,755,8585,745,8563,735,8539,731xm8100,675l8092,677,8084,683,8075,691,8074,707,8084,717,8158,791,8196,828,8204,836,8215,840,8226,834,8238,826,8240,814,8240,814,8253,763,8201,763,8173,735,8119,682,8110,676,8100,675xm8701,788l8563,788,8583,798,8603,804,8622,807,8637,809,8684,800,8701,788xm8440,731l8422,732,8337,742,8326,744,8317,755,8317,780,8328,791,8348,791,8347,791,8401,784,8450,784,8450,742,8440,731xm8482,295l8424,307,8375,339,8334,388,8299,451,8270,523,8244,602,8222,683,8201,763,8253,763,8281,650,8321,529,8358,445,8394,391,8426,361,8456,347,8482,344,8592,344,8568,321,8525,301,8482,295xm8592,344l8482,344,8518,351,8551,370,8575,403,8585,450,8632,465,8662,503,8668,552,8643,600,8674,618,8695,639,8708,662,8712,687,8707,713,8691,736,8668,753,8638,759,8734,759,8751,736,8761,685,8753,642,8736,611,8718,592,8710,586,8719,528,8704,475,8672,434,8629,409,8604,356,8592,344xe" filled="true" fillcolor="#231f20" stroked="false">
              <v:path arrowok="t"/>
              <v:fill type="solid"/>
            </v:shape>
            <v:shape style="position:absolute;left:8074;top:295;width:688;height:598" coordorigin="8074,295" coordsize="688,598" path="m8450,784l8401,784,8401,882,8414,893,8552,893,8563,881,8563,844,8451,844,8450,784xm8539,731l8524,731,8514,743,8514,844,8563,844,8563,788,8701,788,8723,774,8734,759,8638,759,8609,755,8585,745,8563,735,8539,731xm8100,675l8092,677,8084,683,8075,691,8074,707,8084,717,8158,791,8196,828,8204,836,8215,840,8226,834,8238,826,8240,814,8240,814,8253,763,8201,763,8173,735,8119,682,8110,676,8100,675xm8701,788l8563,788,8583,798,8603,804,8622,807,8637,809,8684,800,8701,788xm8440,731l8422,732,8337,742,8326,744,8317,755,8317,780,8328,791,8348,791,8347,791,8401,784,8450,784,8450,742,8440,731xm8482,295l8424,307,8375,339,8334,388,8299,451,8270,523,8244,602,8222,683,8201,763,8253,763,8281,650,8321,529,8358,445,8394,391,8426,361,8456,347,8482,344,8592,344,8568,321,8525,301,8482,295xm8592,344l8482,344,8518,351,8551,370,8575,403,8585,450,8632,465,8662,503,8668,552,8643,600,8674,618,8695,639,8708,662,8712,687,8707,713,8691,736,8668,753,8638,759,8734,759,8751,736,8761,685,8753,642,8736,611,8718,592,8710,586,8719,528,8704,475,8672,434,8629,409,8604,356,8592,344xe" filled="true" fillcolor="#231f20" stroked="false">
              <v:path arrowok="t"/>
              <v:fill type="solid"/>
            </v:shape>
            <v:shape style="position:absolute;left:8199;top:951;width:556;height:171" type="#_x0000_t75" stroked="false">
              <v:imagedata r:id="rId35" o:title=""/>
            </v:shape>
            <v:shape style="position:absolute;left:8680;top:306;width:84;height:83" coordorigin="8680,306" coordsize="84,83" path="m8733,306l8711,306,8701,310,8695,316,8684,326,8680,336,8680,359,8684,369,8695,379,8701,385,8711,389,8734,389,8743,385,8746,382,8712,382,8704,379,8691,365,8687,357,8687,338,8691,330,8704,316,8712,313,8746,313,8743,310,8733,306xm8746,313l8732,313,8740,316,8753,330,8757,338,8757,357,8753,365,8740,379,8732,382,8746,382,8760,369,8764,359,8764,336,8760,326,8759,326,8746,313xm8724,326l8704,326,8704,370,8711,370,8711,351,8729,351,8728,351,8726,350,8726,350,8730,350,8733,349,8736,345,8711,345,8711,332,8737,332,8734,329,8732,327,8730,327,8727,326,8724,326xm8729,351l8718,351,8720,352,8722,353,8723,355,8727,360,8733,370,8741,370,8732,355,8729,351xm8737,332l8724,332,8727,332,8730,335,8730,336,8731,341,8730,342,8728,343,8727,345,8724,345,8736,345,8737,344,8738,341,8738,335,8738,333,8737,332xe" filled="true" fillcolor="#231f20" stroked="false">
              <v:path arrowok="t"/>
              <v:fill type="solid"/>
            </v:shape>
            <v:shape style="position:absolute;left:8711;top:332;width:20;height:14" coordorigin="8711,332" coordsize="20,14" path="m8711,345l8720,345,8724,345,8727,345,8728,343,8730,342,8731,341,8731,338,8731,336,8730,335,8728,334,8727,332,8724,332,8719,332,8711,332,8711,345xe" filled="false" stroked="true" strokeweight=".22pt" strokecolor="#231f20">
              <v:path arrowok="t"/>
              <v:stroke dashstyle="solid"/>
            </v:shape>
            <v:shape style="position:absolute;left:8704;top:326;width:38;height:45" coordorigin="8704,326" coordsize="38,45" path="m8741,370l8733,370,8727,360,8723,355,8722,353,8720,352,8718,351,8715,351,8711,351,8711,370,8704,370,8704,326,8719,326,8724,326,8727,326,8730,327,8732,327,8734,329,8736,331,8738,333,8738,335,8738,338,8738,341,8737,344,8735,346,8733,349,8730,350,8726,350,8728,351,8732,355,8736,362,8741,370xe" filled="false" stroked="true" strokeweight=".22pt" strokecolor="#231f20">
              <v:path arrowok="t"/>
              <v:stroke dashstyle="solid"/>
            </v:shape>
            <v:shape style="position:absolute;left:8687;top:313;width:70;height:70" coordorigin="8687,313" coordsize="70,70" path="m8722,382l8732,382,8740,379,8746,372,8753,365,8757,357,8757,347,8757,338,8753,330,8747,323,8740,316,8732,313,8722,313,8712,313,8687,347,8687,357,8691,365,8697,372,8704,379,8712,382,8722,382xe" filled="false" stroked="true" strokeweight=".22pt" strokecolor="#231f20">
              <v:path arrowok="t"/>
              <v:stroke dashstyle="solid"/>
            </v:shape>
            <v:shape style="position:absolute;left:8680;top:306;width:84;height:83" coordorigin="8680,306" coordsize="84,83" path="m8722,306l8733,306,8743,310,8751,318,8760,326,8764,336,8764,347,8764,359,8760,369,8751,377,8743,385,8734,389,8722,389,8711,389,8701,385,8693,377,8684,369,8680,359,8680,347,8680,336,8684,326,8693,318,8701,310,8711,306,8722,306xe" filled="false" stroked="true" strokeweight=".22pt" strokecolor="#231f20">
              <v:path arrowok="t"/>
              <v:stroke dashstyle="solid"/>
            </v:shape>
            <v:shape style="position:absolute;left:9510;top:427;width:139;height:146" type="#_x0000_t75" stroked="false">
              <v:imagedata r:id="rId36" o:title=""/>
            </v:shape>
            <v:shape style="position:absolute;left:9682;top:414;width:179;height:172" type="#_x0000_t75" stroked="false">
              <v:imagedata r:id="rId37" o:title=""/>
            </v:shape>
            <v:shape style="position:absolute;left:9302;top:694;width:406;height:138" type="#_x0000_t75" stroked="false">
              <v:imagedata r:id="rId38" o:title=""/>
            </v:shape>
            <v:shape style="position:absolute;left:9754;top:692;width:303;height:113" type="#_x0000_t75" stroked="false">
              <v:imagedata r:id="rId39" o:title=""/>
            </v:shape>
            <v:shape style="position:absolute;left:8989;top:839;width:1384;height:147" type="#_x0000_t75" stroked="false">
              <v:imagedata r:id="rId40" o:title=""/>
            </v:shape>
            <v:shape style="position:absolute;left:9007;top:1103;width:464;height:150" type="#_x0000_t75" stroked="false">
              <v:imagedata r:id="rId41" o:title=""/>
            </v:shape>
            <v:shape style="position:absolute;left:9537;top:1103;width:130;height:150" type="#_x0000_t75" stroked="false">
              <v:imagedata r:id="rId42" o:title=""/>
            </v:shape>
            <v:shape style="position:absolute;left:9699;top:1108;width:52;height:139" coordorigin="9699,1108" coordsize="52,139" path="m9750,1139l9733,1139,9733,1247,9750,1247,9750,1139xm9750,1108l9739,1108,9733,1118,9724,1127,9713,1136,9699,1143,9699,1160,9714,1154,9725,1147,9733,1139,9750,1139,9750,1108xe" filled="true" fillcolor="#231f20" stroked="false">
              <v:path arrowok="t"/>
              <v:fill type="solid"/>
            </v:shape>
            <v:shape style="position:absolute;left:9699;top:1108;width:52;height:139" coordorigin="9699,1108" coordsize="52,139" path="m9750,1247l9733,1247,9733,1139,9725,1147,9714,1154,9699,1160,9699,1143,9713,1136,9724,1127,9733,1118,9739,1108,9750,1108,9750,1247xe" filled="false" stroked="true" strokeweight=".377pt" strokecolor="#231f20">
              <v:path arrowok="t"/>
              <v:stroke dashstyle="solid"/>
            </v:shape>
            <v:shape style="position:absolute;left:9802;top:1108;width:91;height:142" coordorigin="9802,1108" coordsize="91,142" path="m9847,1108l9832,1108,9821,1114,9813,1126,9808,1136,9805,1148,9803,1162,9802,1179,9805,1210,9813,1232,9827,1245,9847,1249,9861,1249,9873,1244,9878,1236,9847,1236,9841,1235,9836,1234,9832,1230,9827,1226,9824,1220,9820,1204,9819,1193,9819,1179,9820,1165,9821,1153,9823,1144,9826,1136,9831,1127,9838,1122,9877,1122,9867,1113,9847,1108xm9877,1122l9853,1122,9858,1124,9862,1128,9866,1132,9869,1138,9874,1154,9875,1165,9875,1179,9874,1193,9873,1205,9871,1215,9868,1222,9863,1231,9856,1236,9878,1236,9880,1232,9886,1222,9889,1210,9891,1196,9892,1179,9889,1148,9881,1126,9877,1122xe" filled="true" fillcolor="#231f20" stroked="false">
              <v:path arrowok="t"/>
              <v:fill type="solid"/>
            </v:shape>
            <v:shape style="position:absolute;left:9819;top:1122;width:56;height:114" coordorigin="9819,1122" coordsize="56,114" path="m9847,1236l9856,1236,9863,1231,9875,1179,9875,1165,9874,1154,9871,1146,9869,1138,9866,1132,9862,1128,9858,1124,9853,1122,9847,1122,9838,1122,9819,1179,9819,1193,9820,1204,9822,1212,9824,1220,9827,1226,9832,1230,9836,1234,9841,1235,9847,1236xe" filled="false" stroked="true" strokeweight=".377pt" strokecolor="#231f20">
              <v:path arrowok="t"/>
              <v:stroke dashstyle="solid"/>
            </v:shape>
            <v:shape style="position:absolute;left:9802;top:1108;width:91;height:142" coordorigin="9802,1108" coordsize="91,142" path="m9847,1108l9867,1113,9881,1126,9889,1148,9892,1179,9891,1196,9861,1249,9847,1249,9827,1245,9813,1232,9805,1210,9802,1179,9803,1162,9832,1108,9847,1108xe" filled="false" stroked="true" strokeweight=".377pt" strokecolor="#231f20">
              <v:path arrowok="t"/>
              <v:stroke dashstyle="solid"/>
            </v:shape>
            <v:shape style="position:absolute;left:9930;top:1108;width:52;height:139" coordorigin="9930,1108" coordsize="52,139" path="m9981,1139l9964,1139,9964,1247,9981,1247,9981,1139xm9981,1108l9970,1108,9963,1118,9954,1127,9943,1136,9930,1143,9930,1160,9944,1154,9955,1147,9964,1139,9981,1139,9981,1108xe" filled="true" fillcolor="#231f20" stroked="false">
              <v:path arrowok="t"/>
              <v:fill type="solid"/>
            </v:shape>
            <v:shape style="position:absolute;left:9930;top:1108;width:52;height:139" coordorigin="9930,1108" coordsize="52,139" path="m9981,1247l9964,1247,9964,1139,9955,1147,9944,1154,9930,1160,9930,1143,9943,1136,9954,1127,9963,1118,9970,1108,9981,1108,9981,1247xe" filled="false" stroked="true" strokeweight=".377pt" strokecolor="#231f20">
              <v:path arrowok="t"/>
              <v:stroke dashstyle="solid"/>
            </v:shape>
            <v:shape style="position:absolute;left:10028;top:1105;width:329;height:149" type="#_x0000_t75" stroked="false">
              <v:imagedata r:id="rId43" o:title=""/>
            </v:shape>
            <w10:wrap type="topAndBottom"/>
          </v:group>
        </w:pict>
      </w:r>
    </w:p>
    <w:sectPr>
      <w:type w:val="continuous"/>
      <w:pgSz w:w="11880" w:h="15480"/>
      <w:pgMar w:top="1260" w:bottom="28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39251">
    <w:altName w:val="39251"/>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pt;margin-top:701.01001pt;width:14pt;height:13.2pt;mso-position-horizontal-relative:page;mso-position-vertical-relative:page;z-index:-408832"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408808" type="#_x0000_t202" filled="false" stroked="false">
          <v:textbox inset="0,0,0,0">
            <w:txbxContent>
              <w:p>
                <w:pPr>
                  <w:spacing w:before="13"/>
                  <w:ind w:left="20" w:right="0" w:firstLine="0"/>
                  <w:jc w:val="left"/>
                  <w:rPr>
                    <w:sz w:val="20"/>
                  </w:rPr>
                </w:pPr>
                <w:r>
                  <w:rPr>
                    <w:color w:val="231F20"/>
                    <w:sz w:val="20"/>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408784"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408760"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408736"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141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408712"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144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01"/>
      <w:numFmt w:val="decimal"/>
      <w:lvlText w:val="%1."/>
      <w:lvlJc w:val="left"/>
      <w:pPr>
        <w:ind w:left="471" w:hanging="351"/>
        <w:jc w:val="left"/>
      </w:pPr>
      <w:rPr>
        <w:rFonts w:hint="default" w:ascii="Times New Roman" w:hAnsi="Times New Roman" w:eastAsia="Times New Roman" w:cs="Times New Roman"/>
        <w:color w:val="231F20"/>
        <w:spacing w:val="-2"/>
        <w:w w:val="100"/>
        <w:sz w:val="20"/>
        <w:szCs w:val="20"/>
      </w:rPr>
    </w:lvl>
    <w:lvl w:ilvl="1">
      <w:start w:val="1"/>
      <w:numFmt w:val="decimal"/>
      <w:lvlText w:val="(%2)"/>
      <w:lvlJc w:val="left"/>
      <w:pPr>
        <w:ind w:left="920" w:hanging="40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1857" w:hanging="400"/>
      </w:pPr>
      <w:rPr>
        <w:rFonts w:hint="default"/>
      </w:rPr>
    </w:lvl>
    <w:lvl w:ilvl="3">
      <w:start w:val="0"/>
      <w:numFmt w:val="bullet"/>
      <w:lvlText w:val="•"/>
      <w:lvlJc w:val="left"/>
      <w:pPr>
        <w:ind w:left="2795" w:hanging="400"/>
      </w:pPr>
      <w:rPr>
        <w:rFonts w:hint="default"/>
      </w:rPr>
    </w:lvl>
    <w:lvl w:ilvl="4">
      <w:start w:val="0"/>
      <w:numFmt w:val="bullet"/>
      <w:lvlText w:val="•"/>
      <w:lvlJc w:val="left"/>
      <w:pPr>
        <w:ind w:left="3733" w:hanging="400"/>
      </w:pPr>
      <w:rPr>
        <w:rFonts w:hint="default"/>
      </w:rPr>
    </w:lvl>
    <w:lvl w:ilvl="5">
      <w:start w:val="0"/>
      <w:numFmt w:val="bullet"/>
      <w:lvlText w:val="•"/>
      <w:lvlJc w:val="left"/>
      <w:pPr>
        <w:ind w:left="4671" w:hanging="400"/>
      </w:pPr>
      <w:rPr>
        <w:rFonts w:hint="default"/>
      </w:rPr>
    </w:lvl>
    <w:lvl w:ilvl="6">
      <w:start w:val="0"/>
      <w:numFmt w:val="bullet"/>
      <w:lvlText w:val="•"/>
      <w:lvlJc w:val="left"/>
      <w:pPr>
        <w:ind w:left="5608" w:hanging="400"/>
      </w:pPr>
      <w:rPr>
        <w:rFonts w:hint="default"/>
      </w:rPr>
    </w:lvl>
    <w:lvl w:ilvl="7">
      <w:start w:val="0"/>
      <w:numFmt w:val="bullet"/>
      <w:lvlText w:val="•"/>
      <w:lvlJc w:val="left"/>
      <w:pPr>
        <w:ind w:left="6546" w:hanging="400"/>
      </w:pPr>
      <w:rPr>
        <w:rFonts w:hint="default"/>
      </w:rPr>
    </w:lvl>
    <w:lvl w:ilvl="8">
      <w:start w:val="0"/>
      <w:numFmt w:val="bullet"/>
      <w:lvlText w:val="•"/>
      <w:lvlJc w:val="left"/>
      <w:pPr>
        <w:ind w:left="7484" w:hanging="400"/>
      </w:pPr>
      <w:rPr>
        <w:rFonts w:hint="default"/>
      </w:rPr>
    </w:lvl>
  </w:abstractNum>
  <w:abstractNum w:abstractNumId="27">
    <w:multiLevelType w:val="hybridMultilevel"/>
    <w:lvl w:ilvl="0">
      <w:start w:val="31"/>
      <w:numFmt w:val="decimal"/>
      <w:lvlText w:val="%1"/>
      <w:lvlJc w:val="left"/>
      <w:pPr>
        <w:ind w:left="100" w:hanging="1750"/>
        <w:jc w:val="left"/>
      </w:pPr>
      <w:rPr>
        <w:rFonts w:hint="default"/>
      </w:rPr>
    </w:lvl>
    <w:lvl w:ilvl="1">
      <w:start w:val="1"/>
      <w:numFmt w:val="decimal"/>
      <w:lvlText w:val="%1.%2"/>
      <w:lvlJc w:val="left"/>
      <w:pPr>
        <w:ind w:left="1850" w:hanging="175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682" w:hanging="1750"/>
      </w:pPr>
      <w:rPr>
        <w:rFonts w:hint="default"/>
      </w:rPr>
    </w:lvl>
    <w:lvl w:ilvl="3">
      <w:start w:val="0"/>
      <w:numFmt w:val="bullet"/>
      <w:lvlText w:val="•"/>
      <w:lvlJc w:val="left"/>
      <w:pPr>
        <w:ind w:left="3504" w:hanging="1750"/>
      </w:pPr>
      <w:rPr>
        <w:rFonts w:hint="default"/>
      </w:rPr>
    </w:lvl>
    <w:lvl w:ilvl="4">
      <w:start w:val="0"/>
      <w:numFmt w:val="bullet"/>
      <w:lvlText w:val="•"/>
      <w:lvlJc w:val="left"/>
      <w:pPr>
        <w:ind w:left="4326" w:hanging="1750"/>
      </w:pPr>
      <w:rPr>
        <w:rFonts w:hint="default"/>
      </w:rPr>
    </w:lvl>
    <w:lvl w:ilvl="5">
      <w:start w:val="0"/>
      <w:numFmt w:val="bullet"/>
      <w:lvlText w:val="•"/>
      <w:lvlJc w:val="left"/>
      <w:pPr>
        <w:ind w:left="5148" w:hanging="1750"/>
      </w:pPr>
      <w:rPr>
        <w:rFonts w:hint="default"/>
      </w:rPr>
    </w:lvl>
    <w:lvl w:ilvl="6">
      <w:start w:val="0"/>
      <w:numFmt w:val="bullet"/>
      <w:lvlText w:val="•"/>
      <w:lvlJc w:val="left"/>
      <w:pPr>
        <w:ind w:left="5971" w:hanging="1750"/>
      </w:pPr>
      <w:rPr>
        <w:rFonts w:hint="default"/>
      </w:rPr>
    </w:lvl>
    <w:lvl w:ilvl="7">
      <w:start w:val="0"/>
      <w:numFmt w:val="bullet"/>
      <w:lvlText w:val="•"/>
      <w:lvlJc w:val="left"/>
      <w:pPr>
        <w:ind w:left="6793" w:hanging="1750"/>
      </w:pPr>
      <w:rPr>
        <w:rFonts w:hint="default"/>
      </w:rPr>
    </w:lvl>
    <w:lvl w:ilvl="8">
      <w:start w:val="0"/>
      <w:numFmt w:val="bullet"/>
      <w:lvlText w:val="•"/>
      <w:lvlJc w:val="left"/>
      <w:pPr>
        <w:ind w:left="7615" w:hanging="1750"/>
      </w:pPr>
      <w:rPr>
        <w:rFonts w:hint="default"/>
      </w:rPr>
    </w:lvl>
  </w:abstractNum>
  <w:abstractNum w:abstractNumId="26">
    <w:multiLevelType w:val="hybridMultilevel"/>
    <w:lvl w:ilvl="0">
      <w:start w:val="10"/>
      <w:numFmt w:val="decimal"/>
      <w:lvlText w:val="%1"/>
      <w:lvlJc w:val="left"/>
      <w:pPr>
        <w:ind w:left="1850" w:hanging="1750"/>
        <w:jc w:val="left"/>
      </w:pPr>
      <w:rPr>
        <w:rFonts w:hint="default"/>
      </w:rPr>
    </w:lvl>
    <w:lvl w:ilvl="1">
      <w:start w:val="1"/>
      <w:numFmt w:val="decimal"/>
      <w:lvlText w:val="%1.%2"/>
      <w:lvlJc w:val="left"/>
      <w:pPr>
        <w:ind w:left="1850" w:hanging="17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356" w:hanging="1750"/>
      </w:pPr>
      <w:rPr>
        <w:rFonts w:hint="default"/>
      </w:rPr>
    </w:lvl>
    <w:lvl w:ilvl="3">
      <w:start w:val="0"/>
      <w:numFmt w:val="bullet"/>
      <w:lvlText w:val="•"/>
      <w:lvlJc w:val="left"/>
      <w:pPr>
        <w:ind w:left="4104" w:hanging="1750"/>
      </w:pPr>
      <w:rPr>
        <w:rFonts w:hint="default"/>
      </w:rPr>
    </w:lvl>
    <w:lvl w:ilvl="4">
      <w:start w:val="0"/>
      <w:numFmt w:val="bullet"/>
      <w:lvlText w:val="•"/>
      <w:lvlJc w:val="left"/>
      <w:pPr>
        <w:ind w:left="4852" w:hanging="1750"/>
      </w:pPr>
      <w:rPr>
        <w:rFonts w:hint="default"/>
      </w:rPr>
    </w:lvl>
    <w:lvl w:ilvl="5">
      <w:start w:val="0"/>
      <w:numFmt w:val="bullet"/>
      <w:lvlText w:val="•"/>
      <w:lvlJc w:val="left"/>
      <w:pPr>
        <w:ind w:left="5600" w:hanging="1750"/>
      </w:pPr>
      <w:rPr>
        <w:rFonts w:hint="default"/>
      </w:rPr>
    </w:lvl>
    <w:lvl w:ilvl="6">
      <w:start w:val="0"/>
      <w:numFmt w:val="bullet"/>
      <w:lvlText w:val="•"/>
      <w:lvlJc w:val="left"/>
      <w:pPr>
        <w:ind w:left="6348" w:hanging="1750"/>
      </w:pPr>
      <w:rPr>
        <w:rFonts w:hint="default"/>
      </w:rPr>
    </w:lvl>
    <w:lvl w:ilvl="7">
      <w:start w:val="0"/>
      <w:numFmt w:val="bullet"/>
      <w:lvlText w:val="•"/>
      <w:lvlJc w:val="left"/>
      <w:pPr>
        <w:ind w:left="7096" w:hanging="1750"/>
      </w:pPr>
      <w:rPr>
        <w:rFonts w:hint="default"/>
      </w:rPr>
    </w:lvl>
    <w:lvl w:ilvl="8">
      <w:start w:val="0"/>
      <w:numFmt w:val="bullet"/>
      <w:lvlText w:val="•"/>
      <w:lvlJc w:val="left"/>
      <w:pPr>
        <w:ind w:left="7844" w:hanging="1750"/>
      </w:pPr>
      <w:rPr>
        <w:rFonts w:hint="default"/>
      </w:rPr>
    </w:lvl>
  </w:abstractNum>
  <w:abstractNum w:abstractNumId="25">
    <w:multiLevelType w:val="hybridMultilevel"/>
    <w:lvl w:ilvl="0">
      <w:start w:val="4"/>
      <w:numFmt w:val="decimal"/>
      <w:lvlText w:val="%1"/>
      <w:lvlJc w:val="left"/>
      <w:pPr>
        <w:ind w:left="1850" w:hanging="1650"/>
        <w:jc w:val="left"/>
      </w:pPr>
      <w:rPr>
        <w:rFonts w:hint="default"/>
      </w:rPr>
    </w:lvl>
    <w:lvl w:ilvl="1">
      <w:start w:val="1"/>
      <w:numFmt w:val="decimal"/>
      <w:lvlText w:val="%1.%2"/>
      <w:lvlJc w:val="left"/>
      <w:pPr>
        <w:ind w:left="1850" w:hanging="1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356" w:hanging="1650"/>
      </w:pPr>
      <w:rPr>
        <w:rFonts w:hint="default"/>
      </w:rPr>
    </w:lvl>
    <w:lvl w:ilvl="3">
      <w:start w:val="0"/>
      <w:numFmt w:val="bullet"/>
      <w:lvlText w:val="•"/>
      <w:lvlJc w:val="left"/>
      <w:pPr>
        <w:ind w:left="4104" w:hanging="1650"/>
      </w:pPr>
      <w:rPr>
        <w:rFonts w:hint="default"/>
      </w:rPr>
    </w:lvl>
    <w:lvl w:ilvl="4">
      <w:start w:val="0"/>
      <w:numFmt w:val="bullet"/>
      <w:lvlText w:val="•"/>
      <w:lvlJc w:val="left"/>
      <w:pPr>
        <w:ind w:left="4852" w:hanging="1650"/>
      </w:pPr>
      <w:rPr>
        <w:rFonts w:hint="default"/>
      </w:rPr>
    </w:lvl>
    <w:lvl w:ilvl="5">
      <w:start w:val="0"/>
      <w:numFmt w:val="bullet"/>
      <w:lvlText w:val="•"/>
      <w:lvlJc w:val="left"/>
      <w:pPr>
        <w:ind w:left="5600" w:hanging="1650"/>
      </w:pPr>
      <w:rPr>
        <w:rFonts w:hint="default"/>
      </w:rPr>
    </w:lvl>
    <w:lvl w:ilvl="6">
      <w:start w:val="0"/>
      <w:numFmt w:val="bullet"/>
      <w:lvlText w:val="•"/>
      <w:lvlJc w:val="left"/>
      <w:pPr>
        <w:ind w:left="6348" w:hanging="1650"/>
      </w:pPr>
      <w:rPr>
        <w:rFonts w:hint="default"/>
      </w:rPr>
    </w:lvl>
    <w:lvl w:ilvl="7">
      <w:start w:val="0"/>
      <w:numFmt w:val="bullet"/>
      <w:lvlText w:val="•"/>
      <w:lvlJc w:val="left"/>
      <w:pPr>
        <w:ind w:left="7096" w:hanging="1650"/>
      </w:pPr>
      <w:rPr>
        <w:rFonts w:hint="default"/>
      </w:rPr>
    </w:lvl>
    <w:lvl w:ilvl="8">
      <w:start w:val="0"/>
      <w:numFmt w:val="bullet"/>
      <w:lvlText w:val="•"/>
      <w:lvlJc w:val="left"/>
      <w:pPr>
        <w:ind w:left="7844" w:hanging="1650"/>
      </w:pPr>
      <w:rPr>
        <w:rFonts w:hint="default"/>
      </w:rPr>
    </w:lvl>
  </w:abstractNum>
  <w:abstractNum w:abstractNumId="24">
    <w:multiLevelType w:val="hybridMultilevel"/>
    <w:lvl w:ilvl="0">
      <w:start w:val="3"/>
      <w:numFmt w:val="decimal"/>
      <w:lvlText w:val="%1"/>
      <w:lvlJc w:val="left"/>
      <w:pPr>
        <w:ind w:left="1850" w:hanging="1650"/>
        <w:jc w:val="left"/>
      </w:pPr>
      <w:rPr>
        <w:rFonts w:hint="default"/>
      </w:rPr>
    </w:lvl>
    <w:lvl w:ilvl="1">
      <w:start w:val="1"/>
      <w:numFmt w:val="decimal"/>
      <w:lvlText w:val="%1.%2"/>
      <w:lvlJc w:val="left"/>
      <w:pPr>
        <w:ind w:left="1850" w:hanging="1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356" w:hanging="1650"/>
      </w:pPr>
      <w:rPr>
        <w:rFonts w:hint="default"/>
      </w:rPr>
    </w:lvl>
    <w:lvl w:ilvl="3">
      <w:start w:val="0"/>
      <w:numFmt w:val="bullet"/>
      <w:lvlText w:val="•"/>
      <w:lvlJc w:val="left"/>
      <w:pPr>
        <w:ind w:left="4104" w:hanging="1650"/>
      </w:pPr>
      <w:rPr>
        <w:rFonts w:hint="default"/>
      </w:rPr>
    </w:lvl>
    <w:lvl w:ilvl="4">
      <w:start w:val="0"/>
      <w:numFmt w:val="bullet"/>
      <w:lvlText w:val="•"/>
      <w:lvlJc w:val="left"/>
      <w:pPr>
        <w:ind w:left="4852" w:hanging="1650"/>
      </w:pPr>
      <w:rPr>
        <w:rFonts w:hint="default"/>
      </w:rPr>
    </w:lvl>
    <w:lvl w:ilvl="5">
      <w:start w:val="0"/>
      <w:numFmt w:val="bullet"/>
      <w:lvlText w:val="•"/>
      <w:lvlJc w:val="left"/>
      <w:pPr>
        <w:ind w:left="5600" w:hanging="1650"/>
      </w:pPr>
      <w:rPr>
        <w:rFonts w:hint="default"/>
      </w:rPr>
    </w:lvl>
    <w:lvl w:ilvl="6">
      <w:start w:val="0"/>
      <w:numFmt w:val="bullet"/>
      <w:lvlText w:val="•"/>
      <w:lvlJc w:val="left"/>
      <w:pPr>
        <w:ind w:left="6348" w:hanging="1650"/>
      </w:pPr>
      <w:rPr>
        <w:rFonts w:hint="default"/>
      </w:rPr>
    </w:lvl>
    <w:lvl w:ilvl="7">
      <w:start w:val="0"/>
      <w:numFmt w:val="bullet"/>
      <w:lvlText w:val="•"/>
      <w:lvlJc w:val="left"/>
      <w:pPr>
        <w:ind w:left="7096" w:hanging="1650"/>
      </w:pPr>
      <w:rPr>
        <w:rFonts w:hint="default"/>
      </w:rPr>
    </w:lvl>
    <w:lvl w:ilvl="8">
      <w:start w:val="0"/>
      <w:numFmt w:val="bullet"/>
      <w:lvlText w:val="•"/>
      <w:lvlJc w:val="left"/>
      <w:pPr>
        <w:ind w:left="7844" w:hanging="1650"/>
      </w:pPr>
      <w:rPr>
        <w:rFonts w:hint="default"/>
      </w:rPr>
    </w:lvl>
  </w:abstractNum>
  <w:abstractNum w:abstractNumId="23">
    <w:multiLevelType w:val="hybridMultilevel"/>
    <w:lvl w:ilvl="0">
      <w:start w:val="2"/>
      <w:numFmt w:val="decimal"/>
      <w:lvlText w:val="%1."/>
      <w:lvlJc w:val="left"/>
      <w:pPr>
        <w:ind w:left="1040" w:hanging="220"/>
        <w:jc w:val="left"/>
      </w:pPr>
      <w:rPr>
        <w:rFonts w:hint="default" w:ascii="Times New Roman" w:hAnsi="Times New Roman" w:eastAsia="Times New Roman" w:cs="Times New Roman"/>
        <w:color w:val="231F20"/>
        <w:spacing w:val="-1"/>
        <w:w w:val="100"/>
        <w:sz w:val="22"/>
        <w:szCs w:val="22"/>
      </w:rPr>
    </w:lvl>
    <w:lvl w:ilvl="1">
      <w:start w:val="0"/>
      <w:numFmt w:val="bullet"/>
      <w:lvlText w:val="•"/>
      <w:lvlJc w:val="left"/>
      <w:pPr>
        <w:ind w:left="1870" w:hanging="220"/>
      </w:pPr>
      <w:rPr>
        <w:rFonts w:hint="default"/>
      </w:rPr>
    </w:lvl>
    <w:lvl w:ilvl="2">
      <w:start w:val="0"/>
      <w:numFmt w:val="bullet"/>
      <w:lvlText w:val="•"/>
      <w:lvlJc w:val="left"/>
      <w:pPr>
        <w:ind w:left="2700" w:hanging="220"/>
      </w:pPr>
      <w:rPr>
        <w:rFonts w:hint="default"/>
      </w:rPr>
    </w:lvl>
    <w:lvl w:ilvl="3">
      <w:start w:val="0"/>
      <w:numFmt w:val="bullet"/>
      <w:lvlText w:val="•"/>
      <w:lvlJc w:val="left"/>
      <w:pPr>
        <w:ind w:left="3530" w:hanging="220"/>
      </w:pPr>
      <w:rPr>
        <w:rFonts w:hint="default"/>
      </w:rPr>
    </w:lvl>
    <w:lvl w:ilvl="4">
      <w:start w:val="0"/>
      <w:numFmt w:val="bullet"/>
      <w:lvlText w:val="•"/>
      <w:lvlJc w:val="left"/>
      <w:pPr>
        <w:ind w:left="4360" w:hanging="220"/>
      </w:pPr>
      <w:rPr>
        <w:rFonts w:hint="default"/>
      </w:rPr>
    </w:lvl>
    <w:lvl w:ilvl="5">
      <w:start w:val="0"/>
      <w:numFmt w:val="bullet"/>
      <w:lvlText w:val="•"/>
      <w:lvlJc w:val="left"/>
      <w:pPr>
        <w:ind w:left="5190" w:hanging="220"/>
      </w:pPr>
      <w:rPr>
        <w:rFonts w:hint="default"/>
      </w:rPr>
    </w:lvl>
    <w:lvl w:ilvl="6">
      <w:start w:val="0"/>
      <w:numFmt w:val="bullet"/>
      <w:lvlText w:val="•"/>
      <w:lvlJc w:val="left"/>
      <w:pPr>
        <w:ind w:left="6020" w:hanging="220"/>
      </w:pPr>
      <w:rPr>
        <w:rFonts w:hint="default"/>
      </w:rPr>
    </w:lvl>
    <w:lvl w:ilvl="7">
      <w:start w:val="0"/>
      <w:numFmt w:val="bullet"/>
      <w:lvlText w:val="•"/>
      <w:lvlJc w:val="left"/>
      <w:pPr>
        <w:ind w:left="6850" w:hanging="220"/>
      </w:pPr>
      <w:rPr>
        <w:rFonts w:hint="default"/>
      </w:rPr>
    </w:lvl>
    <w:lvl w:ilvl="8">
      <w:start w:val="0"/>
      <w:numFmt w:val="bullet"/>
      <w:lvlText w:val="•"/>
      <w:lvlJc w:val="left"/>
      <w:pPr>
        <w:ind w:left="7680" w:hanging="220"/>
      </w:pPr>
      <w:rPr>
        <w:rFonts w:hint="default"/>
      </w:rPr>
    </w:lvl>
  </w:abstractNum>
  <w:abstractNum w:abstractNumId="22">
    <w:multiLevelType w:val="hybridMultilevel"/>
    <w:lvl w:ilvl="0">
      <w:start w:val="1"/>
      <w:numFmt w:val="decimal"/>
      <w:lvlText w:val="(%1)"/>
      <w:lvlJc w:val="left"/>
      <w:pPr>
        <w:ind w:left="920" w:hanging="400"/>
        <w:jc w:val="left"/>
      </w:pPr>
      <w:rPr>
        <w:rFonts w:hint="default" w:ascii="Times New Roman" w:hAnsi="Times New Roman" w:eastAsia="Times New Roman" w:cs="Times New Roman"/>
        <w:color w:val="231F20"/>
        <w:w w:val="99"/>
        <w:sz w:val="20"/>
        <w:szCs w:val="20"/>
      </w:rPr>
    </w:lvl>
    <w:lvl w:ilvl="1">
      <w:start w:val="1"/>
      <w:numFmt w:val="lowerLetter"/>
      <w:lvlText w:val="(%2)"/>
      <w:lvlJc w:val="left"/>
      <w:pPr>
        <w:ind w:left="1119" w:hanging="299"/>
        <w:jc w:val="left"/>
      </w:pPr>
      <w:rPr>
        <w:rFonts w:hint="default" w:ascii="Times New Roman" w:hAnsi="Times New Roman" w:eastAsia="Times New Roman" w:cs="Times New Roman"/>
        <w:color w:val="231F20"/>
        <w:w w:val="100"/>
        <w:sz w:val="22"/>
        <w:szCs w:val="22"/>
      </w:rPr>
    </w:lvl>
    <w:lvl w:ilvl="2">
      <w:start w:val="0"/>
      <w:numFmt w:val="bullet"/>
      <w:lvlText w:val="•"/>
      <w:lvlJc w:val="left"/>
      <w:pPr>
        <w:ind w:left="2033" w:hanging="299"/>
      </w:pPr>
      <w:rPr>
        <w:rFonts w:hint="default"/>
      </w:rPr>
    </w:lvl>
    <w:lvl w:ilvl="3">
      <w:start w:val="0"/>
      <w:numFmt w:val="bullet"/>
      <w:lvlText w:val="•"/>
      <w:lvlJc w:val="left"/>
      <w:pPr>
        <w:ind w:left="2946" w:hanging="299"/>
      </w:pPr>
      <w:rPr>
        <w:rFonts w:hint="default"/>
      </w:rPr>
    </w:lvl>
    <w:lvl w:ilvl="4">
      <w:start w:val="0"/>
      <w:numFmt w:val="bullet"/>
      <w:lvlText w:val="•"/>
      <w:lvlJc w:val="left"/>
      <w:pPr>
        <w:ind w:left="3860" w:hanging="299"/>
      </w:pPr>
      <w:rPr>
        <w:rFonts w:hint="default"/>
      </w:rPr>
    </w:lvl>
    <w:lvl w:ilvl="5">
      <w:start w:val="0"/>
      <w:numFmt w:val="bullet"/>
      <w:lvlText w:val="•"/>
      <w:lvlJc w:val="left"/>
      <w:pPr>
        <w:ind w:left="4773" w:hanging="299"/>
      </w:pPr>
      <w:rPr>
        <w:rFonts w:hint="default"/>
      </w:rPr>
    </w:lvl>
    <w:lvl w:ilvl="6">
      <w:start w:val="0"/>
      <w:numFmt w:val="bullet"/>
      <w:lvlText w:val="•"/>
      <w:lvlJc w:val="left"/>
      <w:pPr>
        <w:ind w:left="5686" w:hanging="299"/>
      </w:pPr>
      <w:rPr>
        <w:rFonts w:hint="default"/>
      </w:rPr>
    </w:lvl>
    <w:lvl w:ilvl="7">
      <w:start w:val="0"/>
      <w:numFmt w:val="bullet"/>
      <w:lvlText w:val="•"/>
      <w:lvlJc w:val="left"/>
      <w:pPr>
        <w:ind w:left="6600" w:hanging="299"/>
      </w:pPr>
      <w:rPr>
        <w:rFonts w:hint="default"/>
      </w:rPr>
    </w:lvl>
    <w:lvl w:ilvl="8">
      <w:start w:val="0"/>
      <w:numFmt w:val="bullet"/>
      <w:lvlText w:val="•"/>
      <w:lvlJc w:val="left"/>
      <w:pPr>
        <w:ind w:left="7513" w:hanging="299"/>
      </w:pPr>
      <w:rPr>
        <w:rFonts w:hint="default"/>
      </w:rPr>
    </w:lvl>
  </w:abstractNum>
  <w:abstractNum w:abstractNumId="21">
    <w:multiLevelType w:val="hybridMultilevel"/>
    <w:lvl w:ilvl="0">
      <w:start w:val="3"/>
      <w:numFmt w:val="decimal"/>
      <w:lvlText w:val="(%1)"/>
      <w:lvlJc w:val="left"/>
      <w:pPr>
        <w:ind w:left="100" w:hanging="320"/>
        <w:jc w:val="left"/>
      </w:pPr>
      <w:rPr>
        <w:rFonts w:hint="default" w:ascii="Times New Roman" w:hAnsi="Times New Roman" w:eastAsia="Times New Roman" w:cs="Times New Roman"/>
        <w:color w:val="231F20"/>
        <w:w w:val="99"/>
        <w:sz w:val="22"/>
        <w:szCs w:val="22"/>
      </w:rPr>
    </w:lvl>
    <w:lvl w:ilvl="1">
      <w:start w:val="1"/>
      <w:numFmt w:val="lowerLetter"/>
      <w:lvlText w:val="(%2)"/>
      <w:lvlJc w:val="left"/>
      <w:pPr>
        <w:ind w:left="120" w:hanging="273"/>
        <w:jc w:val="right"/>
      </w:pPr>
      <w:rPr>
        <w:rFonts w:hint="default"/>
        <w:w w:val="100"/>
      </w:rPr>
    </w:lvl>
    <w:lvl w:ilvl="2">
      <w:start w:val="0"/>
      <w:numFmt w:val="bullet"/>
      <w:lvlText w:val="•"/>
      <w:lvlJc w:val="left"/>
      <w:pPr>
        <w:ind w:left="1144" w:hanging="273"/>
      </w:pPr>
      <w:rPr>
        <w:rFonts w:hint="default"/>
      </w:rPr>
    </w:lvl>
    <w:lvl w:ilvl="3">
      <w:start w:val="0"/>
      <w:numFmt w:val="bullet"/>
      <w:lvlText w:val="•"/>
      <w:lvlJc w:val="left"/>
      <w:pPr>
        <w:ind w:left="2168" w:hanging="273"/>
      </w:pPr>
      <w:rPr>
        <w:rFonts w:hint="default"/>
      </w:rPr>
    </w:lvl>
    <w:lvl w:ilvl="4">
      <w:start w:val="0"/>
      <w:numFmt w:val="bullet"/>
      <w:lvlText w:val="•"/>
      <w:lvlJc w:val="left"/>
      <w:pPr>
        <w:ind w:left="3193" w:hanging="273"/>
      </w:pPr>
      <w:rPr>
        <w:rFonts w:hint="default"/>
      </w:rPr>
    </w:lvl>
    <w:lvl w:ilvl="5">
      <w:start w:val="0"/>
      <w:numFmt w:val="bullet"/>
      <w:lvlText w:val="•"/>
      <w:lvlJc w:val="left"/>
      <w:pPr>
        <w:ind w:left="4217" w:hanging="273"/>
      </w:pPr>
      <w:rPr>
        <w:rFonts w:hint="default"/>
      </w:rPr>
    </w:lvl>
    <w:lvl w:ilvl="6">
      <w:start w:val="0"/>
      <w:numFmt w:val="bullet"/>
      <w:lvlText w:val="•"/>
      <w:lvlJc w:val="left"/>
      <w:pPr>
        <w:ind w:left="5242" w:hanging="273"/>
      </w:pPr>
      <w:rPr>
        <w:rFonts w:hint="default"/>
      </w:rPr>
    </w:lvl>
    <w:lvl w:ilvl="7">
      <w:start w:val="0"/>
      <w:numFmt w:val="bullet"/>
      <w:lvlText w:val="•"/>
      <w:lvlJc w:val="left"/>
      <w:pPr>
        <w:ind w:left="6266" w:hanging="273"/>
      </w:pPr>
      <w:rPr>
        <w:rFonts w:hint="default"/>
      </w:rPr>
    </w:lvl>
    <w:lvl w:ilvl="8">
      <w:start w:val="0"/>
      <w:numFmt w:val="bullet"/>
      <w:lvlText w:val="•"/>
      <w:lvlJc w:val="left"/>
      <w:pPr>
        <w:ind w:left="7291" w:hanging="273"/>
      </w:pPr>
      <w:rPr>
        <w:rFonts w:hint="default"/>
      </w:rPr>
    </w:lvl>
  </w:abstractNum>
  <w:abstractNum w:abstractNumId="20">
    <w:multiLevelType w:val="hybridMultilevel"/>
    <w:lvl w:ilvl="0">
      <w:start w:val="1"/>
      <w:numFmt w:val="lowerLetter"/>
      <w:lvlText w:val="(%1)"/>
      <w:lvlJc w:val="left"/>
      <w:pPr>
        <w:ind w:left="420" w:hanging="300"/>
        <w:jc w:val="left"/>
      </w:pPr>
      <w:rPr>
        <w:rFonts w:hint="default" w:ascii="Times New Roman" w:hAnsi="Times New Roman" w:eastAsia="Times New Roman" w:cs="Times New Roman"/>
        <w:color w:val="231F20"/>
        <w:spacing w:val="-2"/>
        <w:w w:val="100"/>
        <w:sz w:val="20"/>
        <w:szCs w:val="20"/>
      </w:rPr>
    </w:lvl>
    <w:lvl w:ilvl="1">
      <w:start w:val="0"/>
      <w:numFmt w:val="bullet"/>
      <w:lvlText w:val="•"/>
      <w:lvlJc w:val="left"/>
      <w:pPr>
        <w:ind w:left="1314" w:hanging="300"/>
      </w:pPr>
      <w:rPr>
        <w:rFonts w:hint="default"/>
      </w:rPr>
    </w:lvl>
    <w:lvl w:ilvl="2">
      <w:start w:val="0"/>
      <w:numFmt w:val="bullet"/>
      <w:lvlText w:val="•"/>
      <w:lvlJc w:val="left"/>
      <w:pPr>
        <w:ind w:left="2208" w:hanging="300"/>
      </w:pPr>
      <w:rPr>
        <w:rFonts w:hint="default"/>
      </w:rPr>
    </w:lvl>
    <w:lvl w:ilvl="3">
      <w:start w:val="0"/>
      <w:numFmt w:val="bullet"/>
      <w:lvlText w:val="•"/>
      <w:lvlJc w:val="left"/>
      <w:pPr>
        <w:ind w:left="3102" w:hanging="300"/>
      </w:pPr>
      <w:rPr>
        <w:rFonts w:hint="default"/>
      </w:rPr>
    </w:lvl>
    <w:lvl w:ilvl="4">
      <w:start w:val="0"/>
      <w:numFmt w:val="bullet"/>
      <w:lvlText w:val="•"/>
      <w:lvlJc w:val="left"/>
      <w:pPr>
        <w:ind w:left="3996" w:hanging="300"/>
      </w:pPr>
      <w:rPr>
        <w:rFonts w:hint="default"/>
      </w:rPr>
    </w:lvl>
    <w:lvl w:ilvl="5">
      <w:start w:val="0"/>
      <w:numFmt w:val="bullet"/>
      <w:lvlText w:val="•"/>
      <w:lvlJc w:val="left"/>
      <w:pPr>
        <w:ind w:left="4890" w:hanging="300"/>
      </w:pPr>
      <w:rPr>
        <w:rFonts w:hint="default"/>
      </w:rPr>
    </w:lvl>
    <w:lvl w:ilvl="6">
      <w:start w:val="0"/>
      <w:numFmt w:val="bullet"/>
      <w:lvlText w:val="•"/>
      <w:lvlJc w:val="left"/>
      <w:pPr>
        <w:ind w:left="5784" w:hanging="300"/>
      </w:pPr>
      <w:rPr>
        <w:rFonts w:hint="default"/>
      </w:rPr>
    </w:lvl>
    <w:lvl w:ilvl="7">
      <w:start w:val="0"/>
      <w:numFmt w:val="bullet"/>
      <w:lvlText w:val="•"/>
      <w:lvlJc w:val="left"/>
      <w:pPr>
        <w:ind w:left="6678" w:hanging="300"/>
      </w:pPr>
      <w:rPr>
        <w:rFonts w:hint="default"/>
      </w:rPr>
    </w:lvl>
    <w:lvl w:ilvl="8">
      <w:start w:val="0"/>
      <w:numFmt w:val="bullet"/>
      <w:lvlText w:val="•"/>
      <w:lvlJc w:val="left"/>
      <w:pPr>
        <w:ind w:left="7572" w:hanging="300"/>
      </w:pPr>
      <w:rPr>
        <w:rFonts w:hint="default"/>
      </w:rPr>
    </w:lvl>
  </w:abstractNum>
  <w:abstractNum w:abstractNumId="19">
    <w:multiLevelType w:val="hybridMultilevel"/>
    <w:lvl w:ilvl="0">
      <w:start w:val="1"/>
      <w:numFmt w:val="lowerLetter"/>
      <w:lvlText w:val="(%1)"/>
      <w:lvlJc w:val="left"/>
      <w:pPr>
        <w:ind w:left="420" w:hanging="300"/>
        <w:jc w:val="left"/>
      </w:pPr>
      <w:rPr>
        <w:rFonts w:hint="default" w:ascii="Times New Roman" w:hAnsi="Times New Roman" w:eastAsia="Times New Roman" w:cs="Times New Roman"/>
        <w:color w:val="231F20"/>
        <w:spacing w:val="-2"/>
        <w:w w:val="100"/>
        <w:sz w:val="20"/>
        <w:szCs w:val="20"/>
      </w:rPr>
    </w:lvl>
    <w:lvl w:ilvl="1">
      <w:start w:val="0"/>
      <w:numFmt w:val="bullet"/>
      <w:lvlText w:val="•"/>
      <w:lvlJc w:val="left"/>
      <w:pPr>
        <w:ind w:left="1314" w:hanging="300"/>
      </w:pPr>
      <w:rPr>
        <w:rFonts w:hint="default"/>
      </w:rPr>
    </w:lvl>
    <w:lvl w:ilvl="2">
      <w:start w:val="0"/>
      <w:numFmt w:val="bullet"/>
      <w:lvlText w:val="•"/>
      <w:lvlJc w:val="left"/>
      <w:pPr>
        <w:ind w:left="2208" w:hanging="300"/>
      </w:pPr>
      <w:rPr>
        <w:rFonts w:hint="default"/>
      </w:rPr>
    </w:lvl>
    <w:lvl w:ilvl="3">
      <w:start w:val="0"/>
      <w:numFmt w:val="bullet"/>
      <w:lvlText w:val="•"/>
      <w:lvlJc w:val="left"/>
      <w:pPr>
        <w:ind w:left="3102" w:hanging="300"/>
      </w:pPr>
      <w:rPr>
        <w:rFonts w:hint="default"/>
      </w:rPr>
    </w:lvl>
    <w:lvl w:ilvl="4">
      <w:start w:val="0"/>
      <w:numFmt w:val="bullet"/>
      <w:lvlText w:val="•"/>
      <w:lvlJc w:val="left"/>
      <w:pPr>
        <w:ind w:left="3996" w:hanging="300"/>
      </w:pPr>
      <w:rPr>
        <w:rFonts w:hint="default"/>
      </w:rPr>
    </w:lvl>
    <w:lvl w:ilvl="5">
      <w:start w:val="0"/>
      <w:numFmt w:val="bullet"/>
      <w:lvlText w:val="•"/>
      <w:lvlJc w:val="left"/>
      <w:pPr>
        <w:ind w:left="4890" w:hanging="300"/>
      </w:pPr>
      <w:rPr>
        <w:rFonts w:hint="default"/>
      </w:rPr>
    </w:lvl>
    <w:lvl w:ilvl="6">
      <w:start w:val="0"/>
      <w:numFmt w:val="bullet"/>
      <w:lvlText w:val="•"/>
      <w:lvlJc w:val="left"/>
      <w:pPr>
        <w:ind w:left="5784" w:hanging="300"/>
      </w:pPr>
      <w:rPr>
        <w:rFonts w:hint="default"/>
      </w:rPr>
    </w:lvl>
    <w:lvl w:ilvl="7">
      <w:start w:val="0"/>
      <w:numFmt w:val="bullet"/>
      <w:lvlText w:val="•"/>
      <w:lvlJc w:val="left"/>
      <w:pPr>
        <w:ind w:left="6678" w:hanging="300"/>
      </w:pPr>
      <w:rPr>
        <w:rFonts w:hint="default"/>
      </w:rPr>
    </w:lvl>
    <w:lvl w:ilvl="8">
      <w:start w:val="0"/>
      <w:numFmt w:val="bullet"/>
      <w:lvlText w:val="•"/>
      <w:lvlJc w:val="left"/>
      <w:pPr>
        <w:ind w:left="7572" w:hanging="300"/>
      </w:pPr>
      <w:rPr>
        <w:rFonts w:hint="default"/>
      </w:rPr>
    </w:lvl>
  </w:abstractNum>
  <w:abstractNum w:abstractNumId="18">
    <w:multiLevelType w:val="hybridMultilevel"/>
    <w:lvl w:ilvl="0">
      <w:start w:val="1"/>
      <w:numFmt w:val="lowerLetter"/>
      <w:lvlText w:val="(%1)"/>
      <w:lvlJc w:val="left"/>
      <w:pPr>
        <w:ind w:left="39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96" w:hanging="273"/>
      </w:pPr>
      <w:rPr>
        <w:rFonts w:hint="default"/>
      </w:rPr>
    </w:lvl>
    <w:lvl w:ilvl="2">
      <w:start w:val="0"/>
      <w:numFmt w:val="bullet"/>
      <w:lvlText w:val="•"/>
      <w:lvlJc w:val="left"/>
      <w:pPr>
        <w:ind w:left="2192" w:hanging="273"/>
      </w:pPr>
      <w:rPr>
        <w:rFonts w:hint="default"/>
      </w:rPr>
    </w:lvl>
    <w:lvl w:ilvl="3">
      <w:start w:val="0"/>
      <w:numFmt w:val="bullet"/>
      <w:lvlText w:val="•"/>
      <w:lvlJc w:val="left"/>
      <w:pPr>
        <w:ind w:left="3088" w:hanging="273"/>
      </w:pPr>
      <w:rPr>
        <w:rFonts w:hint="default"/>
      </w:rPr>
    </w:lvl>
    <w:lvl w:ilvl="4">
      <w:start w:val="0"/>
      <w:numFmt w:val="bullet"/>
      <w:lvlText w:val="•"/>
      <w:lvlJc w:val="left"/>
      <w:pPr>
        <w:ind w:left="3984" w:hanging="273"/>
      </w:pPr>
      <w:rPr>
        <w:rFonts w:hint="default"/>
      </w:rPr>
    </w:lvl>
    <w:lvl w:ilvl="5">
      <w:start w:val="0"/>
      <w:numFmt w:val="bullet"/>
      <w:lvlText w:val="•"/>
      <w:lvlJc w:val="left"/>
      <w:pPr>
        <w:ind w:left="4880" w:hanging="273"/>
      </w:pPr>
      <w:rPr>
        <w:rFonts w:hint="default"/>
      </w:rPr>
    </w:lvl>
    <w:lvl w:ilvl="6">
      <w:start w:val="0"/>
      <w:numFmt w:val="bullet"/>
      <w:lvlText w:val="•"/>
      <w:lvlJc w:val="left"/>
      <w:pPr>
        <w:ind w:left="577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568" w:hanging="273"/>
      </w:pPr>
      <w:rPr>
        <w:rFonts w:hint="default"/>
      </w:rPr>
    </w:lvl>
  </w:abstractNum>
  <w:abstractNum w:abstractNumId="17">
    <w:multiLevelType w:val="hybridMultilevel"/>
    <w:lvl w:ilvl="0">
      <w:start w:val="1"/>
      <w:numFmt w:val="lowerLetter"/>
      <w:lvlText w:val="(%1)"/>
      <w:lvlJc w:val="left"/>
      <w:pPr>
        <w:ind w:left="3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76" w:hanging="273"/>
      </w:pPr>
      <w:rPr>
        <w:rFonts w:hint="default"/>
      </w:rPr>
    </w:lvl>
    <w:lvl w:ilvl="2">
      <w:start w:val="0"/>
      <w:numFmt w:val="bullet"/>
      <w:lvlText w:val="•"/>
      <w:lvlJc w:val="left"/>
      <w:pPr>
        <w:ind w:left="2172" w:hanging="273"/>
      </w:pPr>
      <w:rPr>
        <w:rFonts w:hint="default"/>
      </w:rPr>
    </w:lvl>
    <w:lvl w:ilvl="3">
      <w:start w:val="0"/>
      <w:numFmt w:val="bullet"/>
      <w:lvlText w:val="•"/>
      <w:lvlJc w:val="left"/>
      <w:pPr>
        <w:ind w:left="3068" w:hanging="273"/>
      </w:pPr>
      <w:rPr>
        <w:rFonts w:hint="default"/>
      </w:rPr>
    </w:lvl>
    <w:lvl w:ilvl="4">
      <w:start w:val="0"/>
      <w:numFmt w:val="bullet"/>
      <w:lvlText w:val="•"/>
      <w:lvlJc w:val="left"/>
      <w:pPr>
        <w:ind w:left="3964" w:hanging="273"/>
      </w:pPr>
      <w:rPr>
        <w:rFonts w:hint="default"/>
      </w:rPr>
    </w:lvl>
    <w:lvl w:ilvl="5">
      <w:start w:val="0"/>
      <w:numFmt w:val="bullet"/>
      <w:lvlText w:val="•"/>
      <w:lvlJc w:val="left"/>
      <w:pPr>
        <w:ind w:left="4860" w:hanging="273"/>
      </w:pPr>
      <w:rPr>
        <w:rFonts w:hint="default"/>
      </w:rPr>
    </w:lvl>
    <w:lvl w:ilvl="6">
      <w:start w:val="0"/>
      <w:numFmt w:val="bullet"/>
      <w:lvlText w:val="•"/>
      <w:lvlJc w:val="left"/>
      <w:pPr>
        <w:ind w:left="5756" w:hanging="273"/>
      </w:pPr>
      <w:rPr>
        <w:rFonts w:hint="default"/>
      </w:rPr>
    </w:lvl>
    <w:lvl w:ilvl="7">
      <w:start w:val="0"/>
      <w:numFmt w:val="bullet"/>
      <w:lvlText w:val="•"/>
      <w:lvlJc w:val="left"/>
      <w:pPr>
        <w:ind w:left="6652" w:hanging="273"/>
      </w:pPr>
      <w:rPr>
        <w:rFonts w:hint="default"/>
      </w:rPr>
    </w:lvl>
    <w:lvl w:ilvl="8">
      <w:start w:val="0"/>
      <w:numFmt w:val="bullet"/>
      <w:lvlText w:val="•"/>
      <w:lvlJc w:val="left"/>
      <w:pPr>
        <w:ind w:left="7548" w:hanging="273"/>
      </w:pPr>
      <w:rPr>
        <w:rFonts w:hint="default"/>
      </w:rPr>
    </w:lvl>
  </w:abstractNum>
  <w:abstractNum w:abstractNumId="16">
    <w:multiLevelType w:val="hybridMultilevel"/>
    <w:lvl w:ilvl="0">
      <w:start w:val="1"/>
      <w:numFmt w:val="lowerLetter"/>
      <w:lvlText w:val="(%1)"/>
      <w:lvlJc w:val="left"/>
      <w:pPr>
        <w:ind w:left="160"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84" w:hanging="273"/>
      </w:pPr>
      <w:rPr>
        <w:rFonts w:hint="default"/>
      </w:rPr>
    </w:lvl>
    <w:lvl w:ilvl="2">
      <w:start w:val="0"/>
      <w:numFmt w:val="bullet"/>
      <w:lvlText w:val="•"/>
      <w:lvlJc w:val="left"/>
      <w:pPr>
        <w:ind w:left="2008" w:hanging="273"/>
      </w:pPr>
      <w:rPr>
        <w:rFonts w:hint="default"/>
      </w:rPr>
    </w:lvl>
    <w:lvl w:ilvl="3">
      <w:start w:val="0"/>
      <w:numFmt w:val="bullet"/>
      <w:lvlText w:val="•"/>
      <w:lvlJc w:val="left"/>
      <w:pPr>
        <w:ind w:left="2932" w:hanging="273"/>
      </w:pPr>
      <w:rPr>
        <w:rFonts w:hint="default"/>
      </w:rPr>
    </w:lvl>
    <w:lvl w:ilvl="4">
      <w:start w:val="0"/>
      <w:numFmt w:val="bullet"/>
      <w:lvlText w:val="•"/>
      <w:lvlJc w:val="left"/>
      <w:pPr>
        <w:ind w:left="3856" w:hanging="273"/>
      </w:pPr>
      <w:rPr>
        <w:rFonts w:hint="default"/>
      </w:rPr>
    </w:lvl>
    <w:lvl w:ilvl="5">
      <w:start w:val="0"/>
      <w:numFmt w:val="bullet"/>
      <w:lvlText w:val="•"/>
      <w:lvlJc w:val="left"/>
      <w:pPr>
        <w:ind w:left="4780" w:hanging="273"/>
      </w:pPr>
      <w:rPr>
        <w:rFonts w:hint="default"/>
      </w:rPr>
    </w:lvl>
    <w:lvl w:ilvl="6">
      <w:start w:val="0"/>
      <w:numFmt w:val="bullet"/>
      <w:lvlText w:val="•"/>
      <w:lvlJc w:val="left"/>
      <w:pPr>
        <w:ind w:left="5704" w:hanging="273"/>
      </w:pPr>
      <w:rPr>
        <w:rFonts w:hint="default"/>
      </w:rPr>
    </w:lvl>
    <w:lvl w:ilvl="7">
      <w:start w:val="0"/>
      <w:numFmt w:val="bullet"/>
      <w:lvlText w:val="•"/>
      <w:lvlJc w:val="left"/>
      <w:pPr>
        <w:ind w:left="6628" w:hanging="273"/>
      </w:pPr>
      <w:rPr>
        <w:rFonts w:hint="default"/>
      </w:rPr>
    </w:lvl>
    <w:lvl w:ilvl="8">
      <w:start w:val="0"/>
      <w:numFmt w:val="bullet"/>
      <w:lvlText w:val="•"/>
      <w:lvlJc w:val="left"/>
      <w:pPr>
        <w:ind w:left="7552" w:hanging="273"/>
      </w:pPr>
      <w:rPr>
        <w:rFonts w:hint="default"/>
      </w:rPr>
    </w:lvl>
  </w:abstractNum>
  <w:abstractNum w:abstractNumId="15">
    <w:multiLevelType w:val="hybridMultilevel"/>
    <w:lvl w:ilvl="0">
      <w:start w:val="1"/>
      <w:numFmt w:val="lowerLetter"/>
      <w:lvlText w:val="(%1)"/>
      <w:lvlJc w:val="left"/>
      <w:pPr>
        <w:ind w:left="120"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44" w:hanging="273"/>
      </w:pPr>
      <w:rPr>
        <w:rFonts w:hint="default"/>
      </w:rPr>
    </w:lvl>
    <w:lvl w:ilvl="2">
      <w:start w:val="0"/>
      <w:numFmt w:val="bullet"/>
      <w:lvlText w:val="•"/>
      <w:lvlJc w:val="left"/>
      <w:pPr>
        <w:ind w:left="1968" w:hanging="273"/>
      </w:pPr>
      <w:rPr>
        <w:rFonts w:hint="default"/>
      </w:rPr>
    </w:lvl>
    <w:lvl w:ilvl="3">
      <w:start w:val="0"/>
      <w:numFmt w:val="bullet"/>
      <w:lvlText w:val="•"/>
      <w:lvlJc w:val="left"/>
      <w:pPr>
        <w:ind w:left="2892" w:hanging="273"/>
      </w:pPr>
      <w:rPr>
        <w:rFonts w:hint="default"/>
      </w:rPr>
    </w:lvl>
    <w:lvl w:ilvl="4">
      <w:start w:val="0"/>
      <w:numFmt w:val="bullet"/>
      <w:lvlText w:val="•"/>
      <w:lvlJc w:val="left"/>
      <w:pPr>
        <w:ind w:left="3816" w:hanging="273"/>
      </w:pPr>
      <w:rPr>
        <w:rFonts w:hint="default"/>
      </w:rPr>
    </w:lvl>
    <w:lvl w:ilvl="5">
      <w:start w:val="0"/>
      <w:numFmt w:val="bullet"/>
      <w:lvlText w:val="•"/>
      <w:lvlJc w:val="left"/>
      <w:pPr>
        <w:ind w:left="4740" w:hanging="273"/>
      </w:pPr>
      <w:rPr>
        <w:rFonts w:hint="default"/>
      </w:rPr>
    </w:lvl>
    <w:lvl w:ilvl="6">
      <w:start w:val="0"/>
      <w:numFmt w:val="bullet"/>
      <w:lvlText w:val="•"/>
      <w:lvlJc w:val="left"/>
      <w:pPr>
        <w:ind w:left="5664" w:hanging="273"/>
      </w:pPr>
      <w:rPr>
        <w:rFonts w:hint="default"/>
      </w:rPr>
    </w:lvl>
    <w:lvl w:ilvl="7">
      <w:start w:val="0"/>
      <w:numFmt w:val="bullet"/>
      <w:lvlText w:val="•"/>
      <w:lvlJc w:val="left"/>
      <w:pPr>
        <w:ind w:left="6588" w:hanging="273"/>
      </w:pPr>
      <w:rPr>
        <w:rFonts w:hint="default"/>
      </w:rPr>
    </w:lvl>
    <w:lvl w:ilvl="8">
      <w:start w:val="0"/>
      <w:numFmt w:val="bullet"/>
      <w:lvlText w:val="•"/>
      <w:lvlJc w:val="left"/>
      <w:pPr>
        <w:ind w:left="7512" w:hanging="273"/>
      </w:pPr>
      <w:rPr>
        <w:rFonts w:hint="default"/>
      </w:rPr>
    </w:lvl>
  </w:abstractNum>
  <w:abstractNum w:abstractNumId="14">
    <w:multiLevelType w:val="hybridMultilevel"/>
    <w:lvl w:ilvl="0">
      <w:start w:val="6"/>
      <w:numFmt w:val="decimal"/>
      <w:lvlText w:val="%1."/>
      <w:lvlJc w:val="left"/>
      <w:pPr>
        <w:ind w:left="100" w:hanging="220"/>
        <w:jc w:val="left"/>
      </w:pPr>
      <w:rPr>
        <w:rFonts w:hint="default" w:ascii="Times New Roman" w:hAnsi="Times New Roman" w:eastAsia="Times New Roman" w:cs="Times New Roman"/>
        <w:b/>
        <w:bCs/>
        <w:color w:val="231F20"/>
        <w:w w:val="100"/>
        <w:sz w:val="22"/>
        <w:szCs w:val="22"/>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55" w:hanging="400"/>
      </w:pPr>
      <w:rPr>
        <w:rFonts w:hint="default"/>
      </w:rPr>
    </w:lvl>
    <w:lvl w:ilvl="3">
      <w:start w:val="0"/>
      <w:numFmt w:val="bullet"/>
      <w:lvlText w:val="•"/>
      <w:lvlJc w:val="left"/>
      <w:pPr>
        <w:ind w:left="2791" w:hanging="400"/>
      </w:pPr>
      <w:rPr>
        <w:rFonts w:hint="default"/>
      </w:rPr>
    </w:lvl>
    <w:lvl w:ilvl="4">
      <w:start w:val="0"/>
      <w:numFmt w:val="bullet"/>
      <w:lvlText w:val="•"/>
      <w:lvlJc w:val="left"/>
      <w:pPr>
        <w:ind w:left="3726" w:hanging="400"/>
      </w:pPr>
      <w:rPr>
        <w:rFonts w:hint="default"/>
      </w:rPr>
    </w:lvl>
    <w:lvl w:ilvl="5">
      <w:start w:val="0"/>
      <w:numFmt w:val="bullet"/>
      <w:lvlText w:val="•"/>
      <w:lvlJc w:val="left"/>
      <w:pPr>
        <w:ind w:left="4662" w:hanging="400"/>
      </w:pPr>
      <w:rPr>
        <w:rFonts w:hint="default"/>
      </w:rPr>
    </w:lvl>
    <w:lvl w:ilvl="6">
      <w:start w:val="0"/>
      <w:numFmt w:val="bullet"/>
      <w:lvlText w:val="•"/>
      <w:lvlJc w:val="left"/>
      <w:pPr>
        <w:ind w:left="5597" w:hanging="400"/>
      </w:pPr>
      <w:rPr>
        <w:rFonts w:hint="default"/>
      </w:rPr>
    </w:lvl>
    <w:lvl w:ilvl="7">
      <w:start w:val="0"/>
      <w:numFmt w:val="bullet"/>
      <w:lvlText w:val="•"/>
      <w:lvlJc w:val="left"/>
      <w:pPr>
        <w:ind w:left="6533" w:hanging="400"/>
      </w:pPr>
      <w:rPr>
        <w:rFonts w:hint="default"/>
      </w:rPr>
    </w:lvl>
    <w:lvl w:ilvl="8">
      <w:start w:val="0"/>
      <w:numFmt w:val="bullet"/>
      <w:lvlText w:val="•"/>
      <w:lvlJc w:val="left"/>
      <w:pPr>
        <w:ind w:left="7468" w:hanging="400"/>
      </w:pPr>
      <w:rPr>
        <w:rFonts w:hint="default"/>
      </w:rPr>
    </w:lvl>
  </w:abstractNum>
  <w:abstractNum w:abstractNumId="13">
    <w:multiLevelType w:val="hybridMultilevel"/>
    <w:lvl w:ilvl="0">
      <w:start w:val="1"/>
      <w:numFmt w:val="decimal"/>
      <w:lvlText w:val="(%1)"/>
      <w:lvlJc w:val="left"/>
      <w:pPr>
        <w:ind w:left="384" w:hanging="284"/>
        <w:jc w:val="left"/>
      </w:pPr>
      <w:rPr>
        <w:rFonts w:hint="default" w:ascii="Times New Roman" w:hAnsi="Times New Roman" w:eastAsia="Times New Roman" w:cs="Times New Roman"/>
        <w:color w:val="231F20"/>
        <w:w w:val="99"/>
        <w:sz w:val="20"/>
        <w:szCs w:val="20"/>
      </w:rPr>
    </w:lvl>
    <w:lvl w:ilvl="1">
      <w:start w:val="1"/>
      <w:numFmt w:val="lowerLetter"/>
      <w:lvlText w:val="(%2)"/>
      <w:lvlJc w:val="left"/>
      <w:pPr>
        <w:ind w:left="120" w:hanging="245"/>
        <w:jc w:val="left"/>
      </w:pPr>
      <w:rPr>
        <w:rFonts w:hint="default" w:ascii="Times New Roman" w:hAnsi="Times New Roman" w:eastAsia="Times New Roman" w:cs="Times New Roman"/>
        <w:color w:val="231F20"/>
        <w:w w:val="100"/>
        <w:sz w:val="18"/>
        <w:szCs w:val="18"/>
      </w:rPr>
    </w:lvl>
    <w:lvl w:ilvl="2">
      <w:start w:val="0"/>
      <w:numFmt w:val="bullet"/>
      <w:lvlText w:val="•"/>
      <w:lvlJc w:val="left"/>
      <w:pPr>
        <w:ind w:left="380" w:hanging="245"/>
      </w:pPr>
      <w:rPr>
        <w:rFonts w:hint="default"/>
      </w:rPr>
    </w:lvl>
    <w:lvl w:ilvl="3">
      <w:start w:val="0"/>
      <w:numFmt w:val="bullet"/>
      <w:lvlText w:val="•"/>
      <w:lvlJc w:val="left"/>
      <w:pPr>
        <w:ind w:left="433" w:hanging="245"/>
      </w:pPr>
      <w:rPr>
        <w:rFonts w:hint="default"/>
      </w:rPr>
    </w:lvl>
    <w:lvl w:ilvl="4">
      <w:start w:val="0"/>
      <w:numFmt w:val="bullet"/>
      <w:lvlText w:val="•"/>
      <w:lvlJc w:val="left"/>
      <w:pPr>
        <w:ind w:left="487" w:hanging="245"/>
      </w:pPr>
      <w:rPr>
        <w:rFonts w:hint="default"/>
      </w:rPr>
    </w:lvl>
    <w:lvl w:ilvl="5">
      <w:start w:val="0"/>
      <w:numFmt w:val="bullet"/>
      <w:lvlText w:val="•"/>
      <w:lvlJc w:val="left"/>
      <w:pPr>
        <w:ind w:left="541" w:hanging="245"/>
      </w:pPr>
      <w:rPr>
        <w:rFonts w:hint="default"/>
      </w:rPr>
    </w:lvl>
    <w:lvl w:ilvl="6">
      <w:start w:val="0"/>
      <w:numFmt w:val="bullet"/>
      <w:lvlText w:val="•"/>
      <w:lvlJc w:val="left"/>
      <w:pPr>
        <w:ind w:left="595" w:hanging="245"/>
      </w:pPr>
      <w:rPr>
        <w:rFonts w:hint="default"/>
      </w:rPr>
    </w:lvl>
    <w:lvl w:ilvl="7">
      <w:start w:val="0"/>
      <w:numFmt w:val="bullet"/>
      <w:lvlText w:val="•"/>
      <w:lvlJc w:val="left"/>
      <w:pPr>
        <w:ind w:left="648" w:hanging="245"/>
      </w:pPr>
      <w:rPr>
        <w:rFonts w:hint="default"/>
      </w:rPr>
    </w:lvl>
    <w:lvl w:ilvl="8">
      <w:start w:val="0"/>
      <w:numFmt w:val="bullet"/>
      <w:lvlText w:val="•"/>
      <w:lvlJc w:val="left"/>
      <w:pPr>
        <w:ind w:left="702" w:hanging="245"/>
      </w:pPr>
      <w:rPr>
        <w:rFonts w:hint="default"/>
      </w:rPr>
    </w:lvl>
  </w:abstractNum>
  <w:abstractNum w:abstractNumId="12">
    <w:multiLevelType w:val="hybridMultilevel"/>
    <w:lvl w:ilvl="0">
      <w:start w:val="1"/>
      <w:numFmt w:val="decimal"/>
      <w:lvlText w:val="%1."/>
      <w:lvlJc w:val="left"/>
      <w:pPr>
        <w:ind w:left="340" w:hanging="220"/>
        <w:jc w:val="left"/>
      </w:pPr>
      <w:rPr>
        <w:rFonts w:hint="default" w:ascii="Times New Roman" w:hAnsi="Times New Roman" w:eastAsia="Times New Roman" w:cs="Times New Roman"/>
        <w:b/>
        <w:bCs/>
        <w:color w:val="231F20"/>
        <w:spacing w:val="-1"/>
        <w:w w:val="99"/>
        <w:sz w:val="22"/>
        <w:szCs w:val="22"/>
      </w:rPr>
    </w:lvl>
    <w:lvl w:ilvl="1">
      <w:start w:val="0"/>
      <w:numFmt w:val="bullet"/>
      <w:lvlText w:val="•"/>
      <w:lvlJc w:val="left"/>
      <w:pPr>
        <w:ind w:left="1242" w:hanging="220"/>
      </w:pPr>
      <w:rPr>
        <w:rFonts w:hint="default"/>
      </w:rPr>
    </w:lvl>
    <w:lvl w:ilvl="2">
      <w:start w:val="0"/>
      <w:numFmt w:val="bullet"/>
      <w:lvlText w:val="•"/>
      <w:lvlJc w:val="left"/>
      <w:pPr>
        <w:ind w:left="2144" w:hanging="220"/>
      </w:pPr>
      <w:rPr>
        <w:rFonts w:hint="default"/>
      </w:rPr>
    </w:lvl>
    <w:lvl w:ilvl="3">
      <w:start w:val="0"/>
      <w:numFmt w:val="bullet"/>
      <w:lvlText w:val="•"/>
      <w:lvlJc w:val="left"/>
      <w:pPr>
        <w:ind w:left="3046" w:hanging="220"/>
      </w:pPr>
      <w:rPr>
        <w:rFonts w:hint="default"/>
      </w:rPr>
    </w:lvl>
    <w:lvl w:ilvl="4">
      <w:start w:val="0"/>
      <w:numFmt w:val="bullet"/>
      <w:lvlText w:val="•"/>
      <w:lvlJc w:val="left"/>
      <w:pPr>
        <w:ind w:left="3948" w:hanging="220"/>
      </w:pPr>
      <w:rPr>
        <w:rFonts w:hint="default"/>
      </w:rPr>
    </w:lvl>
    <w:lvl w:ilvl="5">
      <w:start w:val="0"/>
      <w:numFmt w:val="bullet"/>
      <w:lvlText w:val="•"/>
      <w:lvlJc w:val="left"/>
      <w:pPr>
        <w:ind w:left="4850" w:hanging="220"/>
      </w:pPr>
      <w:rPr>
        <w:rFonts w:hint="default"/>
      </w:rPr>
    </w:lvl>
    <w:lvl w:ilvl="6">
      <w:start w:val="0"/>
      <w:numFmt w:val="bullet"/>
      <w:lvlText w:val="•"/>
      <w:lvlJc w:val="left"/>
      <w:pPr>
        <w:ind w:left="5752" w:hanging="220"/>
      </w:pPr>
      <w:rPr>
        <w:rFonts w:hint="default"/>
      </w:rPr>
    </w:lvl>
    <w:lvl w:ilvl="7">
      <w:start w:val="0"/>
      <w:numFmt w:val="bullet"/>
      <w:lvlText w:val="•"/>
      <w:lvlJc w:val="left"/>
      <w:pPr>
        <w:ind w:left="6654" w:hanging="220"/>
      </w:pPr>
      <w:rPr>
        <w:rFonts w:hint="default"/>
      </w:rPr>
    </w:lvl>
    <w:lvl w:ilvl="8">
      <w:start w:val="0"/>
      <w:numFmt w:val="bullet"/>
      <w:lvlText w:val="•"/>
      <w:lvlJc w:val="left"/>
      <w:pPr>
        <w:ind w:left="7556" w:hanging="220"/>
      </w:pPr>
      <w:rPr>
        <w:rFonts w:hint="default"/>
      </w:rPr>
    </w:lvl>
  </w:abstractNum>
  <w:abstractNum w:abstractNumId="11">
    <w:multiLevelType w:val="hybridMultilevel"/>
    <w:lvl w:ilvl="0">
      <w:start w:val="1"/>
      <w:numFmt w:val="decimal"/>
      <w:lvlText w:val="(%1)"/>
      <w:lvlJc w:val="left"/>
      <w:pPr>
        <w:ind w:left="52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10">
    <w:multiLevelType w:val="hybridMultilevel"/>
    <w:lvl w:ilvl="0">
      <w:start w:val="2"/>
      <w:numFmt w:val="lowerRoman"/>
      <w:lvlText w:val="(%1)"/>
      <w:lvlJc w:val="left"/>
      <w:pPr>
        <w:ind w:left="100" w:hanging="323"/>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24" w:hanging="323"/>
      </w:pPr>
      <w:rPr>
        <w:rFonts w:hint="default"/>
      </w:rPr>
    </w:lvl>
    <w:lvl w:ilvl="2">
      <w:start w:val="0"/>
      <w:numFmt w:val="bullet"/>
      <w:lvlText w:val="•"/>
      <w:lvlJc w:val="left"/>
      <w:pPr>
        <w:ind w:left="1948" w:hanging="323"/>
      </w:pPr>
      <w:rPr>
        <w:rFonts w:hint="default"/>
      </w:rPr>
    </w:lvl>
    <w:lvl w:ilvl="3">
      <w:start w:val="0"/>
      <w:numFmt w:val="bullet"/>
      <w:lvlText w:val="•"/>
      <w:lvlJc w:val="left"/>
      <w:pPr>
        <w:ind w:left="2872" w:hanging="323"/>
      </w:pPr>
      <w:rPr>
        <w:rFonts w:hint="default"/>
      </w:rPr>
    </w:lvl>
    <w:lvl w:ilvl="4">
      <w:start w:val="0"/>
      <w:numFmt w:val="bullet"/>
      <w:lvlText w:val="•"/>
      <w:lvlJc w:val="left"/>
      <w:pPr>
        <w:ind w:left="3796" w:hanging="323"/>
      </w:pPr>
      <w:rPr>
        <w:rFonts w:hint="default"/>
      </w:rPr>
    </w:lvl>
    <w:lvl w:ilvl="5">
      <w:start w:val="0"/>
      <w:numFmt w:val="bullet"/>
      <w:lvlText w:val="•"/>
      <w:lvlJc w:val="left"/>
      <w:pPr>
        <w:ind w:left="4720" w:hanging="323"/>
      </w:pPr>
      <w:rPr>
        <w:rFonts w:hint="default"/>
      </w:rPr>
    </w:lvl>
    <w:lvl w:ilvl="6">
      <w:start w:val="0"/>
      <w:numFmt w:val="bullet"/>
      <w:lvlText w:val="•"/>
      <w:lvlJc w:val="left"/>
      <w:pPr>
        <w:ind w:left="5644" w:hanging="323"/>
      </w:pPr>
      <w:rPr>
        <w:rFonts w:hint="default"/>
      </w:rPr>
    </w:lvl>
    <w:lvl w:ilvl="7">
      <w:start w:val="0"/>
      <w:numFmt w:val="bullet"/>
      <w:lvlText w:val="•"/>
      <w:lvlJc w:val="left"/>
      <w:pPr>
        <w:ind w:left="6568" w:hanging="323"/>
      </w:pPr>
      <w:rPr>
        <w:rFonts w:hint="default"/>
      </w:rPr>
    </w:lvl>
    <w:lvl w:ilvl="8">
      <w:start w:val="0"/>
      <w:numFmt w:val="bullet"/>
      <w:lvlText w:val="•"/>
      <w:lvlJc w:val="left"/>
      <w:pPr>
        <w:ind w:left="7492" w:hanging="323"/>
      </w:pPr>
      <w:rPr>
        <w:rFonts w:hint="default"/>
      </w:rPr>
    </w:lvl>
  </w:abstractNum>
  <w:abstractNum w:abstractNumId="9">
    <w:multiLevelType w:val="hybridMultilevel"/>
    <w:lvl w:ilvl="0">
      <w:start w:val="1"/>
      <w:numFmt w:val="decimal"/>
      <w:lvlText w:val="(%1)"/>
      <w:lvlJc w:val="left"/>
      <w:pPr>
        <w:ind w:left="120" w:hanging="284"/>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044" w:hanging="284"/>
      </w:pPr>
      <w:rPr>
        <w:rFonts w:hint="default"/>
      </w:rPr>
    </w:lvl>
    <w:lvl w:ilvl="2">
      <w:start w:val="0"/>
      <w:numFmt w:val="bullet"/>
      <w:lvlText w:val="•"/>
      <w:lvlJc w:val="left"/>
      <w:pPr>
        <w:ind w:left="1968" w:hanging="284"/>
      </w:pPr>
      <w:rPr>
        <w:rFonts w:hint="default"/>
      </w:rPr>
    </w:lvl>
    <w:lvl w:ilvl="3">
      <w:start w:val="0"/>
      <w:numFmt w:val="bullet"/>
      <w:lvlText w:val="•"/>
      <w:lvlJc w:val="left"/>
      <w:pPr>
        <w:ind w:left="2892" w:hanging="284"/>
      </w:pPr>
      <w:rPr>
        <w:rFonts w:hint="default"/>
      </w:rPr>
    </w:lvl>
    <w:lvl w:ilvl="4">
      <w:start w:val="0"/>
      <w:numFmt w:val="bullet"/>
      <w:lvlText w:val="•"/>
      <w:lvlJc w:val="left"/>
      <w:pPr>
        <w:ind w:left="3816" w:hanging="284"/>
      </w:pPr>
      <w:rPr>
        <w:rFonts w:hint="default"/>
      </w:rPr>
    </w:lvl>
    <w:lvl w:ilvl="5">
      <w:start w:val="0"/>
      <w:numFmt w:val="bullet"/>
      <w:lvlText w:val="•"/>
      <w:lvlJc w:val="left"/>
      <w:pPr>
        <w:ind w:left="4740" w:hanging="284"/>
      </w:pPr>
      <w:rPr>
        <w:rFonts w:hint="default"/>
      </w:rPr>
    </w:lvl>
    <w:lvl w:ilvl="6">
      <w:start w:val="0"/>
      <w:numFmt w:val="bullet"/>
      <w:lvlText w:val="•"/>
      <w:lvlJc w:val="left"/>
      <w:pPr>
        <w:ind w:left="5664" w:hanging="284"/>
      </w:pPr>
      <w:rPr>
        <w:rFonts w:hint="default"/>
      </w:rPr>
    </w:lvl>
    <w:lvl w:ilvl="7">
      <w:start w:val="0"/>
      <w:numFmt w:val="bullet"/>
      <w:lvlText w:val="•"/>
      <w:lvlJc w:val="left"/>
      <w:pPr>
        <w:ind w:left="6588" w:hanging="284"/>
      </w:pPr>
      <w:rPr>
        <w:rFonts w:hint="default"/>
      </w:rPr>
    </w:lvl>
    <w:lvl w:ilvl="8">
      <w:start w:val="0"/>
      <w:numFmt w:val="bullet"/>
      <w:lvlText w:val="•"/>
      <w:lvlJc w:val="left"/>
      <w:pPr>
        <w:ind w:left="7512" w:hanging="284"/>
      </w:pPr>
      <w:rPr>
        <w:rFonts w:hint="default"/>
      </w:rPr>
    </w:lvl>
  </w:abstractNum>
  <w:abstractNum w:abstractNumId="8">
    <w:multiLevelType w:val="hybridMultilevel"/>
    <w:lvl w:ilvl="0">
      <w:start w:val="4"/>
      <w:numFmt w:val="upperLetter"/>
      <w:lvlText w:val="%1"/>
      <w:lvlJc w:val="left"/>
      <w:pPr>
        <w:ind w:left="100" w:hanging="485"/>
        <w:jc w:val="left"/>
      </w:pPr>
      <w:rPr>
        <w:rFonts w:hint="default"/>
      </w:rPr>
    </w:lvl>
    <w:lvl w:ilvl="1">
      <w:start w:val="3"/>
      <w:numFmt w:val="upperLetter"/>
      <w:lvlText w:val="%1.%2."/>
      <w:lvlJc w:val="left"/>
      <w:pPr>
        <w:ind w:left="100" w:hanging="485"/>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670" w:hanging="330"/>
      </w:pPr>
      <w:rPr>
        <w:rFonts w:hint="default" w:ascii="Times New Roman" w:hAnsi="Times New Roman" w:eastAsia="Times New Roman" w:cs="Times New Roman"/>
        <w:color w:val="231F20"/>
        <w:w w:val="99"/>
        <w:sz w:val="22"/>
        <w:szCs w:val="22"/>
      </w:rPr>
    </w:lvl>
    <w:lvl w:ilvl="3">
      <w:start w:val="0"/>
      <w:numFmt w:val="bullet"/>
      <w:lvlText w:val="•"/>
      <w:lvlJc w:val="left"/>
      <w:pPr>
        <w:ind w:left="2588" w:hanging="330"/>
      </w:pPr>
      <w:rPr>
        <w:rFonts w:hint="default"/>
      </w:rPr>
    </w:lvl>
    <w:lvl w:ilvl="4">
      <w:start w:val="0"/>
      <w:numFmt w:val="bullet"/>
      <w:lvlText w:val="•"/>
      <w:lvlJc w:val="left"/>
      <w:pPr>
        <w:ind w:left="3553" w:hanging="330"/>
      </w:pPr>
      <w:rPr>
        <w:rFonts w:hint="default"/>
      </w:rPr>
    </w:lvl>
    <w:lvl w:ilvl="5">
      <w:start w:val="0"/>
      <w:numFmt w:val="bullet"/>
      <w:lvlText w:val="•"/>
      <w:lvlJc w:val="left"/>
      <w:pPr>
        <w:ind w:left="4517" w:hanging="330"/>
      </w:pPr>
      <w:rPr>
        <w:rFonts w:hint="default"/>
      </w:rPr>
    </w:lvl>
    <w:lvl w:ilvl="6">
      <w:start w:val="0"/>
      <w:numFmt w:val="bullet"/>
      <w:lvlText w:val="•"/>
      <w:lvlJc w:val="left"/>
      <w:pPr>
        <w:ind w:left="5482" w:hanging="330"/>
      </w:pPr>
      <w:rPr>
        <w:rFonts w:hint="default"/>
      </w:rPr>
    </w:lvl>
    <w:lvl w:ilvl="7">
      <w:start w:val="0"/>
      <w:numFmt w:val="bullet"/>
      <w:lvlText w:val="•"/>
      <w:lvlJc w:val="left"/>
      <w:pPr>
        <w:ind w:left="6446" w:hanging="330"/>
      </w:pPr>
      <w:rPr>
        <w:rFonts w:hint="default"/>
      </w:rPr>
    </w:lvl>
    <w:lvl w:ilvl="8">
      <w:start w:val="0"/>
      <w:numFmt w:val="bullet"/>
      <w:lvlText w:val="•"/>
      <w:lvlJc w:val="left"/>
      <w:pPr>
        <w:ind w:left="7411" w:hanging="330"/>
      </w:pPr>
      <w:rPr>
        <w:rFonts w:hint="default"/>
      </w:rPr>
    </w:lvl>
  </w:abstractNum>
  <w:abstractNum w:abstractNumId="7">
    <w:multiLevelType w:val="hybridMultilevel"/>
    <w:lvl w:ilvl="0">
      <w:start w:val="1"/>
      <w:numFmt w:val="decimal"/>
      <w:lvlText w:val="(%1)"/>
      <w:lvlJc w:val="left"/>
      <w:pPr>
        <w:ind w:left="500" w:hanging="320"/>
        <w:jc w:val="right"/>
      </w:pPr>
      <w:rPr>
        <w:rFonts w:hint="default" w:ascii="Times New Roman" w:hAnsi="Times New Roman" w:eastAsia="Times New Roman" w:cs="Times New Roman"/>
        <w:color w:val="231F20"/>
        <w:spacing w:val="-1"/>
        <w:w w:val="99"/>
        <w:sz w:val="16"/>
        <w:szCs w:val="16"/>
      </w:rPr>
    </w:lvl>
    <w:lvl w:ilvl="1">
      <w:start w:val="1"/>
      <w:numFmt w:val="lowerLetter"/>
      <w:lvlText w:val="(%2)"/>
      <w:lvlJc w:val="left"/>
      <w:pPr>
        <w:ind w:left="373" w:hanging="273"/>
        <w:jc w:val="left"/>
      </w:pPr>
      <w:rPr>
        <w:rFonts w:hint="default" w:ascii="Times New Roman" w:hAnsi="Times New Roman" w:eastAsia="Times New Roman" w:cs="Times New Roman"/>
        <w:color w:val="231F20"/>
        <w:w w:val="100"/>
        <w:sz w:val="20"/>
        <w:szCs w:val="20"/>
      </w:rPr>
    </w:lvl>
    <w:lvl w:ilvl="2">
      <w:start w:val="1"/>
      <w:numFmt w:val="decimal"/>
      <w:lvlText w:val="(%3)"/>
      <w:lvlJc w:val="left"/>
      <w:pPr>
        <w:ind w:left="100" w:hanging="284"/>
        <w:jc w:val="left"/>
      </w:pPr>
      <w:rPr>
        <w:rFonts w:hint="default" w:ascii="Times New Roman" w:hAnsi="Times New Roman" w:eastAsia="Times New Roman" w:cs="Times New Roman"/>
        <w:color w:val="231F20"/>
        <w:spacing w:val="-1"/>
        <w:w w:val="99"/>
        <w:sz w:val="20"/>
        <w:szCs w:val="20"/>
      </w:rPr>
    </w:lvl>
    <w:lvl w:ilvl="3">
      <w:start w:val="0"/>
      <w:numFmt w:val="bullet"/>
      <w:lvlText w:val="•"/>
      <w:lvlJc w:val="left"/>
      <w:pPr>
        <w:ind w:left="1605" w:hanging="284"/>
      </w:pPr>
      <w:rPr>
        <w:rFonts w:hint="default"/>
      </w:rPr>
    </w:lvl>
    <w:lvl w:ilvl="4">
      <w:start w:val="0"/>
      <w:numFmt w:val="bullet"/>
      <w:lvlText w:val="•"/>
      <w:lvlJc w:val="left"/>
      <w:pPr>
        <w:ind w:left="2710" w:hanging="284"/>
      </w:pPr>
      <w:rPr>
        <w:rFonts w:hint="default"/>
      </w:rPr>
    </w:lvl>
    <w:lvl w:ilvl="5">
      <w:start w:val="0"/>
      <w:numFmt w:val="bullet"/>
      <w:lvlText w:val="•"/>
      <w:lvlJc w:val="left"/>
      <w:pPr>
        <w:ind w:left="3815" w:hanging="284"/>
      </w:pPr>
      <w:rPr>
        <w:rFonts w:hint="default"/>
      </w:rPr>
    </w:lvl>
    <w:lvl w:ilvl="6">
      <w:start w:val="0"/>
      <w:numFmt w:val="bullet"/>
      <w:lvlText w:val="•"/>
      <w:lvlJc w:val="left"/>
      <w:pPr>
        <w:ind w:left="4920" w:hanging="284"/>
      </w:pPr>
      <w:rPr>
        <w:rFonts w:hint="default"/>
      </w:rPr>
    </w:lvl>
    <w:lvl w:ilvl="7">
      <w:start w:val="0"/>
      <w:numFmt w:val="bullet"/>
      <w:lvlText w:val="•"/>
      <w:lvlJc w:val="left"/>
      <w:pPr>
        <w:ind w:left="6025" w:hanging="284"/>
      </w:pPr>
      <w:rPr>
        <w:rFonts w:hint="default"/>
      </w:rPr>
    </w:lvl>
    <w:lvl w:ilvl="8">
      <w:start w:val="0"/>
      <w:numFmt w:val="bullet"/>
      <w:lvlText w:val="•"/>
      <w:lvlJc w:val="left"/>
      <w:pPr>
        <w:ind w:left="7130" w:hanging="284"/>
      </w:pPr>
      <w:rPr>
        <w:rFonts w:hint="default"/>
      </w:rPr>
    </w:lvl>
  </w:abstractNum>
  <w:abstractNum w:abstractNumId="6">
    <w:multiLevelType w:val="hybridMultilevel"/>
    <w:lvl w:ilvl="0">
      <w:start w:val="1"/>
      <w:numFmt w:val="decimal"/>
      <w:lvlText w:val="(%1)"/>
      <w:lvlJc w:val="left"/>
      <w:pPr>
        <w:ind w:left="1120" w:hanging="1000"/>
        <w:jc w:val="left"/>
      </w:pPr>
      <w:rPr>
        <w:rFonts w:hint="default" w:ascii="Times New Roman" w:hAnsi="Times New Roman" w:eastAsia="Times New Roman" w:cs="Times New Roman"/>
        <w:color w:val="231F20"/>
        <w:spacing w:val="-14"/>
        <w:w w:val="99"/>
        <w:sz w:val="20"/>
        <w:szCs w:val="20"/>
      </w:rPr>
    </w:lvl>
    <w:lvl w:ilvl="1">
      <w:start w:val="0"/>
      <w:numFmt w:val="bullet"/>
      <w:lvlText w:val="•"/>
      <w:lvlJc w:val="left"/>
      <w:pPr>
        <w:ind w:left="1944" w:hanging="1000"/>
      </w:pPr>
      <w:rPr>
        <w:rFonts w:hint="default"/>
      </w:rPr>
    </w:lvl>
    <w:lvl w:ilvl="2">
      <w:start w:val="0"/>
      <w:numFmt w:val="bullet"/>
      <w:lvlText w:val="•"/>
      <w:lvlJc w:val="left"/>
      <w:pPr>
        <w:ind w:left="2768" w:hanging="1000"/>
      </w:pPr>
      <w:rPr>
        <w:rFonts w:hint="default"/>
      </w:rPr>
    </w:lvl>
    <w:lvl w:ilvl="3">
      <w:start w:val="0"/>
      <w:numFmt w:val="bullet"/>
      <w:lvlText w:val="•"/>
      <w:lvlJc w:val="left"/>
      <w:pPr>
        <w:ind w:left="3592" w:hanging="1000"/>
      </w:pPr>
      <w:rPr>
        <w:rFonts w:hint="default"/>
      </w:rPr>
    </w:lvl>
    <w:lvl w:ilvl="4">
      <w:start w:val="0"/>
      <w:numFmt w:val="bullet"/>
      <w:lvlText w:val="•"/>
      <w:lvlJc w:val="left"/>
      <w:pPr>
        <w:ind w:left="4416" w:hanging="1000"/>
      </w:pPr>
      <w:rPr>
        <w:rFonts w:hint="default"/>
      </w:rPr>
    </w:lvl>
    <w:lvl w:ilvl="5">
      <w:start w:val="0"/>
      <w:numFmt w:val="bullet"/>
      <w:lvlText w:val="•"/>
      <w:lvlJc w:val="left"/>
      <w:pPr>
        <w:ind w:left="5240" w:hanging="1000"/>
      </w:pPr>
      <w:rPr>
        <w:rFonts w:hint="default"/>
      </w:rPr>
    </w:lvl>
    <w:lvl w:ilvl="6">
      <w:start w:val="0"/>
      <w:numFmt w:val="bullet"/>
      <w:lvlText w:val="•"/>
      <w:lvlJc w:val="left"/>
      <w:pPr>
        <w:ind w:left="6064" w:hanging="1000"/>
      </w:pPr>
      <w:rPr>
        <w:rFonts w:hint="default"/>
      </w:rPr>
    </w:lvl>
    <w:lvl w:ilvl="7">
      <w:start w:val="0"/>
      <w:numFmt w:val="bullet"/>
      <w:lvlText w:val="•"/>
      <w:lvlJc w:val="left"/>
      <w:pPr>
        <w:ind w:left="6888" w:hanging="1000"/>
      </w:pPr>
      <w:rPr>
        <w:rFonts w:hint="default"/>
      </w:rPr>
    </w:lvl>
    <w:lvl w:ilvl="8">
      <w:start w:val="0"/>
      <w:numFmt w:val="bullet"/>
      <w:lvlText w:val="•"/>
      <w:lvlJc w:val="left"/>
      <w:pPr>
        <w:ind w:left="7712" w:hanging="1000"/>
      </w:pPr>
      <w:rPr>
        <w:rFonts w:hint="default"/>
      </w:rPr>
    </w:lvl>
  </w:abstractNum>
  <w:abstractNum w:abstractNumId="5">
    <w:multiLevelType w:val="hybridMultilevel"/>
    <w:lvl w:ilvl="0">
      <w:start w:val="1"/>
      <w:numFmt w:val="decimal"/>
      <w:lvlText w:val="(%1)"/>
      <w:lvlJc w:val="left"/>
      <w:pPr>
        <w:ind w:left="52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4">
    <w:multiLevelType w:val="hybridMultilevel"/>
    <w:lvl w:ilvl="0">
      <w:start w:val="4"/>
      <w:numFmt w:val="lowerRoman"/>
      <w:lvlText w:val="(%1)"/>
      <w:lvlJc w:val="left"/>
      <w:pPr>
        <w:ind w:left="100" w:hanging="381"/>
        <w:jc w:val="left"/>
      </w:pPr>
      <w:rPr>
        <w:rFonts w:hint="default" w:ascii="Times New Roman" w:hAnsi="Times New Roman" w:eastAsia="Times New Roman" w:cs="Times New Roman"/>
        <w:color w:val="231F20"/>
        <w:w w:val="100"/>
        <w:sz w:val="22"/>
        <w:szCs w:val="22"/>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55" w:hanging="400"/>
      </w:pPr>
      <w:rPr>
        <w:rFonts w:hint="default"/>
      </w:rPr>
    </w:lvl>
    <w:lvl w:ilvl="3">
      <w:start w:val="0"/>
      <w:numFmt w:val="bullet"/>
      <w:lvlText w:val="•"/>
      <w:lvlJc w:val="left"/>
      <w:pPr>
        <w:ind w:left="2791" w:hanging="400"/>
      </w:pPr>
      <w:rPr>
        <w:rFonts w:hint="default"/>
      </w:rPr>
    </w:lvl>
    <w:lvl w:ilvl="4">
      <w:start w:val="0"/>
      <w:numFmt w:val="bullet"/>
      <w:lvlText w:val="•"/>
      <w:lvlJc w:val="left"/>
      <w:pPr>
        <w:ind w:left="3726" w:hanging="400"/>
      </w:pPr>
      <w:rPr>
        <w:rFonts w:hint="default"/>
      </w:rPr>
    </w:lvl>
    <w:lvl w:ilvl="5">
      <w:start w:val="0"/>
      <w:numFmt w:val="bullet"/>
      <w:lvlText w:val="•"/>
      <w:lvlJc w:val="left"/>
      <w:pPr>
        <w:ind w:left="4662" w:hanging="400"/>
      </w:pPr>
      <w:rPr>
        <w:rFonts w:hint="default"/>
      </w:rPr>
    </w:lvl>
    <w:lvl w:ilvl="6">
      <w:start w:val="0"/>
      <w:numFmt w:val="bullet"/>
      <w:lvlText w:val="•"/>
      <w:lvlJc w:val="left"/>
      <w:pPr>
        <w:ind w:left="5597" w:hanging="400"/>
      </w:pPr>
      <w:rPr>
        <w:rFonts w:hint="default"/>
      </w:rPr>
    </w:lvl>
    <w:lvl w:ilvl="7">
      <w:start w:val="0"/>
      <w:numFmt w:val="bullet"/>
      <w:lvlText w:val="•"/>
      <w:lvlJc w:val="left"/>
      <w:pPr>
        <w:ind w:left="6533" w:hanging="400"/>
      </w:pPr>
      <w:rPr>
        <w:rFonts w:hint="default"/>
      </w:rPr>
    </w:lvl>
    <w:lvl w:ilvl="8">
      <w:start w:val="0"/>
      <w:numFmt w:val="bullet"/>
      <w:lvlText w:val="•"/>
      <w:lvlJc w:val="left"/>
      <w:pPr>
        <w:ind w:left="7468" w:hanging="400"/>
      </w:pPr>
      <w:rPr>
        <w:rFonts w:hint="default"/>
      </w:rPr>
    </w:lvl>
  </w:abstractNum>
  <w:abstractNum w:abstractNumId="3">
    <w:multiLevelType w:val="hybridMultilevel"/>
    <w:lvl w:ilvl="0">
      <w:start w:val="21"/>
      <w:numFmt w:val="upperLetter"/>
      <w:lvlText w:val="%1"/>
      <w:lvlJc w:val="left"/>
      <w:pPr>
        <w:ind w:left="100" w:hanging="459"/>
        <w:jc w:val="left"/>
      </w:pPr>
      <w:rPr>
        <w:rFonts w:hint="default"/>
      </w:rPr>
    </w:lvl>
    <w:lvl w:ilvl="1">
      <w:start w:val="19"/>
      <w:numFmt w:val="upperLetter"/>
      <w:lvlText w:val="%1.%2."/>
      <w:lvlJc w:val="left"/>
      <w:pPr>
        <w:ind w:left="100" w:hanging="459"/>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1180" w:hanging="360"/>
      </w:pPr>
      <w:rPr>
        <w:rFonts w:hint="default" w:ascii="Times New Roman" w:hAnsi="Times New Roman" w:eastAsia="Times New Roman" w:cs="Times New Roman"/>
        <w:color w:val="231F20"/>
        <w:w w:val="99"/>
        <w:sz w:val="22"/>
        <w:szCs w:val="22"/>
      </w:rPr>
    </w:lvl>
    <w:lvl w:ilvl="3">
      <w:start w:val="0"/>
      <w:numFmt w:val="bullet"/>
      <w:lvlText w:val="•"/>
      <w:lvlJc w:val="left"/>
      <w:pPr>
        <w:ind w:left="2993" w:hanging="360"/>
      </w:pPr>
      <w:rPr>
        <w:rFonts w:hint="default"/>
      </w:rPr>
    </w:lvl>
    <w:lvl w:ilvl="4">
      <w:start w:val="0"/>
      <w:numFmt w:val="bullet"/>
      <w:lvlText w:val="•"/>
      <w:lvlJc w:val="left"/>
      <w:pPr>
        <w:ind w:left="3900" w:hanging="360"/>
      </w:pPr>
      <w:rPr>
        <w:rFonts w:hint="default"/>
      </w:rPr>
    </w:lvl>
    <w:lvl w:ilvl="5">
      <w:start w:val="0"/>
      <w:numFmt w:val="bullet"/>
      <w:lvlText w:val="•"/>
      <w:lvlJc w:val="left"/>
      <w:pPr>
        <w:ind w:left="4806" w:hanging="360"/>
      </w:pPr>
      <w:rPr>
        <w:rFonts w:hint="default"/>
      </w:rPr>
    </w:lvl>
    <w:lvl w:ilvl="6">
      <w:start w:val="0"/>
      <w:numFmt w:val="bullet"/>
      <w:lvlText w:val="•"/>
      <w:lvlJc w:val="left"/>
      <w:pPr>
        <w:ind w:left="5713" w:hanging="360"/>
      </w:pPr>
      <w:rPr>
        <w:rFonts w:hint="default"/>
      </w:rPr>
    </w:lvl>
    <w:lvl w:ilvl="7">
      <w:start w:val="0"/>
      <w:numFmt w:val="bullet"/>
      <w:lvlText w:val="•"/>
      <w:lvlJc w:val="left"/>
      <w:pPr>
        <w:ind w:left="6620" w:hanging="360"/>
      </w:pPr>
      <w:rPr>
        <w:rFonts w:hint="default"/>
      </w:rPr>
    </w:lvl>
    <w:lvl w:ilvl="8">
      <w:start w:val="0"/>
      <w:numFmt w:val="bullet"/>
      <w:lvlText w:val="•"/>
      <w:lvlJc w:val="left"/>
      <w:pPr>
        <w:ind w:left="7526" w:hanging="360"/>
      </w:pPr>
      <w:rPr>
        <w:rFonts w:hint="default"/>
      </w:rPr>
    </w:lvl>
  </w:abstractNum>
  <w:abstractNum w:abstractNumId="2">
    <w:multiLevelType w:val="hybridMultilevel"/>
    <w:lvl w:ilvl="0">
      <w:start w:val="1"/>
      <w:numFmt w:val="lowerRoman"/>
      <w:lvlText w:val="(%1)"/>
      <w:lvlJc w:val="left"/>
      <w:pPr>
        <w:ind w:left="100" w:hanging="281"/>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24" w:hanging="281"/>
      </w:pPr>
      <w:rPr>
        <w:rFonts w:hint="default"/>
      </w:rPr>
    </w:lvl>
    <w:lvl w:ilvl="2">
      <w:start w:val="0"/>
      <w:numFmt w:val="bullet"/>
      <w:lvlText w:val="•"/>
      <w:lvlJc w:val="left"/>
      <w:pPr>
        <w:ind w:left="1948" w:hanging="281"/>
      </w:pPr>
      <w:rPr>
        <w:rFonts w:hint="default"/>
      </w:rPr>
    </w:lvl>
    <w:lvl w:ilvl="3">
      <w:start w:val="0"/>
      <w:numFmt w:val="bullet"/>
      <w:lvlText w:val="•"/>
      <w:lvlJc w:val="left"/>
      <w:pPr>
        <w:ind w:left="2872" w:hanging="281"/>
      </w:pPr>
      <w:rPr>
        <w:rFonts w:hint="default"/>
      </w:rPr>
    </w:lvl>
    <w:lvl w:ilvl="4">
      <w:start w:val="0"/>
      <w:numFmt w:val="bullet"/>
      <w:lvlText w:val="•"/>
      <w:lvlJc w:val="left"/>
      <w:pPr>
        <w:ind w:left="3796" w:hanging="281"/>
      </w:pPr>
      <w:rPr>
        <w:rFonts w:hint="default"/>
      </w:rPr>
    </w:lvl>
    <w:lvl w:ilvl="5">
      <w:start w:val="0"/>
      <w:numFmt w:val="bullet"/>
      <w:lvlText w:val="•"/>
      <w:lvlJc w:val="left"/>
      <w:pPr>
        <w:ind w:left="4720" w:hanging="281"/>
      </w:pPr>
      <w:rPr>
        <w:rFonts w:hint="default"/>
      </w:rPr>
    </w:lvl>
    <w:lvl w:ilvl="6">
      <w:start w:val="0"/>
      <w:numFmt w:val="bullet"/>
      <w:lvlText w:val="•"/>
      <w:lvlJc w:val="left"/>
      <w:pPr>
        <w:ind w:left="5644" w:hanging="281"/>
      </w:pPr>
      <w:rPr>
        <w:rFonts w:hint="default"/>
      </w:rPr>
    </w:lvl>
    <w:lvl w:ilvl="7">
      <w:start w:val="0"/>
      <w:numFmt w:val="bullet"/>
      <w:lvlText w:val="•"/>
      <w:lvlJc w:val="left"/>
      <w:pPr>
        <w:ind w:left="6568" w:hanging="281"/>
      </w:pPr>
      <w:rPr>
        <w:rFonts w:hint="default"/>
      </w:rPr>
    </w:lvl>
    <w:lvl w:ilvl="8">
      <w:start w:val="0"/>
      <w:numFmt w:val="bullet"/>
      <w:lvlText w:val="•"/>
      <w:lvlJc w:val="left"/>
      <w:pPr>
        <w:ind w:left="7492" w:hanging="281"/>
      </w:pPr>
      <w:rPr>
        <w:rFonts w:hint="default"/>
      </w:rPr>
    </w:lvl>
  </w:abstractNum>
  <w:abstractNum w:abstractNumId="1">
    <w:multiLevelType w:val="hybridMultilevel"/>
    <w:lvl w:ilvl="0">
      <w:start w:val="3"/>
      <w:numFmt w:val="lowerRoman"/>
      <w:lvlText w:val="(%1)"/>
      <w:lvlJc w:val="left"/>
      <w:pPr>
        <w:ind w:left="100" w:hanging="395"/>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540" w:hanging="360"/>
      </w:pPr>
      <w:rPr>
        <w:rFonts w:hint="default" w:ascii="Times New Roman" w:hAnsi="Times New Roman" w:eastAsia="Times New Roman" w:cs="Times New Roman"/>
        <w:color w:val="231F20"/>
        <w:w w:val="99"/>
        <w:sz w:val="22"/>
        <w:szCs w:val="22"/>
      </w:rPr>
    </w:lvl>
    <w:lvl w:ilvl="2">
      <w:start w:val="0"/>
      <w:numFmt w:val="bullet"/>
      <w:lvlText w:val="•"/>
      <w:lvlJc w:val="left"/>
      <w:pPr>
        <w:ind w:left="2406" w:hanging="360"/>
      </w:pPr>
      <w:rPr>
        <w:rFonts w:hint="default"/>
      </w:rPr>
    </w:lvl>
    <w:lvl w:ilvl="3">
      <w:start w:val="0"/>
      <w:numFmt w:val="bullet"/>
      <w:lvlText w:val="•"/>
      <w:lvlJc w:val="left"/>
      <w:pPr>
        <w:ind w:left="3273" w:hanging="360"/>
      </w:pPr>
      <w:rPr>
        <w:rFonts w:hint="default"/>
      </w:rPr>
    </w:lvl>
    <w:lvl w:ilvl="4">
      <w:start w:val="0"/>
      <w:numFmt w:val="bullet"/>
      <w:lvlText w:val="•"/>
      <w:lvlJc w:val="left"/>
      <w:pPr>
        <w:ind w:left="4140" w:hanging="360"/>
      </w:pPr>
      <w:rPr>
        <w:rFonts w:hint="default"/>
      </w:rPr>
    </w:lvl>
    <w:lvl w:ilvl="5">
      <w:start w:val="0"/>
      <w:numFmt w:val="bullet"/>
      <w:lvlText w:val="•"/>
      <w:lvlJc w:val="left"/>
      <w:pPr>
        <w:ind w:left="5006" w:hanging="360"/>
      </w:pPr>
      <w:rPr>
        <w:rFonts w:hint="default"/>
      </w:rPr>
    </w:lvl>
    <w:lvl w:ilvl="6">
      <w:start w:val="0"/>
      <w:numFmt w:val="bullet"/>
      <w:lvlText w:val="•"/>
      <w:lvlJc w:val="left"/>
      <w:pPr>
        <w:ind w:left="5873" w:hanging="360"/>
      </w:pPr>
      <w:rPr>
        <w:rFonts w:hint="default"/>
      </w:rPr>
    </w:lvl>
    <w:lvl w:ilvl="7">
      <w:start w:val="0"/>
      <w:numFmt w:val="bullet"/>
      <w:lvlText w:val="•"/>
      <w:lvlJc w:val="left"/>
      <w:pPr>
        <w:ind w:left="6740" w:hanging="360"/>
      </w:pPr>
      <w:rPr>
        <w:rFonts w:hint="default"/>
      </w:rPr>
    </w:lvl>
    <w:lvl w:ilvl="8">
      <w:start w:val="0"/>
      <w:numFmt w:val="bullet"/>
      <w:lvlText w:val="•"/>
      <w:lvlJc w:val="left"/>
      <w:pPr>
        <w:ind w:left="7606" w:hanging="360"/>
      </w:pPr>
      <w:rPr>
        <w:rFonts w:hint="default"/>
      </w:rPr>
    </w:lvl>
  </w:abstractNum>
  <w:abstractNum w:abstractNumId="0">
    <w:multiLevelType w:val="hybridMultilevel"/>
    <w:lvl w:ilvl="0">
      <w:start w:val="21"/>
      <w:numFmt w:val="upperLetter"/>
      <w:lvlText w:val="%1"/>
      <w:lvlJc w:val="left"/>
      <w:pPr>
        <w:ind w:left="546" w:hanging="446"/>
        <w:jc w:val="left"/>
      </w:pPr>
      <w:rPr>
        <w:rFonts w:hint="default"/>
      </w:rPr>
    </w:lvl>
    <w:lvl w:ilvl="1">
      <w:start w:val="19"/>
      <w:numFmt w:val="upperLetter"/>
      <w:lvlText w:val="%1.%2."/>
      <w:lvlJc w:val="left"/>
      <w:pPr>
        <w:ind w:left="546" w:hanging="446"/>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1200" w:hanging="360"/>
      </w:pPr>
      <w:rPr>
        <w:rFonts w:hint="default" w:ascii="Times New Roman" w:hAnsi="Times New Roman" w:eastAsia="Times New Roman" w:cs="Times New Roman"/>
        <w:color w:val="231F20"/>
        <w:w w:val="99"/>
        <w:sz w:val="22"/>
        <w:szCs w:val="22"/>
      </w:rPr>
    </w:lvl>
    <w:lvl w:ilvl="3">
      <w:start w:val="0"/>
      <w:numFmt w:val="bullet"/>
      <w:lvlText w:val="•"/>
      <w:lvlJc w:val="left"/>
      <w:pPr>
        <w:ind w:left="1540" w:hanging="360"/>
      </w:pPr>
      <w:rPr>
        <w:rFonts w:hint="default" w:ascii="Times New Roman" w:hAnsi="Times New Roman" w:eastAsia="Times New Roman" w:cs="Times New Roman"/>
        <w:color w:val="231F20"/>
        <w:w w:val="99"/>
        <w:sz w:val="22"/>
        <w:szCs w:val="22"/>
      </w:rPr>
    </w:lvl>
    <w:lvl w:ilvl="4">
      <w:start w:val="0"/>
      <w:numFmt w:val="bullet"/>
      <w:lvlText w:val="•"/>
      <w:lvlJc w:val="left"/>
      <w:pPr>
        <w:ind w:left="2654" w:hanging="360"/>
      </w:pPr>
      <w:rPr>
        <w:rFonts w:hint="default"/>
      </w:rPr>
    </w:lvl>
    <w:lvl w:ilvl="5">
      <w:start w:val="0"/>
      <w:numFmt w:val="bullet"/>
      <w:lvlText w:val="•"/>
      <w:lvlJc w:val="left"/>
      <w:pPr>
        <w:ind w:left="3768" w:hanging="360"/>
      </w:pPr>
      <w:rPr>
        <w:rFonts w:hint="default"/>
      </w:rPr>
    </w:lvl>
    <w:lvl w:ilvl="6">
      <w:start w:val="0"/>
      <w:numFmt w:val="bullet"/>
      <w:lvlText w:val="•"/>
      <w:lvlJc w:val="left"/>
      <w:pPr>
        <w:ind w:left="4882" w:hanging="360"/>
      </w:pPr>
      <w:rPr>
        <w:rFonts w:hint="default"/>
      </w:rPr>
    </w:lvl>
    <w:lvl w:ilvl="7">
      <w:start w:val="0"/>
      <w:numFmt w:val="bullet"/>
      <w:lvlText w:val="•"/>
      <w:lvlJc w:val="left"/>
      <w:pPr>
        <w:ind w:left="5997" w:hanging="360"/>
      </w:pPr>
      <w:rPr>
        <w:rFonts w:hint="default"/>
      </w:rPr>
    </w:lvl>
    <w:lvl w:ilvl="8">
      <w:start w:val="0"/>
      <w:numFmt w:val="bullet"/>
      <w:lvlText w:val="•"/>
      <w:lvlJc w:val="left"/>
      <w:pPr>
        <w:ind w:left="7111" w:hanging="36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74"/>
      <w:ind w:left="100"/>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ind w:left="460"/>
      <w:outlineLvl w:val="2"/>
    </w:pPr>
    <w:rPr>
      <w:rFonts w:ascii="Times New Roman" w:hAnsi="Times New Roman" w:eastAsia="Times New Roman" w:cs="Times New Roman"/>
      <w:b/>
      <w:bCs/>
      <w:i/>
      <w:sz w:val="22"/>
      <w:szCs w:val="22"/>
    </w:rPr>
  </w:style>
  <w:style w:styleId="ListParagraph" w:type="paragraph">
    <w:name w:val="List Paragraph"/>
    <w:basedOn w:val="Normal"/>
    <w:uiPriority w:val="1"/>
    <w:qFormat/>
    <w:pPr>
      <w:ind w:left="1850" w:hanging="360"/>
    </w:pPr>
    <w:rPr>
      <w:rFonts w:ascii="Times New Roman" w:hAnsi="Times New Roman" w:eastAsia="Times New Roman" w:cs="Times New Roman"/>
    </w:rPr>
  </w:style>
  <w:style w:styleId="TableParagraph" w:type="paragraph">
    <w:name w:val="Table Paragraph"/>
    <w:basedOn w:val="Normal"/>
    <w:uiPriority w:val="1"/>
    <w:qFormat/>
    <w:pPr>
      <w:spacing w:before="5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oter" Target="footer4.xml"/><Relationship Id="rId39" Type="http://schemas.openxmlformats.org/officeDocument/2006/relationships/image" Target="media/image22.png"/><Relationship Id="rId21" Type="http://schemas.openxmlformats.org/officeDocument/2006/relationships/image" Target="media/image15.png"/><Relationship Id="rId34" Type="http://schemas.openxmlformats.org/officeDocument/2006/relationships/hyperlink" Target="http://southwest.investorroom.com/" TargetMode="External"/><Relationship Id="rId42" Type="http://schemas.openxmlformats.org/officeDocument/2006/relationships/image" Target="media/image25.png"/><Relationship Id="rId47" Type="http://schemas.openxmlformats.org/officeDocument/2006/relationships/customXml" Target="../customXml/item3.xml"/><Relationship Id="rId7" Type="http://schemas.openxmlformats.org/officeDocument/2006/relationships/image" Target="media/image3.png"/><Relationship Id="rId2" Type="http://schemas.openxmlformats.org/officeDocument/2006/relationships/fontTable" Target="fontTable.xml"/><Relationship Id="rId16" Type="http://schemas.openxmlformats.org/officeDocument/2006/relationships/footer" Target="footer1.xml"/><Relationship Id="rId29" Type="http://schemas.openxmlformats.org/officeDocument/2006/relationships/footer" Target="footer7.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2.xml"/><Relationship Id="rId32" Type="http://schemas.openxmlformats.org/officeDocument/2006/relationships/hyperlink" Target="http://www.shareowneronline.com/"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customXml" Target="../customXml/item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oter" Target="footer6.xml"/><Relationship Id="rId36"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footer" Target="footer9.xml"/><Relationship Id="rId44"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oter" Target="footer5.xml"/><Relationship Id="rId30" Type="http://schemas.openxmlformats.org/officeDocument/2006/relationships/footer" Target="footer8.xml"/><Relationship Id="rId35" Type="http://schemas.openxmlformats.org/officeDocument/2006/relationships/image" Target="media/image18.png"/><Relationship Id="rId43"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theme" Target="theme/theme1.xml"/><Relationship Id="rId12" Type="http://schemas.openxmlformats.org/officeDocument/2006/relationships/image" Target="media/image8.png"/><Relationship Id="rId17" Type="http://schemas.openxmlformats.org/officeDocument/2006/relationships/hyperlink" Target="http://www.southwest.com/" TargetMode="External"/><Relationship Id="rId25" Type="http://schemas.openxmlformats.org/officeDocument/2006/relationships/footer" Target="footer3.xml"/><Relationship Id="rId33" Type="http://schemas.openxmlformats.org/officeDocument/2006/relationships/hyperlink" Target="http://southwest.com/citizenship" TargetMode="External"/><Relationship Id="rId38" Type="http://schemas.openxmlformats.org/officeDocument/2006/relationships/image" Target="media/image21.png"/><Relationship Id="rId46" Type="http://schemas.openxmlformats.org/officeDocument/2006/relationships/customXml" Target="../customXml/item2.xml"/><Relationship Id="rId20" Type="http://schemas.openxmlformats.org/officeDocument/2006/relationships/image" Target="media/image14.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3F1CC7-EC96-4A2C-ADE9-6B16D1308A78}"/>
</file>

<file path=customXml/itemProps2.xml><?xml version="1.0" encoding="utf-8"?>
<ds:datastoreItem xmlns:ds="http://schemas.openxmlformats.org/officeDocument/2006/customXml" ds:itemID="{89BBD02C-ACC1-458C-87C2-F79E51EBFCA1}"/>
</file>

<file path=customXml/itemProps3.xml><?xml version="1.0" encoding="utf-8"?>
<ds:datastoreItem xmlns:ds="http://schemas.openxmlformats.org/officeDocument/2006/customXml" ds:itemID="{82DC5D7F-1D24-4F57-A8EA-112271A3C8E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printmgr file</dc:title>
  <dcterms:created xsi:type="dcterms:W3CDTF">2018-01-03T22:51:35Z</dcterms:created>
  <dcterms:modified xsi:type="dcterms:W3CDTF">2018-01-03T22:51:35Z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LastSaved">
    <vt:filetime>2018-01-04T00:00:00Z</vt:filetime>
  </property>
  <property fmtid="{D5CDD505-2E9C-101B-9397-08002B2CF9AE}" pid="4" name="ContentTypeId">
    <vt:lpwstr>0x010100F1A24584C23FDF4BB8656E52E9AA5D01</vt:lpwstr>
  </property>
</Properties>
</file>