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7"/>
        <w:rPr>
          <w:rFonts w:ascii="Times New Roman"/>
          <w:sz w:val="20"/>
        </w:rPr>
      </w:pPr>
    </w:p>
    <w:p>
      <w:pPr>
        <w:pStyle w:val="Heading4"/>
        <w:ind w:left="120"/>
      </w:pPr>
      <w:r>
        <w:rPr>
          <w:color w:val="000080"/>
        </w:rPr>
        <w:t>Table Of Contents</w:t>
      </w:r>
    </w:p>
    <w:sdt>
      <w:sdtPr>
        <w:docPartObj>
          <w:docPartGallery w:val="Table of Contents"/>
          <w:docPartUnique/>
        </w:docPartObj>
      </w:sdtPr>
      <w:sdtEndPr/>
      <w:sdtContent>
        <w:p>
          <w:pPr>
            <w:pStyle w:val="TOC1"/>
            <w:tabs>
              <w:tab w:pos="8761" w:val="right" w:leader="dot"/>
            </w:tabs>
            <w:spacing w:before="371"/>
            <w:ind w:left="120"/>
          </w:pPr>
          <w:hyperlink w:history="true" w:anchor="_TOC_250002">
            <w:r>
              <w:rPr/>
              <w:t>Consolidated</w:t>
            </w:r>
            <w:r>
              <w:rPr>
                <w:spacing w:val="-3"/>
              </w:rPr>
              <w:t> </w:t>
            </w:r>
            <w:r>
              <w:rPr/>
              <w:t>Highlights</w:t>
              <w:tab/>
              <w:t>1</w:t>
            </w:r>
          </w:hyperlink>
        </w:p>
        <w:p>
          <w:pPr>
            <w:pStyle w:val="TOC1"/>
            <w:tabs>
              <w:tab w:pos="8761" w:val="right" w:leader="dot"/>
            </w:tabs>
            <w:ind w:left="120"/>
          </w:pPr>
          <w:r>
            <w:rPr/>
            <w:t>Preamble</w:t>
            <w:tab/>
            <w:t>3</w:t>
          </w:r>
        </w:p>
        <w:p>
          <w:pPr>
            <w:pStyle w:val="TOC1"/>
            <w:tabs>
              <w:tab w:pos="8761" w:val="right" w:leader="dot"/>
            </w:tabs>
          </w:pPr>
          <w:r>
            <w:rPr/>
            <w:t>Letter</w:t>
          </w:r>
          <w:r>
            <w:rPr>
              <w:spacing w:val="-3"/>
            </w:rPr>
            <w:t> </w:t>
          </w:r>
          <w:r>
            <w:rPr/>
            <w:t>to Shareholders</w:t>
            <w:tab/>
            <w:t>4</w:t>
          </w:r>
        </w:p>
        <w:p>
          <w:pPr>
            <w:pStyle w:val="TOC1"/>
            <w:tabs>
              <w:tab w:pos="8761" w:val="right" w:leader="dot"/>
            </w:tabs>
          </w:pPr>
          <w:r>
            <w:rPr>
              <w:spacing w:val="2"/>
            </w:rPr>
            <w:t>First </w:t>
          </w:r>
          <w:r>
            <w:rPr>
              <w:spacing w:val="-3"/>
            </w:rPr>
            <w:t>Story</w:t>
          </w:r>
          <w:r>
            <w:rPr>
              <w:spacing w:val="6"/>
            </w:rPr>
            <w:t> </w:t>
          </w:r>
          <w:r>
            <w:rPr/>
            <w:t>of</w:t>
          </w:r>
          <w:r>
            <w:rPr>
              <w:spacing w:val="1"/>
            </w:rPr>
            <w:t> </w:t>
          </w:r>
          <w:r>
            <w:rPr/>
            <w:t>Freedom</w:t>
            <w:tab/>
            <w:t>6</w:t>
          </w:r>
        </w:p>
        <w:p>
          <w:pPr>
            <w:pStyle w:val="TOC1"/>
            <w:tabs>
              <w:tab w:pos="8761" w:val="right" w:leader="dot"/>
            </w:tabs>
          </w:pPr>
          <w:r>
            <w:rPr>
              <w:spacing w:val="-4"/>
            </w:rPr>
            <w:t>Second Story</w:t>
          </w:r>
          <w:r>
            <w:rPr>
              <w:spacing w:val="35"/>
            </w:rPr>
            <w:t> </w:t>
          </w:r>
          <w:r>
            <w:rPr/>
            <w:t>of</w:t>
          </w:r>
          <w:r>
            <w:rPr>
              <w:spacing w:val="1"/>
            </w:rPr>
            <w:t> </w:t>
          </w:r>
          <w:r>
            <w:rPr/>
            <w:t>Freedom</w:t>
            <w:tab/>
            <w:t>9</w:t>
          </w:r>
        </w:p>
        <w:p>
          <w:pPr>
            <w:pStyle w:val="TOC1"/>
            <w:tabs>
              <w:tab w:pos="8759" w:val="right" w:leader="dot"/>
            </w:tabs>
          </w:pPr>
          <w:r>
            <w:rPr>
              <w:spacing w:val="2"/>
            </w:rPr>
            <w:t>Third </w:t>
          </w:r>
          <w:r>
            <w:rPr>
              <w:spacing w:val="-4"/>
            </w:rPr>
            <w:t>Story</w:t>
          </w:r>
          <w:r>
            <w:rPr>
              <w:spacing w:val="7"/>
            </w:rPr>
            <w:t> </w:t>
          </w:r>
          <w:r>
            <w:rPr/>
            <w:t>of</w:t>
          </w:r>
          <w:r>
            <w:rPr>
              <w:spacing w:val="1"/>
            </w:rPr>
            <w:t> </w:t>
          </w:r>
          <w:r>
            <w:rPr/>
            <w:t>Freedom</w:t>
            <w:tab/>
            <w:t>12</w:t>
          </w:r>
        </w:p>
        <w:p>
          <w:pPr>
            <w:pStyle w:val="TOC1"/>
            <w:tabs>
              <w:tab w:pos="8759" w:val="right" w:leader="dot"/>
            </w:tabs>
          </w:pPr>
          <w:r>
            <w:rPr>
              <w:spacing w:val="2"/>
            </w:rPr>
            <w:t>Fourth </w:t>
          </w:r>
          <w:r>
            <w:rPr>
              <w:spacing w:val="-4"/>
            </w:rPr>
            <w:t>Story</w:t>
          </w:r>
          <w:r>
            <w:rPr>
              <w:spacing w:val="1"/>
            </w:rPr>
            <w:t> </w:t>
          </w:r>
          <w:r>
            <w:rPr/>
            <w:t>of</w:t>
          </w:r>
          <w:r>
            <w:rPr>
              <w:spacing w:val="1"/>
            </w:rPr>
            <w:t> </w:t>
          </w:r>
          <w:r>
            <w:rPr/>
            <w:t>Freedom</w:t>
            <w:tab/>
            <w:t>15</w:t>
          </w:r>
        </w:p>
        <w:p>
          <w:pPr>
            <w:pStyle w:val="TOC1"/>
            <w:tabs>
              <w:tab w:pos="8759" w:val="right" w:leader="dot"/>
            </w:tabs>
          </w:pPr>
          <w:r>
            <w:rPr>
              <w:spacing w:val="2"/>
            </w:rPr>
            <w:t>Fifth </w:t>
          </w:r>
          <w:r>
            <w:rPr>
              <w:spacing w:val="-3"/>
            </w:rPr>
            <w:t>Story</w:t>
          </w:r>
          <w:r>
            <w:rPr>
              <w:spacing w:val="6"/>
            </w:rPr>
            <w:t> </w:t>
          </w:r>
          <w:r>
            <w:rPr/>
            <w:t>of</w:t>
          </w:r>
          <w:r>
            <w:rPr>
              <w:spacing w:val="1"/>
            </w:rPr>
            <w:t> </w:t>
          </w:r>
          <w:r>
            <w:rPr/>
            <w:t>Freedom</w:t>
            <w:tab/>
            <w:t>18</w:t>
          </w:r>
        </w:p>
        <w:p>
          <w:pPr>
            <w:pStyle w:val="TOC1"/>
            <w:tabs>
              <w:tab w:pos="8759" w:val="right" w:leader="dot"/>
            </w:tabs>
          </w:pPr>
          <w:r>
            <w:rPr/>
            <w:t>Sixth </w:t>
          </w:r>
          <w:r>
            <w:rPr>
              <w:spacing w:val="-3"/>
            </w:rPr>
            <w:t>Story</w:t>
          </w:r>
          <w:r>
            <w:rPr>
              <w:spacing w:val="18"/>
            </w:rPr>
            <w:t> </w:t>
          </w:r>
          <w:r>
            <w:rPr/>
            <w:t>of</w:t>
          </w:r>
          <w:r>
            <w:rPr>
              <w:spacing w:val="2"/>
            </w:rPr>
            <w:t> </w:t>
          </w:r>
          <w:r>
            <w:rPr/>
            <w:t>Freedom</w:t>
            <w:tab/>
            <w:t>21</w:t>
          </w:r>
        </w:p>
        <w:p>
          <w:pPr>
            <w:pStyle w:val="TOC1"/>
            <w:tabs>
              <w:tab w:pos="8759" w:val="right" w:leader="dot"/>
            </w:tabs>
          </w:pPr>
          <w:r>
            <w:rPr/>
            <w:t>System</w:t>
          </w:r>
          <w:r>
            <w:rPr>
              <w:spacing w:val="-5"/>
            </w:rPr>
            <w:t> </w:t>
          </w:r>
          <w:r>
            <w:rPr/>
            <w:t>Map</w:t>
            <w:tab/>
            <w:t>24</w:t>
          </w:r>
        </w:p>
        <w:p>
          <w:pPr>
            <w:pStyle w:val="TOC1"/>
            <w:tabs>
              <w:tab w:pos="8759" w:val="right" w:leader="dot"/>
            </w:tabs>
          </w:pPr>
          <w:r>
            <w:rPr/>
            <w:t>Financial</w:t>
          </w:r>
          <w:r>
            <w:rPr>
              <w:spacing w:val="-12"/>
            </w:rPr>
            <w:t> </w:t>
          </w:r>
          <w:r>
            <w:rPr/>
            <w:t>Review</w:t>
            <w:tab/>
            <w:t>25</w:t>
          </w:r>
        </w:p>
        <w:p>
          <w:pPr>
            <w:pStyle w:val="TOC1"/>
            <w:tabs>
              <w:tab w:pos="8759" w:val="right" w:leader="dot"/>
            </w:tabs>
          </w:pPr>
          <w:r>
            <w:rPr/>
            <w:t>Management’s Discussion</w:t>
          </w:r>
          <w:r>
            <w:rPr>
              <w:spacing w:val="-3"/>
            </w:rPr>
            <w:t> </w:t>
          </w:r>
          <w:r>
            <w:rPr/>
            <w:t>and</w:t>
          </w:r>
          <w:r>
            <w:rPr>
              <w:spacing w:val="-3"/>
            </w:rPr>
            <w:t> </w:t>
          </w:r>
          <w:r>
            <w:rPr/>
            <w:t>Analysis</w:t>
            <w:tab/>
            <w:t>25</w:t>
          </w:r>
        </w:p>
        <w:p>
          <w:pPr>
            <w:pStyle w:val="TOC1"/>
            <w:tabs>
              <w:tab w:pos="8759" w:val="right" w:leader="dot"/>
            </w:tabs>
          </w:pPr>
          <w:r>
            <w:rPr/>
            <w:t>Consolidated</w:t>
          </w:r>
          <w:r>
            <w:rPr>
              <w:spacing w:val="-2"/>
            </w:rPr>
            <w:t> </w:t>
          </w:r>
          <w:r>
            <w:rPr/>
            <w:t>Financial</w:t>
          </w:r>
          <w:r>
            <w:rPr>
              <w:spacing w:val="-13"/>
            </w:rPr>
            <w:t> </w:t>
          </w:r>
          <w:r>
            <w:rPr/>
            <w:t>Statements</w:t>
            <w:tab/>
            <w:t>41</w:t>
          </w:r>
        </w:p>
        <w:p>
          <w:pPr>
            <w:pStyle w:val="TOC1"/>
            <w:tabs>
              <w:tab w:pos="8759" w:val="right" w:leader="dot"/>
            </w:tabs>
          </w:pPr>
          <w:r>
            <w:rPr/>
            <w:t>Notes to Consolidated</w:t>
          </w:r>
          <w:r>
            <w:rPr>
              <w:spacing w:val="4"/>
            </w:rPr>
            <w:t> </w:t>
          </w:r>
          <w:r>
            <w:rPr/>
            <w:t>Financial</w:t>
          </w:r>
          <w:r>
            <w:rPr>
              <w:spacing w:val="-13"/>
            </w:rPr>
            <w:t> </w:t>
          </w:r>
          <w:r>
            <w:rPr/>
            <w:t>Statements</w:t>
            <w:tab/>
            <w:t>45</w:t>
          </w:r>
        </w:p>
        <w:p>
          <w:pPr>
            <w:pStyle w:val="TOC1"/>
            <w:tabs>
              <w:tab w:pos="8759" w:val="right" w:leader="dot"/>
            </w:tabs>
          </w:pPr>
          <w:r>
            <w:rPr>
              <w:spacing w:val="-3"/>
            </w:rPr>
            <w:t>Report </w:t>
          </w:r>
          <w:r>
            <w:rPr/>
            <w:t>of</w:t>
          </w:r>
          <w:r>
            <w:rPr>
              <w:spacing w:val="11"/>
            </w:rPr>
            <w:t> </w:t>
          </w:r>
          <w:r>
            <w:rPr/>
            <w:t>Independent Auditors</w:t>
            <w:tab/>
            <w:t>62</w:t>
          </w:r>
        </w:p>
        <w:p>
          <w:pPr>
            <w:pStyle w:val="TOC1"/>
            <w:tabs>
              <w:tab w:pos="8759" w:val="right" w:leader="dot"/>
            </w:tabs>
          </w:pPr>
          <w:r>
            <w:rPr/>
            <w:t>Quarterly Financial</w:t>
          </w:r>
          <w:r>
            <w:rPr>
              <w:spacing w:val="-13"/>
            </w:rPr>
            <w:t> </w:t>
          </w:r>
          <w:r>
            <w:rPr/>
            <w:t>Data</w:t>
            <w:tab/>
            <w:t>63</w:t>
          </w:r>
        </w:p>
        <w:p>
          <w:pPr>
            <w:pStyle w:val="TOC1"/>
            <w:tabs>
              <w:tab w:pos="8759" w:val="right" w:leader="dot"/>
            </w:tabs>
          </w:pPr>
          <w:hyperlink w:history="true" w:anchor="_TOC_250001">
            <w:r>
              <w:rPr>
                <w:spacing w:val="-3"/>
              </w:rPr>
              <w:t>Common </w:t>
            </w:r>
            <w:r>
              <w:rPr>
                <w:spacing w:val="-4"/>
              </w:rPr>
              <w:t>Stock </w:t>
            </w:r>
            <w:r>
              <w:rPr/>
              <w:t>Price Ranges</w:t>
            </w:r>
            <w:r>
              <w:rPr>
                <w:spacing w:val="31"/>
              </w:rPr>
              <w:t> </w:t>
            </w:r>
            <w:r>
              <w:rPr/>
              <w:t>and Dividends</w:t>
              <w:tab/>
              <w:t>63</w:t>
            </w:r>
          </w:hyperlink>
        </w:p>
        <w:p>
          <w:pPr>
            <w:pStyle w:val="TOC1"/>
            <w:tabs>
              <w:tab w:pos="8759" w:val="right" w:leader="dot"/>
            </w:tabs>
          </w:pPr>
          <w:r>
            <w:rPr>
              <w:spacing w:val="3"/>
            </w:rPr>
            <w:t>Ten-Year</w:t>
          </w:r>
          <w:r>
            <w:rPr>
              <w:spacing w:val="-17"/>
            </w:rPr>
            <w:t> </w:t>
          </w:r>
          <w:r>
            <w:rPr/>
            <w:t>Summary</w:t>
            <w:tab/>
            <w:t>64</w:t>
          </w:r>
        </w:p>
        <w:p>
          <w:pPr>
            <w:pStyle w:val="TOC1"/>
            <w:tabs>
              <w:tab w:pos="8759" w:val="right" w:leader="dot"/>
            </w:tabs>
          </w:pPr>
          <w:hyperlink w:history="true" w:anchor="_TOC_250000">
            <w:r>
              <w:rPr>
                <w:spacing w:val="-3"/>
              </w:rPr>
              <w:t>Corporate</w:t>
            </w:r>
            <w:r>
              <w:rPr>
                <w:spacing w:val="13"/>
              </w:rPr>
              <w:t> </w:t>
            </w:r>
            <w:r>
              <w:rPr/>
              <w:t>Data</w:t>
              <w:tab/>
              <w:t>66</w:t>
            </w:r>
          </w:hyperlink>
        </w:p>
        <w:p>
          <w:pPr>
            <w:pStyle w:val="TOC1"/>
            <w:tabs>
              <w:tab w:pos="8759" w:val="right" w:leader="dot"/>
            </w:tabs>
          </w:pPr>
          <w:r>
            <w:rPr/>
            <w:t>Directors</w:t>
          </w:r>
          <w:r>
            <w:rPr>
              <w:spacing w:val="-11"/>
            </w:rPr>
            <w:t> </w:t>
          </w:r>
          <w:r>
            <w:rPr/>
            <w:t>and Officers</w:t>
            <w:tab/>
            <w:t>67</w:t>
          </w:r>
        </w:p>
      </w:sdtContent>
    </w:sdt>
    <w:p>
      <w:pPr>
        <w:pStyle w:val="Heading4"/>
        <w:spacing w:before="802"/>
        <w:ind w:left="119"/>
      </w:pPr>
      <w:bookmarkStart w:name="_TOC_250002" w:id="1"/>
      <w:bookmarkEnd w:id="1"/>
      <w:r>
        <w:rPr>
          <w:color w:val="000080"/>
        </w:rPr>
        <w:t>Consolidated Highlights</w:t>
      </w:r>
    </w:p>
    <w:p>
      <w:pPr>
        <w:pStyle w:val="BodyText"/>
        <w:rPr>
          <w:b/>
          <w:sz w:val="20"/>
        </w:rPr>
      </w:pPr>
    </w:p>
    <w:p>
      <w:pPr>
        <w:pStyle w:val="BodyText"/>
        <w:spacing w:before="1"/>
        <w:rPr>
          <w:b/>
          <w:sz w:val="1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6"/>
        <w:gridCol w:w="1507"/>
        <w:gridCol w:w="1432"/>
        <w:gridCol w:w="1314"/>
      </w:tblGrid>
      <w:tr>
        <w:trPr>
          <w:trHeight w:val="281" w:hRule="exact"/>
        </w:trPr>
        <w:tc>
          <w:tcPr>
            <w:tcW w:w="5016" w:type="dxa"/>
            <w:tcBorders>
              <w:top w:val="single" w:sz="12" w:space="0" w:color="808080"/>
              <w:bottom w:val="single" w:sz="6" w:space="0" w:color="808080"/>
            </w:tcBorders>
          </w:tcPr>
          <w:p>
            <w:pPr>
              <w:pStyle w:val="TableParagraph"/>
              <w:spacing w:before="61"/>
              <w:ind w:left="119"/>
              <w:jc w:val="left"/>
              <w:rPr>
                <w:sz w:val="16"/>
              </w:rPr>
            </w:pPr>
            <w:r>
              <w:rPr>
                <w:sz w:val="16"/>
              </w:rPr>
              <w:t>(DOLLARS IN THOUSANDS EXCEPT PER SHARE AMOUNTS)</w:t>
            </w:r>
          </w:p>
        </w:tc>
        <w:tc>
          <w:tcPr>
            <w:tcW w:w="1507" w:type="dxa"/>
            <w:tcBorders>
              <w:top w:val="single" w:sz="12" w:space="0" w:color="808080"/>
              <w:bottom w:val="single" w:sz="6" w:space="0" w:color="808080"/>
            </w:tcBorders>
          </w:tcPr>
          <w:p>
            <w:pPr>
              <w:pStyle w:val="TableParagraph"/>
              <w:spacing w:before="42"/>
              <w:ind w:left="470"/>
              <w:jc w:val="left"/>
              <w:rPr>
                <w:b/>
                <w:sz w:val="18"/>
              </w:rPr>
            </w:pPr>
            <w:r>
              <w:rPr>
                <w:b/>
                <w:color w:val="000080"/>
                <w:sz w:val="18"/>
              </w:rPr>
              <w:t>1998</w:t>
            </w:r>
          </w:p>
        </w:tc>
        <w:tc>
          <w:tcPr>
            <w:tcW w:w="1432" w:type="dxa"/>
            <w:tcBorders>
              <w:top w:val="single" w:sz="12" w:space="0" w:color="808080"/>
              <w:bottom w:val="single" w:sz="6" w:space="0" w:color="808080"/>
            </w:tcBorders>
          </w:tcPr>
          <w:p>
            <w:pPr>
              <w:pStyle w:val="TableParagraph"/>
              <w:spacing w:before="42"/>
              <w:ind w:left="394"/>
              <w:jc w:val="left"/>
              <w:rPr>
                <w:sz w:val="18"/>
              </w:rPr>
            </w:pPr>
            <w:r>
              <w:rPr>
                <w:sz w:val="18"/>
              </w:rPr>
              <w:t>1997</w:t>
            </w:r>
          </w:p>
        </w:tc>
        <w:tc>
          <w:tcPr>
            <w:tcW w:w="1314" w:type="dxa"/>
            <w:tcBorders>
              <w:top w:val="single" w:sz="12" w:space="0" w:color="808080"/>
              <w:bottom w:val="single" w:sz="6" w:space="0" w:color="808080"/>
            </w:tcBorders>
          </w:tcPr>
          <w:p>
            <w:pPr>
              <w:pStyle w:val="TableParagraph"/>
              <w:spacing w:before="42"/>
              <w:ind w:left="219"/>
              <w:jc w:val="left"/>
              <w:rPr>
                <w:sz w:val="18"/>
              </w:rPr>
            </w:pPr>
            <w:r>
              <w:rPr>
                <w:sz w:val="18"/>
              </w:rPr>
              <w:t>CHANGE</w:t>
            </w:r>
          </w:p>
        </w:tc>
      </w:tr>
      <w:tr>
        <w:trPr>
          <w:trHeight w:val="278" w:hRule="exact"/>
        </w:trPr>
        <w:tc>
          <w:tcPr>
            <w:tcW w:w="5016" w:type="dxa"/>
            <w:tcBorders>
              <w:top w:val="single" w:sz="6" w:space="0" w:color="808080"/>
            </w:tcBorders>
          </w:tcPr>
          <w:p>
            <w:pPr>
              <w:pStyle w:val="TableParagraph"/>
              <w:spacing w:before="23"/>
              <w:ind w:left="120"/>
              <w:jc w:val="left"/>
              <w:rPr>
                <w:sz w:val="20"/>
              </w:rPr>
            </w:pPr>
            <w:r>
              <w:rPr>
                <w:sz w:val="20"/>
              </w:rPr>
              <w:t>Operating revenues</w:t>
            </w:r>
          </w:p>
        </w:tc>
        <w:tc>
          <w:tcPr>
            <w:tcW w:w="1507" w:type="dxa"/>
            <w:tcBorders>
              <w:top w:val="single" w:sz="6" w:space="0" w:color="808080"/>
            </w:tcBorders>
          </w:tcPr>
          <w:p>
            <w:pPr>
              <w:pStyle w:val="TableParagraph"/>
              <w:spacing w:before="23"/>
              <w:ind w:right="213"/>
              <w:rPr>
                <w:b/>
                <w:sz w:val="20"/>
              </w:rPr>
            </w:pPr>
            <w:r>
              <w:rPr>
                <w:b/>
                <w:color w:val="000080"/>
                <w:sz w:val="20"/>
              </w:rPr>
              <w:t>$4,163,980</w:t>
            </w:r>
          </w:p>
        </w:tc>
        <w:tc>
          <w:tcPr>
            <w:tcW w:w="1432" w:type="dxa"/>
            <w:tcBorders>
              <w:top w:val="single" w:sz="6" w:space="0" w:color="808080"/>
            </w:tcBorders>
          </w:tcPr>
          <w:p>
            <w:pPr>
              <w:pStyle w:val="TableParagraph"/>
              <w:spacing w:before="23"/>
              <w:ind w:right="219"/>
              <w:rPr>
                <w:sz w:val="20"/>
              </w:rPr>
            </w:pPr>
            <w:r>
              <w:rPr>
                <w:sz w:val="20"/>
              </w:rPr>
              <w:t>$3,816,821</w:t>
            </w:r>
          </w:p>
        </w:tc>
        <w:tc>
          <w:tcPr>
            <w:tcW w:w="1314" w:type="dxa"/>
            <w:tcBorders>
              <w:top w:val="single" w:sz="6" w:space="0" w:color="808080"/>
            </w:tcBorders>
          </w:tcPr>
          <w:p>
            <w:pPr>
              <w:pStyle w:val="TableParagraph"/>
              <w:spacing w:before="23"/>
              <w:ind w:right="90"/>
              <w:rPr>
                <w:sz w:val="20"/>
              </w:rPr>
            </w:pPr>
            <w:r>
              <w:rPr>
                <w:sz w:val="20"/>
              </w:rPr>
              <w:t>9.1%</w:t>
            </w:r>
          </w:p>
        </w:tc>
      </w:tr>
      <w:tr>
        <w:trPr>
          <w:trHeight w:val="259" w:hRule="exact"/>
        </w:trPr>
        <w:tc>
          <w:tcPr>
            <w:tcW w:w="5016" w:type="dxa"/>
          </w:tcPr>
          <w:p>
            <w:pPr>
              <w:pStyle w:val="TableParagraph"/>
              <w:spacing w:before="12"/>
              <w:ind w:left="120"/>
              <w:jc w:val="left"/>
              <w:rPr>
                <w:sz w:val="20"/>
              </w:rPr>
            </w:pPr>
            <w:r>
              <w:rPr>
                <w:sz w:val="20"/>
              </w:rPr>
              <w:t>Operating expenses</w:t>
            </w:r>
          </w:p>
        </w:tc>
        <w:tc>
          <w:tcPr>
            <w:tcW w:w="1507" w:type="dxa"/>
          </w:tcPr>
          <w:p>
            <w:pPr>
              <w:pStyle w:val="TableParagraph"/>
              <w:spacing w:before="12"/>
              <w:ind w:right="213"/>
              <w:rPr>
                <w:b/>
                <w:sz w:val="20"/>
              </w:rPr>
            </w:pPr>
            <w:r>
              <w:rPr>
                <w:b/>
                <w:color w:val="000080"/>
                <w:sz w:val="20"/>
              </w:rPr>
              <w:t>$3,480,369</w:t>
            </w:r>
          </w:p>
        </w:tc>
        <w:tc>
          <w:tcPr>
            <w:tcW w:w="1432" w:type="dxa"/>
          </w:tcPr>
          <w:p>
            <w:pPr>
              <w:pStyle w:val="TableParagraph"/>
              <w:spacing w:before="12"/>
              <w:ind w:right="219"/>
              <w:rPr>
                <w:sz w:val="20"/>
              </w:rPr>
            </w:pPr>
            <w:r>
              <w:rPr>
                <w:sz w:val="20"/>
              </w:rPr>
              <w:t>$3,292,585</w:t>
            </w:r>
          </w:p>
        </w:tc>
        <w:tc>
          <w:tcPr>
            <w:tcW w:w="1314" w:type="dxa"/>
          </w:tcPr>
          <w:p>
            <w:pPr>
              <w:pStyle w:val="TableParagraph"/>
              <w:spacing w:before="12"/>
              <w:ind w:right="90"/>
              <w:rPr>
                <w:sz w:val="20"/>
              </w:rPr>
            </w:pPr>
            <w:r>
              <w:rPr>
                <w:sz w:val="20"/>
              </w:rPr>
              <w:t>5.7%</w:t>
            </w:r>
          </w:p>
        </w:tc>
      </w:tr>
      <w:tr>
        <w:trPr>
          <w:trHeight w:val="259" w:hRule="exact"/>
        </w:trPr>
        <w:tc>
          <w:tcPr>
            <w:tcW w:w="5016" w:type="dxa"/>
          </w:tcPr>
          <w:p>
            <w:pPr>
              <w:pStyle w:val="TableParagraph"/>
              <w:spacing w:before="12"/>
              <w:ind w:left="120"/>
              <w:jc w:val="left"/>
              <w:rPr>
                <w:sz w:val="20"/>
              </w:rPr>
            </w:pPr>
            <w:r>
              <w:rPr>
                <w:sz w:val="20"/>
              </w:rPr>
              <w:t>Operating income</w:t>
            </w:r>
          </w:p>
        </w:tc>
        <w:tc>
          <w:tcPr>
            <w:tcW w:w="1507" w:type="dxa"/>
          </w:tcPr>
          <w:p>
            <w:pPr>
              <w:pStyle w:val="TableParagraph"/>
              <w:spacing w:before="12"/>
              <w:ind w:right="211"/>
              <w:rPr>
                <w:b/>
                <w:sz w:val="20"/>
              </w:rPr>
            </w:pPr>
            <w:r>
              <w:rPr>
                <w:b/>
                <w:color w:val="000080"/>
                <w:sz w:val="20"/>
              </w:rPr>
              <w:t>$683,611</w:t>
            </w:r>
          </w:p>
        </w:tc>
        <w:tc>
          <w:tcPr>
            <w:tcW w:w="1432" w:type="dxa"/>
          </w:tcPr>
          <w:p>
            <w:pPr>
              <w:pStyle w:val="TableParagraph"/>
              <w:spacing w:before="12"/>
              <w:ind w:right="219"/>
              <w:rPr>
                <w:sz w:val="20"/>
              </w:rPr>
            </w:pPr>
            <w:r>
              <w:rPr>
                <w:sz w:val="20"/>
              </w:rPr>
              <w:t>$524,236</w:t>
            </w:r>
          </w:p>
        </w:tc>
        <w:tc>
          <w:tcPr>
            <w:tcW w:w="1314" w:type="dxa"/>
          </w:tcPr>
          <w:p>
            <w:pPr>
              <w:pStyle w:val="TableParagraph"/>
              <w:spacing w:before="12"/>
              <w:ind w:right="90"/>
              <w:rPr>
                <w:sz w:val="20"/>
              </w:rPr>
            </w:pPr>
            <w:r>
              <w:rPr>
                <w:sz w:val="20"/>
              </w:rPr>
              <w:t>30.4%</w:t>
            </w:r>
          </w:p>
        </w:tc>
      </w:tr>
      <w:tr>
        <w:trPr>
          <w:trHeight w:val="259" w:hRule="exact"/>
        </w:trPr>
        <w:tc>
          <w:tcPr>
            <w:tcW w:w="5016" w:type="dxa"/>
          </w:tcPr>
          <w:p>
            <w:pPr>
              <w:pStyle w:val="TableParagraph"/>
              <w:spacing w:before="12"/>
              <w:ind w:left="120"/>
              <w:jc w:val="left"/>
              <w:rPr>
                <w:sz w:val="20"/>
              </w:rPr>
            </w:pPr>
            <w:r>
              <w:rPr>
                <w:sz w:val="20"/>
              </w:rPr>
              <w:t>Operating margin</w:t>
            </w:r>
          </w:p>
        </w:tc>
        <w:tc>
          <w:tcPr>
            <w:tcW w:w="1507" w:type="dxa"/>
          </w:tcPr>
          <w:p>
            <w:pPr>
              <w:pStyle w:val="TableParagraph"/>
              <w:spacing w:before="12"/>
              <w:ind w:right="209"/>
              <w:rPr>
                <w:b/>
                <w:sz w:val="20"/>
              </w:rPr>
            </w:pPr>
            <w:r>
              <w:rPr>
                <w:b/>
                <w:color w:val="000080"/>
                <w:w w:val="95"/>
                <w:sz w:val="20"/>
              </w:rPr>
              <w:t>16.4%</w:t>
            </w:r>
          </w:p>
        </w:tc>
        <w:tc>
          <w:tcPr>
            <w:tcW w:w="1432" w:type="dxa"/>
          </w:tcPr>
          <w:p>
            <w:pPr>
              <w:pStyle w:val="TableParagraph"/>
              <w:spacing w:before="12"/>
              <w:ind w:right="217"/>
              <w:rPr>
                <w:sz w:val="20"/>
              </w:rPr>
            </w:pPr>
            <w:r>
              <w:rPr>
                <w:sz w:val="20"/>
              </w:rPr>
              <w:t>13.7%</w:t>
            </w:r>
          </w:p>
        </w:tc>
        <w:tc>
          <w:tcPr>
            <w:tcW w:w="1314" w:type="dxa"/>
          </w:tcPr>
          <w:p>
            <w:pPr>
              <w:pStyle w:val="TableParagraph"/>
              <w:spacing w:before="12"/>
              <w:ind w:right="92"/>
              <w:rPr>
                <w:sz w:val="20"/>
              </w:rPr>
            </w:pPr>
            <w:r>
              <w:rPr>
                <w:sz w:val="20"/>
              </w:rPr>
              <w:t>2.7 pts.</w:t>
            </w:r>
          </w:p>
        </w:tc>
      </w:tr>
      <w:tr>
        <w:trPr>
          <w:trHeight w:val="259" w:hRule="exact"/>
        </w:trPr>
        <w:tc>
          <w:tcPr>
            <w:tcW w:w="5016" w:type="dxa"/>
          </w:tcPr>
          <w:p>
            <w:pPr>
              <w:pStyle w:val="TableParagraph"/>
              <w:spacing w:before="12"/>
              <w:ind w:left="120"/>
              <w:jc w:val="left"/>
              <w:rPr>
                <w:sz w:val="20"/>
              </w:rPr>
            </w:pPr>
            <w:r>
              <w:rPr>
                <w:sz w:val="20"/>
              </w:rPr>
              <w:t>Net income</w:t>
            </w:r>
          </w:p>
        </w:tc>
        <w:tc>
          <w:tcPr>
            <w:tcW w:w="1507" w:type="dxa"/>
          </w:tcPr>
          <w:p>
            <w:pPr>
              <w:pStyle w:val="TableParagraph"/>
              <w:spacing w:before="12"/>
              <w:ind w:right="211"/>
              <w:rPr>
                <w:b/>
                <w:sz w:val="20"/>
              </w:rPr>
            </w:pPr>
            <w:r>
              <w:rPr>
                <w:b/>
                <w:color w:val="000080"/>
                <w:sz w:val="20"/>
              </w:rPr>
              <w:t>$433,431</w:t>
            </w:r>
          </w:p>
        </w:tc>
        <w:tc>
          <w:tcPr>
            <w:tcW w:w="1432" w:type="dxa"/>
          </w:tcPr>
          <w:p>
            <w:pPr>
              <w:pStyle w:val="TableParagraph"/>
              <w:spacing w:before="12"/>
              <w:ind w:right="219"/>
              <w:rPr>
                <w:sz w:val="20"/>
              </w:rPr>
            </w:pPr>
            <w:r>
              <w:rPr>
                <w:sz w:val="20"/>
              </w:rPr>
              <w:t>$317,772</w:t>
            </w:r>
          </w:p>
        </w:tc>
        <w:tc>
          <w:tcPr>
            <w:tcW w:w="1314" w:type="dxa"/>
          </w:tcPr>
          <w:p>
            <w:pPr>
              <w:pStyle w:val="TableParagraph"/>
              <w:spacing w:before="12"/>
              <w:ind w:right="90"/>
              <w:rPr>
                <w:sz w:val="20"/>
              </w:rPr>
            </w:pPr>
            <w:r>
              <w:rPr>
                <w:sz w:val="20"/>
              </w:rPr>
              <w:t>36.4%</w:t>
            </w:r>
          </w:p>
        </w:tc>
      </w:tr>
      <w:tr>
        <w:trPr>
          <w:trHeight w:val="259" w:hRule="exact"/>
        </w:trPr>
        <w:tc>
          <w:tcPr>
            <w:tcW w:w="5016" w:type="dxa"/>
          </w:tcPr>
          <w:p>
            <w:pPr>
              <w:pStyle w:val="TableParagraph"/>
              <w:spacing w:before="12"/>
              <w:ind w:left="120"/>
              <w:jc w:val="left"/>
              <w:rPr>
                <w:sz w:val="20"/>
              </w:rPr>
            </w:pPr>
            <w:r>
              <w:rPr>
                <w:sz w:val="20"/>
              </w:rPr>
              <w:t>Net margin</w:t>
            </w:r>
          </w:p>
        </w:tc>
        <w:tc>
          <w:tcPr>
            <w:tcW w:w="1507" w:type="dxa"/>
          </w:tcPr>
          <w:p>
            <w:pPr>
              <w:pStyle w:val="TableParagraph"/>
              <w:spacing w:before="12"/>
              <w:ind w:right="209"/>
              <w:rPr>
                <w:b/>
                <w:sz w:val="20"/>
              </w:rPr>
            </w:pPr>
            <w:r>
              <w:rPr>
                <w:b/>
                <w:color w:val="000080"/>
                <w:w w:val="95"/>
                <w:sz w:val="20"/>
              </w:rPr>
              <w:t>10.4%</w:t>
            </w:r>
          </w:p>
        </w:tc>
        <w:tc>
          <w:tcPr>
            <w:tcW w:w="1432" w:type="dxa"/>
          </w:tcPr>
          <w:p>
            <w:pPr>
              <w:pStyle w:val="TableParagraph"/>
              <w:spacing w:before="12"/>
              <w:ind w:right="217"/>
              <w:rPr>
                <w:sz w:val="20"/>
              </w:rPr>
            </w:pPr>
            <w:r>
              <w:rPr>
                <w:sz w:val="20"/>
              </w:rPr>
              <w:t>8.3%</w:t>
            </w:r>
          </w:p>
        </w:tc>
        <w:tc>
          <w:tcPr>
            <w:tcW w:w="1314" w:type="dxa"/>
          </w:tcPr>
          <w:p>
            <w:pPr>
              <w:pStyle w:val="TableParagraph"/>
              <w:spacing w:before="12"/>
              <w:ind w:right="92"/>
              <w:rPr>
                <w:sz w:val="20"/>
              </w:rPr>
            </w:pPr>
            <w:r>
              <w:rPr>
                <w:sz w:val="20"/>
              </w:rPr>
              <w:t>2.1 pts.</w:t>
            </w:r>
          </w:p>
        </w:tc>
      </w:tr>
      <w:tr>
        <w:trPr>
          <w:trHeight w:val="259" w:hRule="exact"/>
        </w:trPr>
        <w:tc>
          <w:tcPr>
            <w:tcW w:w="5016" w:type="dxa"/>
          </w:tcPr>
          <w:p>
            <w:pPr>
              <w:pStyle w:val="TableParagraph"/>
              <w:spacing w:before="12"/>
              <w:ind w:left="120"/>
              <w:jc w:val="left"/>
              <w:rPr>
                <w:sz w:val="20"/>
              </w:rPr>
            </w:pPr>
            <w:r>
              <w:rPr>
                <w:sz w:val="20"/>
              </w:rPr>
              <w:t>Net income per share – basic</w:t>
            </w:r>
          </w:p>
        </w:tc>
        <w:tc>
          <w:tcPr>
            <w:tcW w:w="1507" w:type="dxa"/>
          </w:tcPr>
          <w:p>
            <w:pPr>
              <w:pStyle w:val="TableParagraph"/>
              <w:spacing w:before="12"/>
              <w:ind w:right="210"/>
              <w:rPr>
                <w:b/>
                <w:sz w:val="20"/>
              </w:rPr>
            </w:pPr>
            <w:r>
              <w:rPr>
                <w:b/>
                <w:color w:val="000080"/>
                <w:sz w:val="20"/>
              </w:rPr>
              <w:t>$1.30</w:t>
            </w:r>
          </w:p>
        </w:tc>
        <w:tc>
          <w:tcPr>
            <w:tcW w:w="1432" w:type="dxa"/>
          </w:tcPr>
          <w:p>
            <w:pPr>
              <w:pStyle w:val="TableParagraph"/>
              <w:spacing w:before="12"/>
              <w:ind w:right="219"/>
              <w:rPr>
                <w:sz w:val="20"/>
              </w:rPr>
            </w:pPr>
            <w:r>
              <w:rPr>
                <w:sz w:val="20"/>
              </w:rPr>
              <w:t>$.97</w:t>
            </w:r>
          </w:p>
        </w:tc>
        <w:tc>
          <w:tcPr>
            <w:tcW w:w="1314" w:type="dxa"/>
          </w:tcPr>
          <w:p>
            <w:pPr>
              <w:pStyle w:val="TableParagraph"/>
              <w:spacing w:before="12"/>
              <w:ind w:right="90"/>
              <w:rPr>
                <w:sz w:val="20"/>
              </w:rPr>
            </w:pPr>
            <w:r>
              <w:rPr>
                <w:sz w:val="20"/>
              </w:rPr>
              <w:t>34.0%</w:t>
            </w:r>
          </w:p>
        </w:tc>
      </w:tr>
      <w:tr>
        <w:trPr>
          <w:trHeight w:val="259" w:hRule="exact"/>
        </w:trPr>
        <w:tc>
          <w:tcPr>
            <w:tcW w:w="5016" w:type="dxa"/>
          </w:tcPr>
          <w:p>
            <w:pPr>
              <w:pStyle w:val="TableParagraph"/>
              <w:spacing w:before="12"/>
              <w:ind w:left="120"/>
              <w:jc w:val="left"/>
              <w:rPr>
                <w:sz w:val="20"/>
              </w:rPr>
            </w:pPr>
            <w:r>
              <w:rPr>
                <w:sz w:val="20"/>
              </w:rPr>
              <w:t>Net income per share – diluted</w:t>
            </w:r>
          </w:p>
        </w:tc>
        <w:tc>
          <w:tcPr>
            <w:tcW w:w="1507" w:type="dxa"/>
          </w:tcPr>
          <w:p>
            <w:pPr>
              <w:pStyle w:val="TableParagraph"/>
              <w:spacing w:before="12"/>
              <w:ind w:right="210"/>
              <w:rPr>
                <w:b/>
                <w:sz w:val="20"/>
              </w:rPr>
            </w:pPr>
            <w:r>
              <w:rPr>
                <w:b/>
                <w:color w:val="000080"/>
                <w:sz w:val="20"/>
              </w:rPr>
              <w:t>$1.23</w:t>
            </w:r>
          </w:p>
        </w:tc>
        <w:tc>
          <w:tcPr>
            <w:tcW w:w="1432" w:type="dxa"/>
          </w:tcPr>
          <w:p>
            <w:pPr>
              <w:pStyle w:val="TableParagraph"/>
              <w:spacing w:before="12"/>
              <w:ind w:right="219"/>
              <w:rPr>
                <w:sz w:val="20"/>
              </w:rPr>
            </w:pPr>
            <w:r>
              <w:rPr>
                <w:sz w:val="20"/>
              </w:rPr>
              <w:t>$.93</w:t>
            </w:r>
          </w:p>
        </w:tc>
        <w:tc>
          <w:tcPr>
            <w:tcW w:w="1314" w:type="dxa"/>
          </w:tcPr>
          <w:p>
            <w:pPr>
              <w:pStyle w:val="TableParagraph"/>
              <w:spacing w:before="12"/>
              <w:ind w:right="90"/>
              <w:rPr>
                <w:sz w:val="20"/>
              </w:rPr>
            </w:pPr>
            <w:r>
              <w:rPr>
                <w:sz w:val="20"/>
              </w:rPr>
              <w:t>32.3%</w:t>
            </w:r>
          </w:p>
        </w:tc>
      </w:tr>
      <w:tr>
        <w:trPr>
          <w:trHeight w:val="259" w:hRule="exact"/>
        </w:trPr>
        <w:tc>
          <w:tcPr>
            <w:tcW w:w="5016" w:type="dxa"/>
          </w:tcPr>
          <w:p>
            <w:pPr>
              <w:pStyle w:val="TableParagraph"/>
              <w:spacing w:before="12"/>
              <w:ind w:left="120"/>
              <w:jc w:val="left"/>
              <w:rPr>
                <w:sz w:val="20"/>
              </w:rPr>
            </w:pPr>
            <w:r>
              <w:rPr>
                <w:sz w:val="20"/>
              </w:rPr>
              <w:t>Stockholders’ equity</w:t>
            </w:r>
          </w:p>
        </w:tc>
        <w:tc>
          <w:tcPr>
            <w:tcW w:w="1507" w:type="dxa"/>
          </w:tcPr>
          <w:p>
            <w:pPr>
              <w:pStyle w:val="TableParagraph"/>
              <w:spacing w:before="12"/>
              <w:ind w:right="213"/>
              <w:rPr>
                <w:b/>
                <w:sz w:val="20"/>
              </w:rPr>
            </w:pPr>
            <w:r>
              <w:rPr>
                <w:b/>
                <w:color w:val="000080"/>
                <w:sz w:val="20"/>
              </w:rPr>
              <w:t>$2,397,918</w:t>
            </w:r>
          </w:p>
        </w:tc>
        <w:tc>
          <w:tcPr>
            <w:tcW w:w="1432" w:type="dxa"/>
          </w:tcPr>
          <w:p>
            <w:pPr>
              <w:pStyle w:val="TableParagraph"/>
              <w:spacing w:before="12"/>
              <w:ind w:right="219"/>
              <w:rPr>
                <w:sz w:val="20"/>
              </w:rPr>
            </w:pPr>
            <w:r>
              <w:rPr>
                <w:sz w:val="20"/>
              </w:rPr>
              <w:t>$2,009,018</w:t>
            </w:r>
          </w:p>
        </w:tc>
        <w:tc>
          <w:tcPr>
            <w:tcW w:w="1314" w:type="dxa"/>
          </w:tcPr>
          <w:p>
            <w:pPr>
              <w:pStyle w:val="TableParagraph"/>
              <w:spacing w:before="12"/>
              <w:ind w:right="90"/>
              <w:rPr>
                <w:sz w:val="20"/>
              </w:rPr>
            </w:pPr>
            <w:r>
              <w:rPr>
                <w:sz w:val="20"/>
              </w:rPr>
              <w:t>19.4%</w:t>
            </w:r>
          </w:p>
        </w:tc>
      </w:tr>
      <w:tr>
        <w:trPr>
          <w:trHeight w:val="259" w:hRule="exact"/>
        </w:trPr>
        <w:tc>
          <w:tcPr>
            <w:tcW w:w="5016" w:type="dxa"/>
          </w:tcPr>
          <w:p>
            <w:pPr>
              <w:pStyle w:val="TableParagraph"/>
              <w:spacing w:before="12"/>
              <w:ind w:left="120"/>
              <w:jc w:val="left"/>
              <w:rPr>
                <w:sz w:val="20"/>
              </w:rPr>
            </w:pPr>
            <w:r>
              <w:rPr>
                <w:sz w:val="20"/>
              </w:rPr>
              <w:t>Return on average stockholders’ equity</w:t>
            </w:r>
          </w:p>
        </w:tc>
        <w:tc>
          <w:tcPr>
            <w:tcW w:w="1507" w:type="dxa"/>
          </w:tcPr>
          <w:p>
            <w:pPr>
              <w:pStyle w:val="TableParagraph"/>
              <w:spacing w:before="12"/>
              <w:ind w:right="209"/>
              <w:rPr>
                <w:b/>
                <w:sz w:val="20"/>
              </w:rPr>
            </w:pPr>
            <w:r>
              <w:rPr>
                <w:b/>
                <w:color w:val="000080"/>
                <w:w w:val="95"/>
                <w:sz w:val="20"/>
              </w:rPr>
              <w:t>19.7%</w:t>
            </w:r>
          </w:p>
        </w:tc>
        <w:tc>
          <w:tcPr>
            <w:tcW w:w="1432" w:type="dxa"/>
          </w:tcPr>
          <w:p>
            <w:pPr>
              <w:pStyle w:val="TableParagraph"/>
              <w:spacing w:before="12"/>
              <w:ind w:right="217"/>
              <w:rPr>
                <w:sz w:val="20"/>
              </w:rPr>
            </w:pPr>
            <w:r>
              <w:rPr>
                <w:sz w:val="20"/>
              </w:rPr>
              <w:t>17.4%</w:t>
            </w:r>
          </w:p>
        </w:tc>
        <w:tc>
          <w:tcPr>
            <w:tcW w:w="1314" w:type="dxa"/>
          </w:tcPr>
          <w:p>
            <w:pPr>
              <w:pStyle w:val="TableParagraph"/>
              <w:spacing w:before="12"/>
              <w:ind w:right="92"/>
              <w:rPr>
                <w:sz w:val="20"/>
              </w:rPr>
            </w:pPr>
            <w:r>
              <w:rPr>
                <w:sz w:val="20"/>
              </w:rPr>
              <w:t>2.3 pts.</w:t>
            </w:r>
          </w:p>
        </w:tc>
      </w:tr>
      <w:tr>
        <w:trPr>
          <w:trHeight w:val="259" w:hRule="exact"/>
        </w:trPr>
        <w:tc>
          <w:tcPr>
            <w:tcW w:w="5016" w:type="dxa"/>
          </w:tcPr>
          <w:p>
            <w:pPr>
              <w:pStyle w:val="TableParagraph"/>
              <w:spacing w:before="12"/>
              <w:ind w:left="120"/>
              <w:jc w:val="left"/>
              <w:rPr>
                <w:sz w:val="20"/>
              </w:rPr>
            </w:pPr>
            <w:r>
              <w:rPr>
                <w:sz w:val="20"/>
              </w:rPr>
              <w:t>Stockholders’ equity per common share outstanding</w:t>
            </w:r>
          </w:p>
        </w:tc>
        <w:tc>
          <w:tcPr>
            <w:tcW w:w="1507" w:type="dxa"/>
          </w:tcPr>
          <w:p>
            <w:pPr>
              <w:pStyle w:val="TableParagraph"/>
              <w:spacing w:before="12"/>
              <w:ind w:right="210"/>
              <w:rPr>
                <w:b/>
                <w:sz w:val="20"/>
              </w:rPr>
            </w:pPr>
            <w:r>
              <w:rPr>
                <w:b/>
                <w:color w:val="000080"/>
                <w:sz w:val="20"/>
              </w:rPr>
              <w:t>$7.14</w:t>
            </w:r>
          </w:p>
        </w:tc>
        <w:tc>
          <w:tcPr>
            <w:tcW w:w="1432" w:type="dxa"/>
          </w:tcPr>
          <w:p>
            <w:pPr>
              <w:pStyle w:val="TableParagraph"/>
              <w:spacing w:before="12"/>
              <w:ind w:right="219"/>
              <w:rPr>
                <w:sz w:val="20"/>
              </w:rPr>
            </w:pPr>
            <w:r>
              <w:rPr>
                <w:sz w:val="20"/>
              </w:rPr>
              <w:t>$6.05</w:t>
            </w:r>
          </w:p>
        </w:tc>
        <w:tc>
          <w:tcPr>
            <w:tcW w:w="1314" w:type="dxa"/>
          </w:tcPr>
          <w:p>
            <w:pPr>
              <w:pStyle w:val="TableParagraph"/>
              <w:spacing w:before="12"/>
              <w:ind w:right="90"/>
              <w:rPr>
                <w:sz w:val="20"/>
              </w:rPr>
            </w:pPr>
            <w:r>
              <w:rPr>
                <w:sz w:val="20"/>
              </w:rPr>
              <w:t>18.0%</w:t>
            </w:r>
          </w:p>
        </w:tc>
      </w:tr>
      <w:tr>
        <w:trPr>
          <w:trHeight w:val="259" w:hRule="exact"/>
        </w:trPr>
        <w:tc>
          <w:tcPr>
            <w:tcW w:w="5016" w:type="dxa"/>
          </w:tcPr>
          <w:p>
            <w:pPr>
              <w:pStyle w:val="TableParagraph"/>
              <w:spacing w:before="12"/>
              <w:ind w:left="120"/>
              <w:jc w:val="left"/>
              <w:rPr>
                <w:sz w:val="20"/>
              </w:rPr>
            </w:pPr>
            <w:r>
              <w:rPr>
                <w:sz w:val="20"/>
              </w:rPr>
              <w:t>Revenue passengers carried</w:t>
            </w:r>
          </w:p>
        </w:tc>
        <w:tc>
          <w:tcPr>
            <w:tcW w:w="1507" w:type="dxa"/>
          </w:tcPr>
          <w:p>
            <w:pPr>
              <w:pStyle w:val="TableParagraph"/>
              <w:spacing w:before="12"/>
              <w:ind w:right="231"/>
              <w:rPr>
                <w:b/>
                <w:sz w:val="20"/>
              </w:rPr>
            </w:pPr>
            <w:r>
              <w:rPr>
                <w:b/>
                <w:color w:val="000080"/>
                <w:sz w:val="20"/>
              </w:rPr>
              <w:t>52,586,400</w:t>
            </w:r>
          </w:p>
        </w:tc>
        <w:tc>
          <w:tcPr>
            <w:tcW w:w="1432" w:type="dxa"/>
          </w:tcPr>
          <w:p>
            <w:pPr>
              <w:pStyle w:val="TableParagraph"/>
              <w:spacing w:before="12"/>
              <w:ind w:right="219"/>
              <w:rPr>
                <w:sz w:val="20"/>
              </w:rPr>
            </w:pPr>
            <w:r>
              <w:rPr>
                <w:sz w:val="20"/>
              </w:rPr>
              <w:t>50,399,960</w:t>
            </w:r>
          </w:p>
        </w:tc>
        <w:tc>
          <w:tcPr>
            <w:tcW w:w="1314" w:type="dxa"/>
          </w:tcPr>
          <w:p>
            <w:pPr>
              <w:pStyle w:val="TableParagraph"/>
              <w:spacing w:before="12"/>
              <w:ind w:right="90"/>
              <w:rPr>
                <w:sz w:val="20"/>
              </w:rPr>
            </w:pPr>
            <w:r>
              <w:rPr>
                <w:sz w:val="20"/>
              </w:rPr>
              <w:t>4.3%</w:t>
            </w:r>
          </w:p>
        </w:tc>
      </w:tr>
      <w:tr>
        <w:trPr>
          <w:trHeight w:val="259" w:hRule="exact"/>
        </w:trPr>
        <w:tc>
          <w:tcPr>
            <w:tcW w:w="5016" w:type="dxa"/>
          </w:tcPr>
          <w:p>
            <w:pPr>
              <w:pStyle w:val="TableParagraph"/>
              <w:spacing w:before="12"/>
              <w:ind w:left="120"/>
              <w:jc w:val="left"/>
              <w:rPr>
                <w:sz w:val="20"/>
              </w:rPr>
            </w:pPr>
            <w:r>
              <w:rPr>
                <w:sz w:val="20"/>
              </w:rPr>
              <w:t>Revenue passenger miles (RPMs) (000s)</w:t>
            </w:r>
          </w:p>
        </w:tc>
        <w:tc>
          <w:tcPr>
            <w:tcW w:w="1507" w:type="dxa"/>
          </w:tcPr>
          <w:p>
            <w:pPr>
              <w:pStyle w:val="TableParagraph"/>
              <w:spacing w:before="12"/>
              <w:ind w:right="231"/>
              <w:rPr>
                <w:b/>
                <w:sz w:val="20"/>
              </w:rPr>
            </w:pPr>
            <w:r>
              <w:rPr>
                <w:b/>
                <w:color w:val="000080"/>
                <w:sz w:val="20"/>
              </w:rPr>
              <w:t>31,419,110</w:t>
            </w:r>
          </w:p>
        </w:tc>
        <w:tc>
          <w:tcPr>
            <w:tcW w:w="1432" w:type="dxa"/>
          </w:tcPr>
          <w:p>
            <w:pPr>
              <w:pStyle w:val="TableParagraph"/>
              <w:spacing w:before="12"/>
              <w:ind w:right="219"/>
              <w:rPr>
                <w:sz w:val="20"/>
              </w:rPr>
            </w:pPr>
            <w:r>
              <w:rPr>
                <w:sz w:val="20"/>
              </w:rPr>
              <w:t>28,355,169</w:t>
            </w:r>
          </w:p>
        </w:tc>
        <w:tc>
          <w:tcPr>
            <w:tcW w:w="1314" w:type="dxa"/>
          </w:tcPr>
          <w:p>
            <w:pPr>
              <w:pStyle w:val="TableParagraph"/>
              <w:spacing w:before="12"/>
              <w:ind w:right="90"/>
              <w:rPr>
                <w:sz w:val="20"/>
              </w:rPr>
            </w:pPr>
            <w:r>
              <w:rPr>
                <w:sz w:val="20"/>
              </w:rPr>
              <w:t>10.8%</w:t>
            </w:r>
          </w:p>
        </w:tc>
      </w:tr>
      <w:tr>
        <w:trPr>
          <w:trHeight w:val="259" w:hRule="exact"/>
        </w:trPr>
        <w:tc>
          <w:tcPr>
            <w:tcW w:w="5016" w:type="dxa"/>
          </w:tcPr>
          <w:p>
            <w:pPr>
              <w:pStyle w:val="TableParagraph"/>
              <w:spacing w:before="12"/>
              <w:ind w:left="120"/>
              <w:jc w:val="left"/>
              <w:rPr>
                <w:sz w:val="20"/>
              </w:rPr>
            </w:pPr>
            <w:r>
              <w:rPr>
                <w:sz w:val="20"/>
              </w:rPr>
              <w:t>Available seat miles (ASMs) (000s)</w:t>
            </w:r>
          </w:p>
        </w:tc>
        <w:tc>
          <w:tcPr>
            <w:tcW w:w="1507" w:type="dxa"/>
          </w:tcPr>
          <w:p>
            <w:pPr>
              <w:pStyle w:val="TableParagraph"/>
              <w:spacing w:before="12"/>
              <w:ind w:right="231"/>
              <w:rPr>
                <w:b/>
                <w:sz w:val="20"/>
              </w:rPr>
            </w:pPr>
            <w:r>
              <w:rPr>
                <w:b/>
                <w:color w:val="000080"/>
                <w:sz w:val="20"/>
              </w:rPr>
              <w:t>47,543,515</w:t>
            </w:r>
          </w:p>
        </w:tc>
        <w:tc>
          <w:tcPr>
            <w:tcW w:w="1432" w:type="dxa"/>
          </w:tcPr>
          <w:p>
            <w:pPr>
              <w:pStyle w:val="TableParagraph"/>
              <w:spacing w:before="12"/>
              <w:ind w:right="219"/>
              <w:rPr>
                <w:sz w:val="20"/>
              </w:rPr>
            </w:pPr>
            <w:r>
              <w:rPr>
                <w:sz w:val="20"/>
              </w:rPr>
              <w:t>44,487,496</w:t>
            </w:r>
          </w:p>
        </w:tc>
        <w:tc>
          <w:tcPr>
            <w:tcW w:w="1314" w:type="dxa"/>
          </w:tcPr>
          <w:p>
            <w:pPr>
              <w:pStyle w:val="TableParagraph"/>
              <w:spacing w:before="12"/>
              <w:ind w:right="90"/>
              <w:rPr>
                <w:sz w:val="20"/>
              </w:rPr>
            </w:pPr>
            <w:r>
              <w:rPr>
                <w:sz w:val="20"/>
              </w:rPr>
              <w:t>6.9%</w:t>
            </w:r>
          </w:p>
        </w:tc>
      </w:tr>
      <w:tr>
        <w:trPr>
          <w:trHeight w:val="259" w:hRule="exact"/>
        </w:trPr>
        <w:tc>
          <w:tcPr>
            <w:tcW w:w="5016" w:type="dxa"/>
          </w:tcPr>
          <w:p>
            <w:pPr>
              <w:pStyle w:val="TableParagraph"/>
              <w:spacing w:before="12"/>
              <w:ind w:left="120"/>
              <w:jc w:val="left"/>
              <w:rPr>
                <w:sz w:val="20"/>
              </w:rPr>
            </w:pPr>
            <w:r>
              <w:rPr>
                <w:sz w:val="20"/>
              </w:rPr>
              <w:t>Passenger  load factor</w:t>
            </w:r>
          </w:p>
        </w:tc>
        <w:tc>
          <w:tcPr>
            <w:tcW w:w="1507" w:type="dxa"/>
          </w:tcPr>
          <w:p>
            <w:pPr>
              <w:pStyle w:val="TableParagraph"/>
              <w:spacing w:before="12"/>
              <w:ind w:right="228"/>
              <w:rPr>
                <w:b/>
                <w:sz w:val="20"/>
              </w:rPr>
            </w:pPr>
            <w:r>
              <w:rPr>
                <w:b/>
                <w:color w:val="000080"/>
                <w:w w:val="95"/>
                <w:sz w:val="20"/>
              </w:rPr>
              <w:t>66.1%</w:t>
            </w:r>
          </w:p>
        </w:tc>
        <w:tc>
          <w:tcPr>
            <w:tcW w:w="1432" w:type="dxa"/>
          </w:tcPr>
          <w:p>
            <w:pPr>
              <w:pStyle w:val="TableParagraph"/>
              <w:spacing w:before="12"/>
              <w:ind w:right="217"/>
              <w:rPr>
                <w:sz w:val="20"/>
              </w:rPr>
            </w:pPr>
            <w:r>
              <w:rPr>
                <w:sz w:val="20"/>
              </w:rPr>
              <w:t>63.7%</w:t>
            </w:r>
          </w:p>
        </w:tc>
        <w:tc>
          <w:tcPr>
            <w:tcW w:w="1314" w:type="dxa"/>
          </w:tcPr>
          <w:p>
            <w:pPr>
              <w:pStyle w:val="TableParagraph"/>
              <w:spacing w:before="12"/>
              <w:ind w:right="92"/>
              <w:rPr>
                <w:sz w:val="20"/>
              </w:rPr>
            </w:pPr>
            <w:r>
              <w:rPr>
                <w:sz w:val="20"/>
              </w:rPr>
              <w:t>2.4 pts.</w:t>
            </w:r>
          </w:p>
        </w:tc>
      </w:tr>
      <w:tr>
        <w:trPr>
          <w:trHeight w:val="259" w:hRule="exact"/>
        </w:trPr>
        <w:tc>
          <w:tcPr>
            <w:tcW w:w="5016" w:type="dxa"/>
          </w:tcPr>
          <w:p>
            <w:pPr>
              <w:pStyle w:val="TableParagraph"/>
              <w:spacing w:before="12"/>
              <w:ind w:left="120"/>
              <w:jc w:val="left"/>
              <w:rPr>
                <w:sz w:val="20"/>
              </w:rPr>
            </w:pPr>
            <w:r>
              <w:rPr>
                <w:sz w:val="20"/>
              </w:rPr>
              <w:t>Passenger  revenue yield per RPM</w:t>
            </w:r>
          </w:p>
        </w:tc>
        <w:tc>
          <w:tcPr>
            <w:tcW w:w="1507" w:type="dxa"/>
          </w:tcPr>
          <w:p>
            <w:pPr>
              <w:pStyle w:val="TableParagraph"/>
              <w:spacing w:before="12"/>
              <w:ind w:right="229"/>
              <w:rPr>
                <w:b/>
                <w:sz w:val="20"/>
              </w:rPr>
            </w:pPr>
            <w:r>
              <w:rPr>
                <w:b/>
                <w:color w:val="000080"/>
                <w:sz w:val="20"/>
              </w:rPr>
              <w:t>12.62</w:t>
            </w:r>
          </w:p>
        </w:tc>
        <w:tc>
          <w:tcPr>
            <w:tcW w:w="1432" w:type="dxa"/>
          </w:tcPr>
          <w:p>
            <w:pPr>
              <w:pStyle w:val="TableParagraph"/>
              <w:spacing w:before="12"/>
              <w:ind w:right="219"/>
              <w:rPr>
                <w:sz w:val="20"/>
              </w:rPr>
            </w:pPr>
            <w:r>
              <w:rPr>
                <w:sz w:val="20"/>
              </w:rPr>
              <w:t>12.84¢</w:t>
            </w:r>
          </w:p>
        </w:tc>
        <w:tc>
          <w:tcPr>
            <w:tcW w:w="1314" w:type="dxa"/>
          </w:tcPr>
          <w:p>
            <w:pPr>
              <w:pStyle w:val="TableParagraph"/>
              <w:spacing w:before="12"/>
              <w:ind w:right="88"/>
              <w:rPr>
                <w:sz w:val="20"/>
              </w:rPr>
            </w:pPr>
            <w:r>
              <w:rPr>
                <w:sz w:val="20"/>
              </w:rPr>
              <w:t>(1.7)%</w:t>
            </w:r>
          </w:p>
        </w:tc>
      </w:tr>
      <w:tr>
        <w:trPr>
          <w:trHeight w:val="259" w:hRule="exact"/>
        </w:trPr>
        <w:tc>
          <w:tcPr>
            <w:tcW w:w="5016" w:type="dxa"/>
          </w:tcPr>
          <w:p>
            <w:pPr>
              <w:pStyle w:val="TableParagraph"/>
              <w:spacing w:before="12"/>
              <w:ind w:left="120"/>
              <w:jc w:val="left"/>
              <w:rPr>
                <w:sz w:val="20"/>
              </w:rPr>
            </w:pPr>
            <w:r>
              <w:rPr>
                <w:sz w:val="20"/>
              </w:rPr>
              <w:t>Operating revenue yield per ASM</w:t>
            </w:r>
          </w:p>
        </w:tc>
        <w:tc>
          <w:tcPr>
            <w:tcW w:w="1507" w:type="dxa"/>
          </w:tcPr>
          <w:p>
            <w:pPr>
              <w:pStyle w:val="TableParagraph"/>
              <w:spacing w:before="12"/>
              <w:ind w:right="229"/>
              <w:rPr>
                <w:b/>
                <w:sz w:val="20"/>
              </w:rPr>
            </w:pPr>
            <w:r>
              <w:rPr>
                <w:b/>
                <w:color w:val="000080"/>
                <w:sz w:val="20"/>
              </w:rPr>
              <w:t>8.76¢</w:t>
            </w:r>
          </w:p>
        </w:tc>
        <w:tc>
          <w:tcPr>
            <w:tcW w:w="1432" w:type="dxa"/>
          </w:tcPr>
          <w:p>
            <w:pPr>
              <w:pStyle w:val="TableParagraph"/>
              <w:spacing w:before="12"/>
              <w:ind w:right="219"/>
              <w:rPr>
                <w:sz w:val="20"/>
              </w:rPr>
            </w:pPr>
            <w:r>
              <w:rPr>
                <w:sz w:val="20"/>
              </w:rPr>
              <w:t>8.58¢</w:t>
            </w:r>
          </w:p>
        </w:tc>
        <w:tc>
          <w:tcPr>
            <w:tcW w:w="1314" w:type="dxa"/>
          </w:tcPr>
          <w:p>
            <w:pPr>
              <w:pStyle w:val="TableParagraph"/>
              <w:spacing w:before="12"/>
              <w:ind w:right="90"/>
              <w:rPr>
                <w:sz w:val="20"/>
              </w:rPr>
            </w:pPr>
            <w:r>
              <w:rPr>
                <w:sz w:val="20"/>
              </w:rPr>
              <w:t>2.1%</w:t>
            </w:r>
          </w:p>
        </w:tc>
      </w:tr>
      <w:tr>
        <w:trPr>
          <w:trHeight w:val="259" w:hRule="exact"/>
        </w:trPr>
        <w:tc>
          <w:tcPr>
            <w:tcW w:w="5016" w:type="dxa"/>
          </w:tcPr>
          <w:p>
            <w:pPr>
              <w:pStyle w:val="TableParagraph"/>
              <w:spacing w:before="12"/>
              <w:ind w:left="120"/>
              <w:jc w:val="left"/>
              <w:rPr>
                <w:sz w:val="20"/>
              </w:rPr>
            </w:pPr>
            <w:r>
              <w:rPr>
                <w:sz w:val="20"/>
              </w:rPr>
              <w:t>Operating expenses per ASM</w:t>
            </w:r>
          </w:p>
        </w:tc>
        <w:tc>
          <w:tcPr>
            <w:tcW w:w="1507" w:type="dxa"/>
          </w:tcPr>
          <w:p>
            <w:pPr>
              <w:pStyle w:val="TableParagraph"/>
              <w:spacing w:before="12"/>
              <w:ind w:right="229"/>
              <w:rPr>
                <w:b/>
                <w:sz w:val="20"/>
              </w:rPr>
            </w:pPr>
            <w:r>
              <w:rPr>
                <w:b/>
                <w:color w:val="000080"/>
                <w:sz w:val="20"/>
              </w:rPr>
              <w:t>7.32¢</w:t>
            </w:r>
          </w:p>
        </w:tc>
        <w:tc>
          <w:tcPr>
            <w:tcW w:w="1432" w:type="dxa"/>
          </w:tcPr>
          <w:p>
            <w:pPr>
              <w:pStyle w:val="TableParagraph"/>
              <w:spacing w:before="12"/>
              <w:ind w:right="219"/>
              <w:rPr>
                <w:sz w:val="20"/>
              </w:rPr>
            </w:pPr>
            <w:r>
              <w:rPr>
                <w:sz w:val="20"/>
              </w:rPr>
              <w:t>7.40¢</w:t>
            </w:r>
          </w:p>
        </w:tc>
        <w:tc>
          <w:tcPr>
            <w:tcW w:w="1314" w:type="dxa"/>
          </w:tcPr>
          <w:p>
            <w:pPr>
              <w:pStyle w:val="TableParagraph"/>
              <w:spacing w:before="12"/>
              <w:ind w:right="88"/>
              <w:rPr>
                <w:sz w:val="20"/>
              </w:rPr>
            </w:pPr>
            <w:r>
              <w:rPr>
                <w:sz w:val="20"/>
              </w:rPr>
              <w:t>(1.1)%</w:t>
            </w:r>
          </w:p>
        </w:tc>
      </w:tr>
      <w:tr>
        <w:trPr>
          <w:trHeight w:val="262" w:hRule="exact"/>
        </w:trPr>
        <w:tc>
          <w:tcPr>
            <w:tcW w:w="5016" w:type="dxa"/>
            <w:tcBorders>
              <w:bottom w:val="single" w:sz="12" w:space="0" w:color="808080"/>
            </w:tcBorders>
          </w:tcPr>
          <w:p>
            <w:pPr>
              <w:pStyle w:val="TableParagraph"/>
              <w:spacing w:before="12"/>
              <w:ind w:left="120"/>
              <w:jc w:val="left"/>
              <w:rPr>
                <w:sz w:val="20"/>
              </w:rPr>
            </w:pPr>
            <w:r>
              <w:rPr>
                <w:sz w:val="20"/>
              </w:rPr>
              <w:t>Number of Employees at yearend</w:t>
            </w:r>
          </w:p>
        </w:tc>
        <w:tc>
          <w:tcPr>
            <w:tcW w:w="1507" w:type="dxa"/>
            <w:tcBorders>
              <w:bottom w:val="single" w:sz="12" w:space="0" w:color="808080"/>
            </w:tcBorders>
          </w:tcPr>
          <w:p>
            <w:pPr>
              <w:pStyle w:val="TableParagraph"/>
              <w:spacing w:before="12"/>
              <w:ind w:right="229"/>
              <w:rPr>
                <w:b/>
                <w:sz w:val="20"/>
              </w:rPr>
            </w:pPr>
            <w:r>
              <w:rPr>
                <w:b/>
                <w:color w:val="000080"/>
                <w:sz w:val="20"/>
              </w:rPr>
              <w:t>25,844</w:t>
            </w:r>
          </w:p>
        </w:tc>
        <w:tc>
          <w:tcPr>
            <w:tcW w:w="1432" w:type="dxa"/>
            <w:tcBorders>
              <w:bottom w:val="single" w:sz="12" w:space="0" w:color="808080"/>
            </w:tcBorders>
          </w:tcPr>
          <w:p>
            <w:pPr>
              <w:pStyle w:val="TableParagraph"/>
              <w:spacing w:before="12"/>
              <w:ind w:right="219"/>
              <w:rPr>
                <w:sz w:val="20"/>
              </w:rPr>
            </w:pPr>
            <w:r>
              <w:rPr>
                <w:sz w:val="20"/>
              </w:rPr>
              <w:t>23,974</w:t>
            </w:r>
          </w:p>
        </w:tc>
        <w:tc>
          <w:tcPr>
            <w:tcW w:w="1314" w:type="dxa"/>
            <w:tcBorders>
              <w:bottom w:val="single" w:sz="12" w:space="0" w:color="808080"/>
            </w:tcBorders>
          </w:tcPr>
          <w:p>
            <w:pPr>
              <w:pStyle w:val="TableParagraph"/>
              <w:spacing w:before="12"/>
              <w:ind w:right="90"/>
              <w:rPr>
                <w:sz w:val="20"/>
              </w:rPr>
            </w:pPr>
            <w:r>
              <w:rPr>
                <w:sz w:val="20"/>
              </w:rPr>
              <w:t>7.8%</w:t>
            </w:r>
          </w:p>
        </w:tc>
      </w:tr>
    </w:tbl>
    <w:p>
      <w:pPr>
        <w:spacing w:after="0"/>
        <w:rPr>
          <w:sz w:val="20"/>
        </w:rPr>
        <w:sectPr>
          <w:headerReference w:type="default" r:id="rId5"/>
          <w:footerReference w:type="default" r:id="rId6"/>
          <w:type w:val="continuous"/>
          <w:pgSz w:w="12240" w:h="15840"/>
          <w:pgMar w:header="1448" w:footer="344" w:top="1680" w:bottom="540" w:left="1320" w:right="1340"/>
          <w:pgNumType w:start="1"/>
        </w:sectPr>
      </w:pPr>
    </w:p>
    <w:p>
      <w:pPr>
        <w:pStyle w:val="BodyText"/>
        <w:rPr>
          <w:b/>
          <w:sz w:val="20"/>
        </w:rPr>
      </w:pPr>
    </w:p>
    <w:p>
      <w:pPr>
        <w:pStyle w:val="BodyText"/>
        <w:spacing w:before="7" w:after="1"/>
        <w:rPr>
          <w:b/>
          <w:sz w:val="16"/>
        </w:rPr>
      </w:pPr>
    </w:p>
    <w:p>
      <w:pPr>
        <w:pStyle w:val="BodyText"/>
        <w:ind w:left="117"/>
        <w:rPr>
          <w:sz w:val="20"/>
        </w:rPr>
      </w:pPr>
      <w:r>
        <w:rPr>
          <w:sz w:val="20"/>
        </w:rPr>
        <w:pict>
          <v:group style="width:324.05pt;height:157.950pt;mso-position-horizontal-relative:char;mso-position-vertical-relative:line" coordorigin="0,0" coordsize="6481,3159">
            <v:rect style="position:absolute;left:929;top:1308;width:446;height:1402" filled="true" fillcolor="#ffffbf" stroked="false">
              <v:fill type="solid"/>
            </v:rect>
            <v:rect style="position:absolute;left:929;top:1308;width:446;height:1402" filled="false" stroked="true" strokeweight=".48pt" strokecolor="#000000">
              <v:stroke dashstyle="solid"/>
            </v:rect>
            <v:rect style="position:absolute;left:2066;top:1404;width:451;height:1306" filled="true" fillcolor="#ffffbf" stroked="false">
              <v:fill type="solid"/>
            </v:rect>
            <v:rect style="position:absolute;left:2066;top:1404;width:451;height:1306" filled="false" stroked="true" strokeweight=".48pt" strokecolor="#000000">
              <v:stroke dashstyle="solid"/>
            </v:rect>
            <v:rect style="position:absolute;left:3209;top:1471;width:451;height:1238" filled="true" fillcolor="#ffffbf" stroked="false">
              <v:fill type="solid"/>
            </v:rect>
            <v:rect style="position:absolute;left:3209;top:1471;width:451;height:1238" filled="false" stroked="true" strokeweight=".48pt" strokecolor="#000000">
              <v:stroke dashstyle="solid"/>
            </v:rect>
            <v:rect style="position:absolute;left:4342;top:1020;width:446;height:1690" filled="true" fillcolor="#ffffbf" stroked="false">
              <v:fill type="solid"/>
            </v:rect>
            <v:rect style="position:absolute;left:4342;top:1020;width:446;height:1690" filled="false" stroked="true" strokeweight=".48pt" strokecolor="#000000">
              <v:stroke dashstyle="solid"/>
            </v:rect>
            <v:rect style="position:absolute;left:5484;top:593;width:446;height:2117" filled="true" fillcolor="#ffffbf" stroked="false">
              <v:fill type="solid"/>
            </v:rect>
            <v:rect style="position:absolute;left:5484;top:593;width:446;height:2117" filled="false" stroked="true" strokeweight=".48pt" strokecolor="#000000">
              <v:stroke dashstyle="solid"/>
            </v:rect>
            <v:line style="position:absolute" from="593,271" to="593,2710" stroked="true" strokeweight=".24pt" strokecolor="#000000">
              <v:stroke dashstyle="solid"/>
            </v:line>
            <v:line style="position:absolute" from="555,2710" to="631,2710" stroked="true" strokeweight=".24pt" strokecolor="#000000">
              <v:stroke dashstyle="solid"/>
            </v:line>
            <v:line style="position:absolute" from="555,1899" to="631,1899" stroked="true" strokeweight=".24pt" strokecolor="#000000">
              <v:stroke dashstyle="solid"/>
            </v:line>
            <v:line style="position:absolute" from="555,1083" to="631,1083" stroked="true" strokeweight=".24pt" strokecolor="#000000">
              <v:stroke dashstyle="solid"/>
            </v:line>
            <v:line style="position:absolute" from="555,271" to="631,271" stroked="true" strokeweight=".24pt" strokecolor="#000000">
              <v:stroke dashstyle="solid"/>
            </v:line>
            <v:line style="position:absolute" from="593,2710" to="6291,2710" stroked="true" strokeweight=".24pt" strokecolor="#000000">
              <v:stroke dashstyle="solid"/>
            </v:line>
            <v:line style="position:absolute" from="593,2743" to="593,2681" stroked="true" strokeweight=".24pt" strokecolor="#000000">
              <v:stroke dashstyle="solid"/>
            </v:line>
            <v:line style="position:absolute" from="1735,2743" to="1735,2681" stroked="true" strokeweight=".24pt" strokecolor="#000000">
              <v:stroke dashstyle="solid"/>
            </v:line>
            <v:line style="position:absolute" from="2878,2743" to="2878,2681" stroked="true" strokeweight=".24pt" strokecolor="#000000">
              <v:stroke dashstyle="solid"/>
            </v:line>
            <v:line style="position:absolute" from="4006,2743" to="4006,2681" stroked="true" strokeweight=".24pt" strokecolor="#000000">
              <v:stroke dashstyle="solid"/>
            </v:line>
            <v:line style="position:absolute" from="5148,2743" to="5148,2681" stroked="true" strokeweight=".24pt" strokecolor="#000000">
              <v:stroke dashstyle="solid"/>
            </v:line>
            <v:line style="position:absolute" from="6290,2743" to="6290,2681" stroked="true" strokeweight=".24pt" strokecolor="#000000">
              <v:stroke dashstyle="solid"/>
            </v:line>
            <v:rect style="position:absolute;left:3;top:3;width:6475;height:3154" filled="false" stroked="true" strokeweight=".24pt" strokecolor="#000000">
              <v:stroke dashstyle="solid"/>
            </v:rect>
            <v:shape style="position:absolute;left:219;top:203;width:278;height:132" type="#_x0000_t202" filled="false" stroked="false">
              <v:textbox inset="0,0,0,0">
                <w:txbxContent>
                  <w:p>
                    <w:pPr>
                      <w:spacing w:before="3"/>
                      <w:ind w:left="0" w:right="0" w:firstLine="0"/>
                      <w:jc w:val="left"/>
                      <w:rPr>
                        <w:b/>
                        <w:sz w:val="11"/>
                      </w:rPr>
                    </w:pPr>
                    <w:r>
                      <w:rPr>
                        <w:b/>
                        <w:color w:val="FF0000"/>
                        <w:w w:val="105"/>
                        <w:sz w:val="11"/>
                      </w:rPr>
                      <w:t>12 %</w:t>
                    </w:r>
                  </w:p>
                </w:txbxContent>
              </v:textbox>
              <w10:wrap type="none"/>
            </v:shape>
            <v:shape style="position:absolute;left:5508;top:385;width:388;height:132" type="#_x0000_t202" filled="false" stroked="false">
              <v:textbox inset="0,0,0,0">
                <w:txbxContent>
                  <w:p>
                    <w:pPr>
                      <w:spacing w:before="3"/>
                      <w:ind w:left="0" w:right="0" w:firstLine="0"/>
                      <w:jc w:val="left"/>
                      <w:rPr>
                        <w:b/>
                        <w:sz w:val="11"/>
                      </w:rPr>
                    </w:pPr>
                    <w:r>
                      <w:rPr>
                        <w:b/>
                        <w:w w:val="105"/>
                        <w:sz w:val="11"/>
                      </w:rPr>
                      <w:t>10.4%</w:t>
                    </w:r>
                  </w:p>
                </w:txbxContent>
              </v:textbox>
              <w10:wrap type="none"/>
            </v:shape>
            <v:shape style="position:absolute;left:4404;top:813;width:311;height:132" type="#_x0000_t202" filled="false" stroked="false">
              <v:textbox inset="0,0,0,0">
                <w:txbxContent>
                  <w:p>
                    <w:pPr>
                      <w:spacing w:before="3"/>
                      <w:ind w:left="0" w:right="0" w:firstLine="0"/>
                      <w:jc w:val="left"/>
                      <w:rPr>
                        <w:b/>
                        <w:sz w:val="11"/>
                      </w:rPr>
                    </w:pPr>
                    <w:r>
                      <w:rPr>
                        <w:b/>
                        <w:w w:val="105"/>
                        <w:sz w:val="11"/>
                      </w:rPr>
                      <w:t>8.3%</w:t>
                    </w:r>
                  </w:p>
                </w:txbxContent>
              </v:textbox>
              <w10:wrap type="none"/>
            </v:shape>
            <v:shape style="position:absolute;left:300;top:1019;width:196;height:132" type="#_x0000_t202" filled="false" stroked="false">
              <v:textbox inset="0,0,0,0">
                <w:txbxContent>
                  <w:p>
                    <w:pPr>
                      <w:spacing w:before="3"/>
                      <w:ind w:left="0" w:right="0" w:firstLine="0"/>
                      <w:jc w:val="left"/>
                      <w:rPr>
                        <w:b/>
                        <w:sz w:val="11"/>
                      </w:rPr>
                    </w:pPr>
                    <w:r>
                      <w:rPr>
                        <w:b/>
                        <w:color w:val="FF0000"/>
                        <w:w w:val="105"/>
                        <w:sz w:val="11"/>
                      </w:rPr>
                      <w:t>8</w:t>
                    </w:r>
                    <w:r>
                      <w:rPr>
                        <w:b/>
                        <w:color w:val="FF0000"/>
                        <w:spacing w:val="-25"/>
                        <w:w w:val="105"/>
                        <w:sz w:val="11"/>
                      </w:rPr>
                      <w:t> </w:t>
                    </w:r>
                    <w:r>
                      <w:rPr>
                        <w:b/>
                        <w:color w:val="FF0000"/>
                        <w:w w:val="105"/>
                        <w:sz w:val="11"/>
                      </w:rPr>
                      <w:t>%</w:t>
                    </w:r>
                  </w:p>
                </w:txbxContent>
              </v:textbox>
              <w10:wrap type="none"/>
            </v:shape>
            <v:shape style="position:absolute;left:991;top:1105;width:311;height:132" type="#_x0000_t202" filled="false" stroked="false">
              <v:textbox inset="0,0,0,0">
                <w:txbxContent>
                  <w:p>
                    <w:pPr>
                      <w:spacing w:before="3"/>
                      <w:ind w:left="0" w:right="0" w:firstLine="0"/>
                      <w:jc w:val="left"/>
                      <w:rPr>
                        <w:b/>
                        <w:sz w:val="11"/>
                      </w:rPr>
                    </w:pPr>
                    <w:r>
                      <w:rPr>
                        <w:b/>
                        <w:w w:val="105"/>
                        <w:sz w:val="11"/>
                      </w:rPr>
                      <w:t>6.9%</w:t>
                    </w:r>
                  </w:p>
                </w:txbxContent>
              </v:textbox>
              <w10:wrap type="none"/>
            </v:shape>
            <v:shape style="position:absolute;left:2134;top:1201;width:311;height:132" type="#_x0000_t202" filled="false" stroked="false">
              <v:textbox inset="0,0,0,0">
                <w:txbxContent>
                  <w:p>
                    <w:pPr>
                      <w:spacing w:before="3"/>
                      <w:ind w:left="0" w:right="0" w:firstLine="0"/>
                      <w:jc w:val="left"/>
                      <w:rPr>
                        <w:b/>
                        <w:sz w:val="11"/>
                      </w:rPr>
                    </w:pPr>
                    <w:r>
                      <w:rPr>
                        <w:b/>
                        <w:w w:val="105"/>
                        <w:sz w:val="11"/>
                      </w:rPr>
                      <w:t>6.4%</w:t>
                    </w:r>
                  </w:p>
                </w:txbxContent>
              </v:textbox>
              <w10:wrap type="none"/>
            </v:shape>
            <v:shape style="position:absolute;left:3276;top:1264;width:311;height:132" type="#_x0000_t202" filled="false" stroked="false">
              <v:textbox inset="0,0,0,0">
                <w:txbxContent>
                  <w:p>
                    <w:pPr>
                      <w:spacing w:before="3"/>
                      <w:ind w:left="0" w:right="0" w:firstLine="0"/>
                      <w:jc w:val="left"/>
                      <w:rPr>
                        <w:b/>
                        <w:sz w:val="11"/>
                      </w:rPr>
                    </w:pPr>
                    <w:r>
                      <w:rPr>
                        <w:b/>
                        <w:w w:val="105"/>
                        <w:sz w:val="11"/>
                      </w:rPr>
                      <w:t>6.1%</w:t>
                    </w:r>
                  </w:p>
                </w:txbxContent>
              </v:textbox>
              <w10:wrap type="none"/>
            </v:shape>
            <v:shape style="position:absolute;left:300;top:1830;width:196;height:132" type="#_x0000_t202" filled="false" stroked="false">
              <v:textbox inset="0,0,0,0">
                <w:txbxContent>
                  <w:p>
                    <w:pPr>
                      <w:spacing w:before="3"/>
                      <w:ind w:left="0" w:right="0" w:firstLine="0"/>
                      <w:jc w:val="left"/>
                      <w:rPr>
                        <w:b/>
                        <w:sz w:val="11"/>
                      </w:rPr>
                    </w:pPr>
                    <w:r>
                      <w:rPr>
                        <w:b/>
                        <w:color w:val="FF0000"/>
                        <w:w w:val="105"/>
                        <w:sz w:val="11"/>
                      </w:rPr>
                      <w:t>4</w:t>
                    </w:r>
                    <w:r>
                      <w:rPr>
                        <w:b/>
                        <w:color w:val="FF0000"/>
                        <w:spacing w:val="-25"/>
                        <w:w w:val="105"/>
                        <w:sz w:val="11"/>
                      </w:rPr>
                      <w:t> </w:t>
                    </w:r>
                    <w:r>
                      <w:rPr>
                        <w:b/>
                        <w:color w:val="FF0000"/>
                        <w:w w:val="105"/>
                        <w:sz w:val="11"/>
                      </w:rPr>
                      <w:t>%</w:t>
                    </w:r>
                  </w:p>
                </w:txbxContent>
              </v:textbox>
              <w10:wrap type="none"/>
            </v:shape>
            <v:shape style="position:absolute;left:300;top:2646;width:196;height:132" type="#_x0000_t202" filled="false" stroked="false">
              <v:textbox inset="0,0,0,0">
                <w:txbxContent>
                  <w:p>
                    <w:pPr>
                      <w:spacing w:before="3"/>
                      <w:ind w:left="0" w:right="0" w:firstLine="0"/>
                      <w:jc w:val="left"/>
                      <w:rPr>
                        <w:b/>
                        <w:sz w:val="11"/>
                      </w:rPr>
                    </w:pPr>
                    <w:r>
                      <w:rPr>
                        <w:b/>
                        <w:color w:val="FF0000"/>
                        <w:w w:val="105"/>
                        <w:sz w:val="11"/>
                      </w:rPr>
                      <w:t>0</w:t>
                    </w:r>
                    <w:r>
                      <w:rPr>
                        <w:b/>
                        <w:color w:val="FF0000"/>
                        <w:spacing w:val="-25"/>
                        <w:w w:val="105"/>
                        <w:sz w:val="11"/>
                      </w:rPr>
                      <w:t> </w:t>
                    </w:r>
                    <w:r>
                      <w:rPr>
                        <w:b/>
                        <w:color w:val="FF0000"/>
                        <w:w w:val="105"/>
                        <w:sz w:val="11"/>
                      </w:rPr>
                      <w:t>%</w:t>
                    </w:r>
                  </w:p>
                </w:txbxContent>
              </v:textbox>
              <w10:wrap type="none"/>
            </v:shape>
            <v:shape style="position:absolute;left:1083;top:2814;width:164;height:132" type="#_x0000_t202" filled="false" stroked="false">
              <v:textbox inset="0,0,0,0">
                <w:txbxContent>
                  <w:p>
                    <w:pPr>
                      <w:spacing w:before="3"/>
                      <w:ind w:left="0" w:right="0" w:firstLine="0"/>
                      <w:jc w:val="left"/>
                      <w:rPr>
                        <w:b/>
                        <w:sz w:val="11"/>
                      </w:rPr>
                    </w:pPr>
                    <w:r>
                      <w:rPr>
                        <w:b/>
                        <w:color w:val="FF0000"/>
                        <w:w w:val="105"/>
                        <w:sz w:val="11"/>
                      </w:rPr>
                      <w:t>94</w:t>
                    </w:r>
                  </w:p>
                </w:txbxContent>
              </v:textbox>
              <w10:wrap type="none"/>
            </v:shape>
            <v:shape style="position:absolute;left:2225;top:2814;width:164;height:132" type="#_x0000_t202" filled="false" stroked="false">
              <v:textbox inset="0,0,0,0">
                <w:txbxContent>
                  <w:p>
                    <w:pPr>
                      <w:spacing w:before="3"/>
                      <w:ind w:left="0" w:right="0" w:firstLine="0"/>
                      <w:jc w:val="left"/>
                      <w:rPr>
                        <w:b/>
                        <w:sz w:val="11"/>
                      </w:rPr>
                    </w:pPr>
                    <w:r>
                      <w:rPr>
                        <w:b/>
                        <w:color w:val="FF0000"/>
                        <w:w w:val="105"/>
                        <w:sz w:val="11"/>
                      </w:rPr>
                      <w:t>95</w:t>
                    </w:r>
                  </w:p>
                </w:txbxContent>
              </v:textbox>
              <w10:wrap type="none"/>
            </v:shape>
            <v:shape style="position:absolute;left:3363;top:2814;width:164;height:132" type="#_x0000_t202" filled="false" stroked="false">
              <v:textbox inset="0,0,0,0">
                <w:txbxContent>
                  <w:p>
                    <w:pPr>
                      <w:spacing w:before="3"/>
                      <w:ind w:left="0" w:right="0" w:firstLine="0"/>
                      <w:jc w:val="left"/>
                      <w:rPr>
                        <w:b/>
                        <w:sz w:val="11"/>
                      </w:rPr>
                    </w:pPr>
                    <w:r>
                      <w:rPr>
                        <w:b/>
                        <w:color w:val="FF0000"/>
                        <w:w w:val="105"/>
                        <w:sz w:val="11"/>
                      </w:rPr>
                      <w:t>96</w:t>
                    </w:r>
                  </w:p>
                </w:txbxContent>
              </v:textbox>
              <w10:wrap type="none"/>
            </v:shape>
            <v:shape style="position:absolute;left:4505;top:2814;width:164;height:132" type="#_x0000_t202" filled="false" stroked="false">
              <v:textbox inset="0,0,0,0">
                <w:txbxContent>
                  <w:p>
                    <w:pPr>
                      <w:spacing w:before="3"/>
                      <w:ind w:left="0" w:right="0" w:firstLine="0"/>
                      <w:jc w:val="left"/>
                      <w:rPr>
                        <w:b/>
                        <w:sz w:val="11"/>
                      </w:rPr>
                    </w:pPr>
                    <w:r>
                      <w:rPr>
                        <w:b/>
                        <w:color w:val="FF0000"/>
                        <w:w w:val="105"/>
                        <w:sz w:val="11"/>
                      </w:rPr>
                      <w:t>97</w:t>
                    </w:r>
                  </w:p>
                </w:txbxContent>
              </v:textbox>
              <w10:wrap type="none"/>
            </v:shape>
            <v:shape style="position:absolute;left:5647;top:2814;width:164;height:132" type="#_x0000_t202" filled="false" stroked="false">
              <v:textbox inset="0,0,0,0">
                <w:txbxContent>
                  <w:p>
                    <w:pPr>
                      <w:spacing w:before="3"/>
                      <w:ind w:left="0" w:right="0" w:firstLine="0"/>
                      <w:jc w:val="left"/>
                      <w:rPr>
                        <w:b/>
                        <w:sz w:val="11"/>
                      </w:rPr>
                    </w:pPr>
                    <w:r>
                      <w:rPr>
                        <w:b/>
                        <w:color w:val="FF0000"/>
                        <w:w w:val="105"/>
                        <w:sz w:val="11"/>
                      </w:rPr>
                      <w:t>98</w:t>
                    </w:r>
                  </w:p>
                </w:txbxContent>
              </v:textbox>
              <w10:wrap type="none"/>
            </v:shape>
          </v:group>
        </w:pict>
      </w:r>
      <w:r>
        <w:rPr>
          <w:sz w:val="20"/>
        </w:rPr>
      </w:r>
    </w:p>
    <w:p>
      <w:pPr>
        <w:spacing w:before="43"/>
        <w:ind w:left="120" w:right="0" w:firstLine="0"/>
        <w:jc w:val="left"/>
        <w:rPr>
          <w:b/>
          <w:sz w:val="24"/>
        </w:rPr>
      </w:pPr>
      <w:r>
        <w:rPr>
          <w:b/>
          <w:color w:val="000080"/>
          <w:sz w:val="24"/>
        </w:rPr>
        <w:t>Net Margin</w:t>
      </w:r>
    </w:p>
    <w:p>
      <w:pPr>
        <w:pStyle w:val="BodyText"/>
        <w:spacing w:before="3"/>
        <w:rPr>
          <w:b/>
          <w:sz w:val="28"/>
        </w:rPr>
      </w:pPr>
      <w:r>
        <w:rPr/>
        <w:pict>
          <v:group style="position:absolute;margin-left:71.875pt;margin-top:18.212837pt;width:324.05pt;height:149.050pt;mso-position-horizontal-relative:page;mso-position-vertical-relative:paragraph;z-index:1720;mso-wrap-distance-left:0;mso-wrap-distance-right:0" coordorigin="1438,364" coordsize="6481,2981">
            <v:rect style="position:absolute;left:2491;top:2095;width:437;height:830" filled="true" fillcolor="#ffffbf" stroked="false">
              <v:fill type="solid"/>
            </v:rect>
            <v:rect style="position:absolute;left:2491;top:2095;width:437;height:830" filled="false" stroked="true" strokeweight=".48pt" strokecolor="#000000">
              <v:stroke dashstyle="solid"/>
            </v:rect>
            <v:rect style="position:absolute;left:3610;top:2076;width:437;height:850" filled="true" fillcolor="#ffffbf" stroked="false">
              <v:fill type="solid"/>
            </v:rect>
            <v:rect style="position:absolute;left:3610;top:2076;width:437;height:850" filled="false" stroked="true" strokeweight=".48pt" strokecolor="#000000">
              <v:stroke dashstyle="solid"/>
            </v:rect>
            <v:rect style="position:absolute;left:4723;top:1984;width:437;height:941" filled="true" fillcolor="#ffffbf" stroked="false">
              <v:fill type="solid"/>
            </v:rect>
            <v:rect style="position:absolute;left:4723;top:1984;width:437;height:941" filled="false" stroked="true" strokeweight=".48pt" strokecolor="#000000">
              <v:stroke dashstyle="solid"/>
            </v:rect>
            <v:rect style="position:absolute;left:5827;top:1500;width:437;height:1426" filled="true" fillcolor="#ffffbf" stroked="false">
              <v:fill type="solid"/>
            </v:rect>
            <v:rect style="position:absolute;left:5827;top:1500;width:437;height:1426" filled="false" stroked="true" strokeweight=".48pt" strokecolor="#000000">
              <v:stroke dashstyle="solid"/>
            </v:rect>
            <v:rect style="position:absolute;left:6946;top:1034;width:437;height:1891" filled="true" fillcolor="#ffffbf" stroked="false">
              <v:fill type="solid"/>
            </v:rect>
            <v:rect style="position:absolute;left:6946;top:1034;width:437;height:1891" filled="false" stroked="true" strokeweight=".48pt" strokecolor="#000000">
              <v:stroke dashstyle="solid"/>
            </v:rect>
            <v:line style="position:absolute" from="2160,621" to="2160,2925" stroked="true" strokeweight=".24pt" strokecolor="#000000">
              <v:stroke dashstyle="solid"/>
            </v:line>
            <v:line style="position:absolute" from="2122,2925" to="2198,2925" stroked="true" strokeweight=".24pt" strokecolor="#000000">
              <v:stroke dashstyle="solid"/>
            </v:line>
            <v:line style="position:absolute" from="2122,2157" to="2198,2157" stroked="true" strokeweight=".24pt" strokecolor="#000000">
              <v:stroke dashstyle="solid"/>
            </v:line>
            <v:line style="position:absolute" from="2122,1389" to="2198,1389" stroked="true" strokeweight=".24pt" strokecolor="#000000">
              <v:stroke dashstyle="solid"/>
            </v:line>
            <v:line style="position:absolute" from="2122,621" to="2198,621" stroked="true" strokeweight=".24pt" strokecolor="#000000">
              <v:stroke dashstyle="solid"/>
            </v:line>
            <v:line style="position:absolute" from="2160,2925" to="7728,2925" stroked="true" strokeweight=".24pt" strokecolor="#000000">
              <v:stroke dashstyle="solid"/>
            </v:line>
            <v:line style="position:absolute" from="2160,2954" to="2160,2892" stroked="true" strokeweight=".24pt" strokecolor="#000000">
              <v:stroke dashstyle="solid"/>
            </v:line>
            <v:line style="position:absolute" from="3274,2954" to="3274,2892" stroked="true" strokeweight=".24pt" strokecolor="#000000">
              <v:stroke dashstyle="solid"/>
            </v:line>
            <v:line style="position:absolute" from="4392,2954" to="4392,2892" stroked="true" strokeweight=".24pt" strokecolor="#000000">
              <v:stroke dashstyle="solid"/>
            </v:line>
            <v:line style="position:absolute" from="5496,2954" to="5496,2892" stroked="true" strokeweight=".24pt" strokecolor="#000000">
              <v:stroke dashstyle="solid"/>
            </v:line>
            <v:line style="position:absolute" from="6610,2954" to="6610,2892" stroked="true" strokeweight=".24pt" strokecolor="#000000">
              <v:stroke dashstyle="solid"/>
            </v:line>
            <v:line style="position:absolute" from="7728,2954" to="7728,2892" stroked="true" strokeweight=".24pt" strokecolor="#000000">
              <v:stroke dashstyle="solid"/>
            </v:line>
            <v:rect style="position:absolute;left:1440;top:367;width:6475;height:2976" filled="false" stroked="true" strokeweight=".24pt" strokecolor="#000000">
              <v:stroke dashstyle="solid"/>
            </v:rect>
            <v:shape style="position:absolute;left:1656;top:554;width:356;height:125" type="#_x0000_t202" filled="false" stroked="false">
              <v:textbox inset="0,0,0,0">
                <w:txbxContent>
                  <w:p>
                    <w:pPr>
                      <w:spacing w:line="124" w:lineRule="exact" w:before="0"/>
                      <w:ind w:left="0" w:right="0" w:firstLine="0"/>
                      <w:jc w:val="left"/>
                      <w:rPr>
                        <w:b/>
                        <w:sz w:val="11"/>
                      </w:rPr>
                    </w:pPr>
                    <w:r>
                      <w:rPr>
                        <w:b/>
                        <w:color w:val="FF0000"/>
                        <w:sz w:val="11"/>
                      </w:rPr>
                      <w:t>$1.50 </w:t>
                    </w:r>
                  </w:p>
                </w:txbxContent>
              </v:textbox>
              <w10:wrap type="none"/>
            </v:shape>
            <v:shape style="position:absolute;left:6960;top:837;width:351;height:125" type="#_x0000_t202" filled="false" stroked="false">
              <v:textbox inset="0,0,0,0">
                <w:txbxContent>
                  <w:p>
                    <w:pPr>
                      <w:spacing w:line="124" w:lineRule="exact" w:before="0"/>
                      <w:ind w:left="0" w:right="0" w:firstLine="0"/>
                      <w:jc w:val="left"/>
                      <w:rPr>
                        <w:b/>
                        <w:sz w:val="11"/>
                      </w:rPr>
                    </w:pPr>
                    <w:r>
                      <w:rPr>
                        <w:b/>
                        <w:sz w:val="11"/>
                      </w:rPr>
                      <w:t>$1.23 </w:t>
                    </w:r>
                  </w:p>
                </w:txbxContent>
              </v:textbox>
              <w10:wrap type="none"/>
            </v:shape>
            <v:shape style="position:absolute;left:1656;top:1322;width:356;height:125" type="#_x0000_t202" filled="false" stroked="false">
              <v:textbox inset="0,0,0,0">
                <w:txbxContent>
                  <w:p>
                    <w:pPr>
                      <w:spacing w:line="124" w:lineRule="exact" w:before="0"/>
                      <w:ind w:left="0" w:right="0" w:firstLine="0"/>
                      <w:jc w:val="left"/>
                      <w:rPr>
                        <w:b/>
                        <w:sz w:val="11"/>
                      </w:rPr>
                    </w:pPr>
                    <w:r>
                      <w:rPr>
                        <w:b/>
                        <w:color w:val="FF0000"/>
                        <w:sz w:val="11"/>
                      </w:rPr>
                      <w:t>$1.00 </w:t>
                    </w:r>
                  </w:p>
                </w:txbxContent>
              </v:textbox>
              <w10:wrap type="none"/>
            </v:shape>
            <v:shape style="position:absolute;left:5856;top:1303;width:351;height:125" type="#_x0000_t202" filled="false" stroked="false">
              <v:textbox inset="0,0,0,0">
                <w:txbxContent>
                  <w:p>
                    <w:pPr>
                      <w:spacing w:line="124" w:lineRule="exact" w:before="0"/>
                      <w:ind w:left="0" w:right="0" w:firstLine="0"/>
                      <w:jc w:val="left"/>
                      <w:rPr>
                        <w:b/>
                        <w:sz w:val="11"/>
                      </w:rPr>
                    </w:pPr>
                    <w:r>
                      <w:rPr>
                        <w:b/>
                        <w:sz w:val="11"/>
                      </w:rPr>
                      <w:t>$0.93 </w:t>
                    </w:r>
                  </w:p>
                </w:txbxContent>
              </v:textbox>
              <w10:wrap type="none"/>
            </v:shape>
            <v:shape style="position:absolute;left:4752;top:1788;width:351;height:125" type="#_x0000_t202" filled="false" stroked="false">
              <v:textbox inset="0,0,0,0">
                <w:txbxContent>
                  <w:p>
                    <w:pPr>
                      <w:spacing w:line="124" w:lineRule="exact" w:before="0"/>
                      <w:ind w:left="0" w:right="0" w:firstLine="0"/>
                      <w:jc w:val="left"/>
                      <w:rPr>
                        <w:b/>
                        <w:sz w:val="11"/>
                      </w:rPr>
                    </w:pPr>
                    <w:r>
                      <w:rPr>
                        <w:b/>
                        <w:sz w:val="11"/>
                      </w:rPr>
                      <w:t>$0.61 </w:t>
                    </w:r>
                  </w:p>
                </w:txbxContent>
              </v:textbox>
              <w10:wrap type="none"/>
            </v:shape>
            <v:shape style="position:absolute;left:2520;top:1898;width:351;height:125" type="#_x0000_t202" filled="false" stroked="false">
              <v:textbox inset="0,0,0,0">
                <w:txbxContent>
                  <w:p>
                    <w:pPr>
                      <w:spacing w:line="124" w:lineRule="exact" w:before="0"/>
                      <w:ind w:left="0" w:right="0" w:firstLine="0"/>
                      <w:jc w:val="left"/>
                      <w:rPr>
                        <w:b/>
                        <w:sz w:val="11"/>
                      </w:rPr>
                    </w:pPr>
                    <w:r>
                      <w:rPr>
                        <w:b/>
                        <w:sz w:val="11"/>
                      </w:rPr>
                      <w:t>$0.54 </w:t>
                    </w:r>
                  </w:p>
                </w:txbxContent>
              </v:textbox>
              <w10:wrap type="none"/>
            </v:shape>
            <v:shape style="position:absolute;left:3619;top:1879;width:356;height:125" type="#_x0000_t202" filled="false" stroked="false">
              <v:textbox inset="0,0,0,0">
                <w:txbxContent>
                  <w:p>
                    <w:pPr>
                      <w:spacing w:line="124" w:lineRule="exact" w:before="0"/>
                      <w:ind w:left="0" w:right="0" w:firstLine="0"/>
                      <w:jc w:val="left"/>
                      <w:rPr>
                        <w:b/>
                        <w:sz w:val="11"/>
                      </w:rPr>
                    </w:pPr>
                    <w:r>
                      <w:rPr>
                        <w:b/>
                        <w:sz w:val="11"/>
                      </w:rPr>
                      <w:t>$0.55 </w:t>
                    </w:r>
                  </w:p>
                </w:txbxContent>
              </v:textbox>
              <w10:wrap type="none"/>
            </v:shape>
            <v:shape style="position:absolute;left:1656;top:2090;width:356;height:125" type="#_x0000_t202" filled="false" stroked="false">
              <v:textbox inset="0,0,0,0">
                <w:txbxContent>
                  <w:p>
                    <w:pPr>
                      <w:spacing w:line="124" w:lineRule="exact" w:before="0"/>
                      <w:ind w:left="0" w:right="0" w:firstLine="0"/>
                      <w:jc w:val="left"/>
                      <w:rPr>
                        <w:b/>
                        <w:sz w:val="11"/>
                      </w:rPr>
                    </w:pPr>
                    <w:r>
                      <w:rPr>
                        <w:b/>
                        <w:color w:val="FF0000"/>
                        <w:sz w:val="11"/>
                      </w:rPr>
                      <w:t>$0.50 </w:t>
                    </w:r>
                  </w:p>
                </w:txbxContent>
              </v:textbox>
              <w10:wrap type="none"/>
            </v:shape>
            <v:shape style="position:absolute;left:1656;top:2858;width:356;height:125" type="#_x0000_t202" filled="false" stroked="false">
              <v:textbox inset="0,0,0,0">
                <w:txbxContent>
                  <w:p>
                    <w:pPr>
                      <w:spacing w:line="124" w:lineRule="exact" w:before="0"/>
                      <w:ind w:left="0" w:right="0" w:firstLine="0"/>
                      <w:jc w:val="left"/>
                      <w:rPr>
                        <w:b/>
                        <w:sz w:val="11"/>
                      </w:rPr>
                    </w:pPr>
                    <w:r>
                      <w:rPr>
                        <w:b/>
                        <w:color w:val="FF0000"/>
                        <w:sz w:val="11"/>
                      </w:rPr>
                      <w:t>$0.00 </w:t>
                    </w:r>
                  </w:p>
                </w:txbxContent>
              </v:textbox>
              <w10:wrap type="none"/>
            </v:shape>
            <v:shape style="position:absolute;left:2635;top:3021;width:159;height:125" type="#_x0000_t202" filled="false" stroked="false">
              <v:textbox inset="0,0,0,0">
                <w:txbxContent>
                  <w:p>
                    <w:pPr>
                      <w:spacing w:line="124" w:lineRule="exact" w:before="0"/>
                      <w:ind w:left="0" w:right="0" w:firstLine="0"/>
                      <w:jc w:val="left"/>
                      <w:rPr>
                        <w:b/>
                        <w:sz w:val="11"/>
                      </w:rPr>
                    </w:pPr>
                    <w:r>
                      <w:rPr>
                        <w:b/>
                        <w:color w:val="FF0000"/>
                        <w:sz w:val="11"/>
                      </w:rPr>
                      <w:t>94</w:t>
                    </w:r>
                  </w:p>
                </w:txbxContent>
              </v:textbox>
              <w10:wrap type="none"/>
            </v:shape>
            <v:shape style="position:absolute;left:3749;top:3021;width:159;height:125" type="#_x0000_t202" filled="false" stroked="false">
              <v:textbox inset="0,0,0,0">
                <w:txbxContent>
                  <w:p>
                    <w:pPr>
                      <w:spacing w:line="124" w:lineRule="exact" w:before="0"/>
                      <w:ind w:left="0" w:right="0" w:firstLine="0"/>
                      <w:jc w:val="left"/>
                      <w:rPr>
                        <w:b/>
                        <w:sz w:val="11"/>
                      </w:rPr>
                    </w:pPr>
                    <w:r>
                      <w:rPr>
                        <w:b/>
                        <w:color w:val="FF0000"/>
                        <w:sz w:val="11"/>
                      </w:rPr>
                      <w:t>95</w:t>
                    </w:r>
                  </w:p>
                </w:txbxContent>
              </v:textbox>
              <w10:wrap type="none"/>
            </v:shape>
            <v:shape style="position:absolute;left:4867;top:3021;width:159;height:125" type="#_x0000_t202" filled="false" stroked="false">
              <v:textbox inset="0,0,0,0">
                <w:txbxContent>
                  <w:p>
                    <w:pPr>
                      <w:spacing w:line="124" w:lineRule="exact" w:before="0"/>
                      <w:ind w:left="0" w:right="0" w:firstLine="0"/>
                      <w:jc w:val="left"/>
                      <w:rPr>
                        <w:b/>
                        <w:sz w:val="11"/>
                      </w:rPr>
                    </w:pPr>
                    <w:r>
                      <w:rPr>
                        <w:b/>
                        <w:color w:val="FF0000"/>
                        <w:sz w:val="11"/>
                      </w:rPr>
                      <w:t>96</w:t>
                    </w:r>
                  </w:p>
                </w:txbxContent>
              </v:textbox>
              <w10:wrap type="none"/>
            </v:shape>
            <v:shape style="position:absolute;left:5981;top:3021;width:159;height:125" type="#_x0000_t202" filled="false" stroked="false">
              <v:textbox inset="0,0,0,0">
                <w:txbxContent>
                  <w:p>
                    <w:pPr>
                      <w:spacing w:line="124" w:lineRule="exact" w:before="0"/>
                      <w:ind w:left="0" w:right="0" w:firstLine="0"/>
                      <w:jc w:val="left"/>
                      <w:rPr>
                        <w:b/>
                        <w:sz w:val="11"/>
                      </w:rPr>
                    </w:pPr>
                    <w:r>
                      <w:rPr>
                        <w:b/>
                        <w:color w:val="FF0000"/>
                        <w:sz w:val="11"/>
                      </w:rPr>
                      <w:t>97</w:t>
                    </w:r>
                  </w:p>
                </w:txbxContent>
              </v:textbox>
              <w10:wrap type="none"/>
            </v:shape>
            <v:shape style="position:absolute;left:7099;top:3021;width:159;height:125" type="#_x0000_t202" filled="false" stroked="false">
              <v:textbox inset="0,0,0,0">
                <w:txbxContent>
                  <w:p>
                    <w:pPr>
                      <w:spacing w:line="124" w:lineRule="exact" w:before="0"/>
                      <w:ind w:left="0" w:right="0" w:firstLine="0"/>
                      <w:jc w:val="left"/>
                      <w:rPr>
                        <w:b/>
                        <w:sz w:val="11"/>
                      </w:rPr>
                    </w:pPr>
                    <w:r>
                      <w:rPr>
                        <w:b/>
                        <w:color w:val="FF0000"/>
                        <w:sz w:val="11"/>
                      </w:rPr>
                      <w:t>98</w:t>
                    </w:r>
                  </w:p>
                </w:txbxContent>
              </v:textbox>
              <w10:wrap type="none"/>
            </v:shape>
            <w10:wrap type="topAndBottom"/>
          </v:group>
        </w:pict>
      </w:r>
    </w:p>
    <w:p>
      <w:pPr>
        <w:spacing w:before="50"/>
        <w:ind w:left="120" w:right="0" w:firstLine="0"/>
        <w:jc w:val="left"/>
        <w:rPr>
          <w:b/>
          <w:sz w:val="24"/>
        </w:rPr>
      </w:pPr>
      <w:r>
        <w:rPr>
          <w:b/>
          <w:color w:val="000080"/>
          <w:sz w:val="24"/>
        </w:rPr>
        <w:t>Net Income Per Share, Diluted</w:t>
      </w:r>
    </w:p>
    <w:p>
      <w:pPr>
        <w:pStyle w:val="BodyText"/>
        <w:spacing w:before="6"/>
        <w:rPr>
          <w:b/>
          <w:sz w:val="26"/>
        </w:rPr>
      </w:pPr>
      <w:r>
        <w:rPr/>
        <w:pict>
          <v:group style="position:absolute;margin-left:71.875pt;margin-top:17.222881pt;width:324.05pt;height:155.050pt;mso-position-horizontal-relative:page;mso-position-vertical-relative:paragraph;z-index:2080;mso-wrap-distance-left:0;mso-wrap-distance-right:0" coordorigin="1438,344" coordsize="6481,3101">
            <v:rect style="position:absolute;left:2366;top:1451;width:446;height:1555" filled="true" fillcolor="#ffffbf" stroked="false">
              <v:fill type="solid"/>
            </v:rect>
            <v:rect style="position:absolute;left:2366;top:1451;width:446;height:1555" filled="false" stroked="true" strokeweight=".48pt" strokecolor="#000000">
              <v:stroke dashstyle="solid"/>
            </v:rect>
            <v:rect style="position:absolute;left:3504;top:1638;width:451;height:1368" filled="true" fillcolor="#ffffbf" stroked="false">
              <v:fill type="solid"/>
            </v:rect>
            <v:rect style="position:absolute;left:3504;top:1638;width:451;height:1368" filled="false" stroked="true" strokeweight=".48pt" strokecolor="#000000">
              <v:stroke dashstyle="solid"/>
            </v:rect>
            <v:rect style="position:absolute;left:4646;top:1662;width:451;height:1344" filled="true" fillcolor="#ffffbf" stroked="false">
              <v:fill type="solid"/>
            </v:rect>
            <v:rect style="position:absolute;left:4646;top:1662;width:451;height:1344" filled="false" stroked="true" strokeweight=".48pt" strokecolor="#000000">
              <v:stroke dashstyle="solid"/>
            </v:rect>
            <v:rect style="position:absolute;left:5779;top:1273;width:446;height:1733" filled="true" fillcolor="#ffffbf" stroked="false">
              <v:fill type="solid"/>
            </v:rect>
            <v:rect style="position:absolute;left:5779;top:1273;width:446;height:1733" filled="false" stroked="true" strokeweight=".48pt" strokecolor="#000000">
              <v:stroke dashstyle="solid"/>
            </v:rect>
            <v:rect style="position:absolute;left:6922;top:1043;width:446;height:1963" filled="true" fillcolor="#ffffbf" stroked="false">
              <v:fill type="solid"/>
            </v:rect>
            <v:rect style="position:absolute;left:6922;top:1043;width:446;height:1963" filled="false" stroked="true" strokeweight=".48pt" strokecolor="#000000">
              <v:stroke dashstyle="solid"/>
            </v:rect>
            <v:line style="position:absolute" from="2030,611" to="2030,3006" stroked="true" strokeweight=".24pt" strokecolor="#000000">
              <v:stroke dashstyle="solid"/>
            </v:line>
            <v:line style="position:absolute" from="1992,3006" to="2069,3006" stroked="true" strokeweight=".24pt" strokecolor="#000000">
              <v:stroke dashstyle="solid"/>
            </v:line>
            <v:line style="position:absolute" from="1992,2209" to="2069,2209" stroked="true" strokeweight=".24pt" strokecolor="#000000">
              <v:stroke dashstyle="solid"/>
            </v:line>
            <v:line style="position:absolute" from="1992,1408" to="2069,1408" stroked="true" strokeweight=".24pt" strokecolor="#000000">
              <v:stroke dashstyle="solid"/>
            </v:line>
            <v:line style="position:absolute" from="1992,611" to="2069,611" stroked="true" strokeweight=".24pt" strokecolor="#000000">
              <v:stroke dashstyle="solid"/>
            </v:line>
            <v:line style="position:absolute" from="2030,3006" to="7728,3006" stroked="true" strokeweight=".24pt" strokecolor="#000000">
              <v:stroke dashstyle="solid"/>
            </v:line>
            <v:line style="position:absolute" from="2030,3040" to="2030,2973" stroked="true" strokeweight=".24pt" strokecolor="#000000">
              <v:stroke dashstyle="solid"/>
            </v:line>
            <v:line style="position:absolute" from="3173,3040" to="3173,2973" stroked="true" strokeweight=".24pt" strokecolor="#000000">
              <v:stroke dashstyle="solid"/>
            </v:line>
            <v:line style="position:absolute" from="4315,3040" to="4315,2973" stroked="true" strokeweight=".24pt" strokecolor="#000000">
              <v:stroke dashstyle="solid"/>
            </v:line>
            <v:line style="position:absolute" from="5443,3040" to="5443,2973" stroked="true" strokeweight=".24pt" strokecolor="#000000">
              <v:stroke dashstyle="solid"/>
            </v:line>
            <v:line style="position:absolute" from="6586,3040" to="6586,2973" stroked="true" strokeweight=".24pt" strokecolor="#000000">
              <v:stroke dashstyle="solid"/>
            </v:line>
            <v:line style="position:absolute" from="7728,3040" to="7728,2973" stroked="true" strokeweight=".24pt" strokecolor="#000000">
              <v:stroke dashstyle="solid"/>
            </v:line>
            <v:rect style="position:absolute;left:1440;top:347;width:6475;height:3096" filled="false" stroked="true" strokeweight=".24pt" strokecolor="#000000">
              <v:stroke dashstyle="solid"/>
            </v:rect>
            <v:shape style="position:absolute;left:1656;top:540;width:276;height:130" type="#_x0000_t202" filled="false" stroked="false">
              <v:textbox inset="0,0,0,0">
                <w:txbxContent>
                  <w:p>
                    <w:pPr>
                      <w:spacing w:before="1"/>
                      <w:ind w:left="0" w:right="0" w:firstLine="0"/>
                      <w:jc w:val="left"/>
                      <w:rPr>
                        <w:b/>
                        <w:sz w:val="11"/>
                      </w:rPr>
                    </w:pPr>
                    <w:r>
                      <w:rPr>
                        <w:b/>
                        <w:color w:val="FF0000"/>
                        <w:sz w:val="11"/>
                      </w:rPr>
                      <w:t>24 %</w:t>
                    </w:r>
                  </w:p>
                </w:txbxContent>
              </v:textbox>
              <w10:wrap type="none"/>
            </v:shape>
            <v:shape style="position:absolute;left:6946;top:837;width:386;height:130" type="#_x0000_t202" filled="false" stroked="false">
              <v:textbox inset="0,0,0,0">
                <w:txbxContent>
                  <w:p>
                    <w:pPr>
                      <w:spacing w:before="1"/>
                      <w:ind w:left="0" w:right="0" w:firstLine="0"/>
                      <w:jc w:val="left"/>
                      <w:rPr>
                        <w:b/>
                        <w:sz w:val="11"/>
                      </w:rPr>
                    </w:pPr>
                    <w:r>
                      <w:rPr>
                        <w:b/>
                        <w:sz w:val="11"/>
                      </w:rPr>
                      <w:t>19.7 %</w:t>
                    </w:r>
                  </w:p>
                </w:txbxContent>
              </v:textbox>
              <w10:wrap type="none"/>
            </v:shape>
            <v:shape style="position:absolute;left:5803;top:1068;width:386;height:130" type="#_x0000_t202" filled="false" stroked="false">
              <v:textbox inset="0,0,0,0">
                <w:txbxContent>
                  <w:p>
                    <w:pPr>
                      <w:spacing w:before="1"/>
                      <w:ind w:left="0" w:right="0" w:firstLine="0"/>
                      <w:jc w:val="left"/>
                      <w:rPr>
                        <w:b/>
                        <w:sz w:val="11"/>
                      </w:rPr>
                    </w:pPr>
                    <w:r>
                      <w:rPr>
                        <w:b/>
                        <w:sz w:val="11"/>
                      </w:rPr>
                      <w:t>17.4 %</w:t>
                    </w:r>
                  </w:p>
                </w:txbxContent>
              </v:textbox>
              <w10:wrap type="none"/>
            </v:shape>
            <v:shape style="position:absolute;left:2390;top:1245;width:386;height:130" type="#_x0000_t202" filled="false" stroked="false">
              <v:textbox inset="0,0,0,0">
                <w:txbxContent>
                  <w:p>
                    <w:pPr>
                      <w:spacing w:before="1"/>
                      <w:ind w:left="0" w:right="0" w:firstLine="0"/>
                      <w:jc w:val="left"/>
                      <w:rPr>
                        <w:b/>
                        <w:sz w:val="11"/>
                      </w:rPr>
                    </w:pPr>
                    <w:r>
                      <w:rPr>
                        <w:b/>
                        <w:sz w:val="11"/>
                      </w:rPr>
                      <w:t>15.6 %</w:t>
                    </w:r>
                  </w:p>
                </w:txbxContent>
              </v:textbox>
              <w10:wrap type="none"/>
            </v:shape>
            <v:shape style="position:absolute;left:1656;top:1341;width:276;height:130" type="#_x0000_t202" filled="false" stroked="false">
              <v:textbox inset="0,0,0,0">
                <w:txbxContent>
                  <w:p>
                    <w:pPr>
                      <w:spacing w:before="1"/>
                      <w:ind w:left="0" w:right="0" w:firstLine="0"/>
                      <w:jc w:val="left"/>
                      <w:rPr>
                        <w:b/>
                        <w:sz w:val="11"/>
                      </w:rPr>
                    </w:pPr>
                    <w:r>
                      <w:rPr>
                        <w:b/>
                        <w:color w:val="FF0000"/>
                        <w:sz w:val="11"/>
                      </w:rPr>
                      <w:t>16 %</w:t>
                    </w:r>
                  </w:p>
                </w:txbxContent>
              </v:textbox>
              <w10:wrap type="none"/>
            </v:shape>
            <v:shape style="position:absolute;left:3533;top:1437;width:386;height:130" type="#_x0000_t202" filled="false" stroked="false">
              <v:textbox inset="0,0,0,0">
                <w:txbxContent>
                  <w:p>
                    <w:pPr>
                      <w:spacing w:before="1"/>
                      <w:ind w:left="0" w:right="0" w:firstLine="0"/>
                      <w:jc w:val="left"/>
                      <w:rPr>
                        <w:b/>
                        <w:sz w:val="11"/>
                      </w:rPr>
                    </w:pPr>
                    <w:r>
                      <w:rPr>
                        <w:b/>
                        <w:sz w:val="11"/>
                      </w:rPr>
                      <w:t>13.7 %</w:t>
                    </w:r>
                  </w:p>
                </w:txbxContent>
              </v:textbox>
              <w10:wrap type="none"/>
            </v:shape>
            <v:shape style="position:absolute;left:4675;top:1457;width:386;height:130" type="#_x0000_t202" filled="false" stroked="false">
              <v:textbox inset="0,0,0,0">
                <w:txbxContent>
                  <w:p>
                    <w:pPr>
                      <w:spacing w:before="1"/>
                      <w:ind w:left="0" w:right="0" w:firstLine="0"/>
                      <w:jc w:val="left"/>
                      <w:rPr>
                        <w:b/>
                        <w:sz w:val="11"/>
                      </w:rPr>
                    </w:pPr>
                    <w:r>
                      <w:rPr>
                        <w:b/>
                        <w:sz w:val="11"/>
                      </w:rPr>
                      <w:t>13.5 %</w:t>
                    </w:r>
                  </w:p>
                </w:txbxContent>
              </v:textbox>
              <w10:wrap type="none"/>
            </v:shape>
            <v:shape style="position:absolute;left:1738;top:2138;width:194;height:130" type="#_x0000_t202" filled="false" stroked="false">
              <v:textbox inset="0,0,0,0">
                <w:txbxContent>
                  <w:p>
                    <w:pPr>
                      <w:spacing w:before="1"/>
                      <w:ind w:left="0" w:right="0" w:firstLine="0"/>
                      <w:jc w:val="left"/>
                      <w:rPr>
                        <w:b/>
                        <w:sz w:val="11"/>
                      </w:rPr>
                    </w:pPr>
                    <w:r>
                      <w:rPr>
                        <w:b/>
                        <w:color w:val="FF0000"/>
                        <w:sz w:val="11"/>
                      </w:rPr>
                      <w:t>8 %</w:t>
                    </w:r>
                  </w:p>
                </w:txbxContent>
              </v:textbox>
              <w10:wrap type="none"/>
            </v:shape>
            <v:shape style="position:absolute;left:1738;top:2940;width:194;height:130" type="#_x0000_t202" filled="false" stroked="false">
              <v:textbox inset="0,0,0,0">
                <w:txbxContent>
                  <w:p>
                    <w:pPr>
                      <w:spacing w:before="1"/>
                      <w:ind w:left="0" w:right="0" w:firstLine="0"/>
                      <w:jc w:val="left"/>
                      <w:rPr>
                        <w:b/>
                        <w:sz w:val="11"/>
                      </w:rPr>
                    </w:pPr>
                    <w:r>
                      <w:rPr>
                        <w:b/>
                        <w:color w:val="FF0000"/>
                        <w:sz w:val="11"/>
                      </w:rPr>
                      <w:t>0 %</w:t>
                    </w:r>
                  </w:p>
                </w:txbxContent>
              </v:textbox>
              <w10:wrap type="none"/>
            </v:shape>
            <v:shape style="position:absolute;left:2520;top:3108;width:159;height:130" type="#_x0000_t202" filled="false" stroked="false">
              <v:textbox inset="0,0,0,0">
                <w:txbxContent>
                  <w:p>
                    <w:pPr>
                      <w:spacing w:before="1"/>
                      <w:ind w:left="0" w:right="0" w:firstLine="0"/>
                      <w:jc w:val="left"/>
                      <w:rPr>
                        <w:b/>
                        <w:sz w:val="11"/>
                      </w:rPr>
                    </w:pPr>
                    <w:r>
                      <w:rPr>
                        <w:b/>
                        <w:color w:val="FF0000"/>
                        <w:w w:val="105"/>
                        <w:sz w:val="11"/>
                      </w:rPr>
                      <w:t>94</w:t>
                    </w:r>
                  </w:p>
                </w:txbxContent>
              </v:textbox>
              <w10:wrap type="none"/>
            </v:shape>
            <v:shape style="position:absolute;left:3662;top:3108;width:159;height:130" type="#_x0000_t202" filled="false" stroked="false">
              <v:textbox inset="0,0,0,0">
                <w:txbxContent>
                  <w:p>
                    <w:pPr>
                      <w:spacing w:before="1"/>
                      <w:ind w:left="0" w:right="0" w:firstLine="0"/>
                      <w:jc w:val="left"/>
                      <w:rPr>
                        <w:b/>
                        <w:sz w:val="11"/>
                      </w:rPr>
                    </w:pPr>
                    <w:r>
                      <w:rPr>
                        <w:b/>
                        <w:color w:val="FF0000"/>
                        <w:w w:val="105"/>
                        <w:sz w:val="11"/>
                      </w:rPr>
                      <w:t>95</w:t>
                    </w:r>
                  </w:p>
                </w:txbxContent>
              </v:textbox>
              <w10:wrap type="none"/>
            </v:shape>
            <v:shape style="position:absolute;left:4800;top:3108;width:159;height:130" type="#_x0000_t202" filled="false" stroked="false">
              <v:textbox inset="0,0,0,0">
                <w:txbxContent>
                  <w:p>
                    <w:pPr>
                      <w:spacing w:before="1"/>
                      <w:ind w:left="0" w:right="0" w:firstLine="0"/>
                      <w:jc w:val="left"/>
                      <w:rPr>
                        <w:b/>
                        <w:sz w:val="11"/>
                      </w:rPr>
                    </w:pPr>
                    <w:r>
                      <w:rPr>
                        <w:b/>
                        <w:color w:val="FF0000"/>
                        <w:w w:val="105"/>
                        <w:sz w:val="11"/>
                      </w:rPr>
                      <w:t>96</w:t>
                    </w:r>
                  </w:p>
                </w:txbxContent>
              </v:textbox>
              <w10:wrap type="none"/>
            </v:shape>
            <v:shape style="position:absolute;left:5942;top:3108;width:159;height:130" type="#_x0000_t202" filled="false" stroked="false">
              <v:textbox inset="0,0,0,0">
                <w:txbxContent>
                  <w:p>
                    <w:pPr>
                      <w:spacing w:before="1"/>
                      <w:ind w:left="0" w:right="0" w:firstLine="0"/>
                      <w:jc w:val="left"/>
                      <w:rPr>
                        <w:b/>
                        <w:sz w:val="11"/>
                      </w:rPr>
                    </w:pPr>
                    <w:r>
                      <w:rPr>
                        <w:b/>
                        <w:color w:val="FF0000"/>
                        <w:w w:val="105"/>
                        <w:sz w:val="11"/>
                      </w:rPr>
                      <w:t>97</w:t>
                    </w:r>
                  </w:p>
                </w:txbxContent>
              </v:textbox>
              <w10:wrap type="none"/>
            </v:shape>
            <v:shape style="position:absolute;left:7085;top:3108;width:159;height:130" type="#_x0000_t202" filled="false" stroked="false">
              <v:textbox inset="0,0,0,0">
                <w:txbxContent>
                  <w:p>
                    <w:pPr>
                      <w:spacing w:before="1"/>
                      <w:ind w:left="0" w:right="0" w:firstLine="0"/>
                      <w:jc w:val="left"/>
                      <w:rPr>
                        <w:b/>
                        <w:sz w:val="11"/>
                      </w:rPr>
                    </w:pPr>
                    <w:r>
                      <w:rPr>
                        <w:b/>
                        <w:color w:val="FF0000"/>
                        <w:w w:val="105"/>
                        <w:sz w:val="11"/>
                      </w:rPr>
                      <w:t>98</w:t>
                    </w:r>
                  </w:p>
                </w:txbxContent>
              </v:textbox>
              <w10:wrap type="none"/>
            </v:shape>
            <w10:wrap type="topAndBottom"/>
          </v:group>
        </w:pict>
      </w:r>
    </w:p>
    <w:p>
      <w:pPr>
        <w:spacing w:before="45"/>
        <w:ind w:left="120" w:right="0" w:firstLine="0"/>
        <w:jc w:val="left"/>
        <w:rPr>
          <w:b/>
          <w:sz w:val="24"/>
        </w:rPr>
      </w:pPr>
      <w:r>
        <w:rPr>
          <w:b/>
          <w:color w:val="000080"/>
          <w:sz w:val="24"/>
        </w:rPr>
        <w:t>Return On Average Stockholders’ Equity</w:t>
      </w:r>
    </w:p>
    <w:p>
      <w:pPr>
        <w:spacing w:after="0"/>
        <w:jc w:val="left"/>
        <w:rPr>
          <w:sz w:val="24"/>
        </w:rPr>
        <w:sectPr>
          <w:pgSz w:w="12240" w:h="15840"/>
          <w:pgMar w:header="1448" w:footer="344" w:top="1700" w:bottom="540" w:left="1320" w:right="1340"/>
        </w:sectPr>
      </w:pPr>
    </w:p>
    <w:p>
      <w:pPr>
        <w:pStyle w:val="BodyText"/>
        <w:spacing w:before="8"/>
        <w:rPr>
          <w:b/>
          <w:sz w:val="22"/>
        </w:rPr>
      </w:pPr>
    </w:p>
    <w:p>
      <w:pPr>
        <w:spacing w:line="235" w:lineRule="auto" w:before="93"/>
        <w:ind w:left="302" w:right="135" w:hanging="183"/>
        <w:jc w:val="both"/>
        <w:rPr>
          <w:sz w:val="32"/>
        </w:rPr>
      </w:pPr>
      <w:r>
        <w:rPr>
          <w:color w:val="808080"/>
          <w:spacing w:val="15"/>
          <w:sz w:val="40"/>
        </w:rPr>
        <w:t>Freedom </w:t>
      </w:r>
      <w:r>
        <w:rPr>
          <w:color w:val="808080"/>
          <w:spacing w:val="18"/>
          <w:sz w:val="40"/>
        </w:rPr>
        <w:t>means </w:t>
      </w:r>
      <w:r>
        <w:rPr>
          <w:color w:val="808080"/>
          <w:spacing w:val="11"/>
          <w:sz w:val="40"/>
        </w:rPr>
        <w:t>many </w:t>
      </w:r>
      <w:r>
        <w:rPr>
          <w:color w:val="808080"/>
          <w:spacing w:val="17"/>
          <w:sz w:val="40"/>
        </w:rPr>
        <w:t>things </w:t>
      </w:r>
      <w:r>
        <w:rPr>
          <w:color w:val="808080"/>
          <w:spacing w:val="9"/>
          <w:sz w:val="40"/>
        </w:rPr>
        <w:t>to </w:t>
      </w:r>
      <w:r>
        <w:rPr>
          <w:color w:val="808080"/>
          <w:spacing w:val="11"/>
          <w:sz w:val="40"/>
        </w:rPr>
        <w:t>many </w:t>
      </w:r>
      <w:r>
        <w:rPr>
          <w:color w:val="808080"/>
          <w:spacing w:val="16"/>
          <w:sz w:val="40"/>
        </w:rPr>
        <w:t>people</w:t>
      </w:r>
      <w:r>
        <w:rPr>
          <w:color w:val="808080"/>
          <w:spacing w:val="16"/>
          <w:sz w:val="32"/>
        </w:rPr>
        <w:t>.  For </w:t>
      </w:r>
      <w:r>
        <w:rPr>
          <w:color w:val="808080"/>
          <w:spacing w:val="11"/>
          <w:sz w:val="32"/>
        </w:rPr>
        <w:t>some </w:t>
      </w:r>
      <w:r>
        <w:rPr>
          <w:color w:val="808080"/>
          <w:spacing w:val="10"/>
          <w:sz w:val="32"/>
        </w:rPr>
        <w:t>of </w:t>
      </w:r>
      <w:r>
        <w:rPr>
          <w:color w:val="808080"/>
          <w:spacing w:val="14"/>
          <w:sz w:val="32"/>
        </w:rPr>
        <w:t>our </w:t>
      </w:r>
      <w:r>
        <w:rPr>
          <w:color w:val="808080"/>
          <w:spacing w:val="16"/>
          <w:sz w:val="32"/>
        </w:rPr>
        <w:t>Customers, </w:t>
      </w:r>
      <w:r>
        <w:rPr>
          <w:color w:val="808080"/>
          <w:spacing w:val="17"/>
          <w:sz w:val="32"/>
        </w:rPr>
        <w:t>Southwest’s </w:t>
      </w:r>
      <w:r>
        <w:rPr>
          <w:color w:val="808080"/>
          <w:spacing w:val="15"/>
          <w:sz w:val="32"/>
        </w:rPr>
        <w:t>legendary </w:t>
      </w:r>
      <w:r>
        <w:rPr>
          <w:color w:val="808080"/>
          <w:spacing w:val="12"/>
          <w:sz w:val="32"/>
        </w:rPr>
        <w:t>low </w:t>
      </w:r>
      <w:r>
        <w:rPr>
          <w:color w:val="808080"/>
          <w:spacing w:val="14"/>
          <w:sz w:val="32"/>
        </w:rPr>
        <w:t>fares </w:t>
      </w:r>
      <w:r>
        <w:rPr>
          <w:color w:val="808080"/>
          <w:spacing w:val="16"/>
          <w:sz w:val="32"/>
        </w:rPr>
        <w:t>provide </w:t>
      </w:r>
      <w:r>
        <w:rPr>
          <w:color w:val="808080"/>
          <w:spacing w:val="12"/>
          <w:sz w:val="32"/>
        </w:rPr>
        <w:t>the </w:t>
      </w:r>
      <w:r>
        <w:rPr>
          <w:color w:val="808080"/>
          <w:spacing w:val="17"/>
          <w:sz w:val="32"/>
        </w:rPr>
        <w:t>financial </w:t>
      </w:r>
      <w:r>
        <w:rPr>
          <w:color w:val="808080"/>
          <w:spacing w:val="16"/>
          <w:sz w:val="32"/>
        </w:rPr>
        <w:t>freedom </w:t>
      </w:r>
      <w:r>
        <w:rPr>
          <w:color w:val="808080"/>
          <w:spacing w:val="9"/>
          <w:sz w:val="32"/>
        </w:rPr>
        <w:t>to </w:t>
      </w:r>
      <w:r>
        <w:rPr>
          <w:color w:val="808080"/>
          <w:spacing w:val="14"/>
          <w:sz w:val="32"/>
        </w:rPr>
        <w:t>fly. </w:t>
      </w:r>
      <w:r>
        <w:rPr>
          <w:color w:val="808080"/>
          <w:spacing w:val="15"/>
          <w:sz w:val="32"/>
        </w:rPr>
        <w:t>For </w:t>
      </w:r>
      <w:r>
        <w:rPr>
          <w:color w:val="808080"/>
          <w:spacing w:val="17"/>
          <w:sz w:val="32"/>
        </w:rPr>
        <w:t>others, </w:t>
      </w:r>
      <w:r>
        <w:rPr>
          <w:color w:val="808080"/>
          <w:spacing w:val="12"/>
          <w:sz w:val="32"/>
        </w:rPr>
        <w:t>our </w:t>
      </w:r>
      <w:r>
        <w:rPr>
          <w:color w:val="808080"/>
          <w:spacing w:val="16"/>
          <w:sz w:val="32"/>
        </w:rPr>
        <w:t>frequent </w:t>
      </w:r>
      <w:r>
        <w:rPr>
          <w:color w:val="808080"/>
          <w:spacing w:val="17"/>
          <w:sz w:val="32"/>
        </w:rPr>
        <w:t>flights </w:t>
      </w:r>
      <w:r>
        <w:rPr>
          <w:color w:val="808080"/>
          <w:spacing w:val="16"/>
          <w:sz w:val="32"/>
        </w:rPr>
        <w:t>grant </w:t>
      </w:r>
      <w:r>
        <w:rPr>
          <w:color w:val="808080"/>
          <w:spacing w:val="12"/>
          <w:sz w:val="32"/>
        </w:rPr>
        <w:t>the </w:t>
      </w:r>
      <w:r>
        <w:rPr>
          <w:color w:val="808080"/>
          <w:spacing w:val="16"/>
          <w:sz w:val="32"/>
        </w:rPr>
        <w:t>freedom </w:t>
      </w:r>
      <w:r>
        <w:rPr>
          <w:color w:val="808080"/>
          <w:spacing w:val="9"/>
          <w:sz w:val="32"/>
        </w:rPr>
        <w:t>to </w:t>
      </w:r>
      <w:r>
        <w:rPr>
          <w:color w:val="808080"/>
          <w:spacing w:val="13"/>
          <w:sz w:val="32"/>
        </w:rPr>
        <w:t>fly </w:t>
      </w:r>
      <w:r>
        <w:rPr>
          <w:color w:val="808080"/>
          <w:spacing w:val="18"/>
          <w:sz w:val="32"/>
        </w:rPr>
        <w:t>virtually </w:t>
      </w:r>
      <w:r>
        <w:rPr>
          <w:color w:val="808080"/>
          <w:spacing w:val="13"/>
          <w:sz w:val="32"/>
        </w:rPr>
        <w:t>any </w:t>
      </w:r>
      <w:r>
        <w:rPr>
          <w:color w:val="808080"/>
          <w:spacing w:val="12"/>
          <w:sz w:val="32"/>
        </w:rPr>
        <w:t>time </w:t>
      </w:r>
      <w:r>
        <w:rPr>
          <w:color w:val="808080"/>
          <w:spacing w:val="13"/>
          <w:sz w:val="32"/>
        </w:rPr>
        <w:t>they </w:t>
      </w:r>
      <w:r>
        <w:rPr>
          <w:color w:val="808080"/>
          <w:spacing w:val="14"/>
          <w:sz w:val="32"/>
        </w:rPr>
        <w:t>choose. </w:t>
      </w:r>
      <w:r>
        <w:rPr>
          <w:color w:val="808080"/>
          <w:spacing w:val="15"/>
          <w:sz w:val="32"/>
        </w:rPr>
        <w:t>For </w:t>
      </w:r>
      <w:r>
        <w:rPr>
          <w:color w:val="808080"/>
          <w:spacing w:val="16"/>
          <w:sz w:val="32"/>
        </w:rPr>
        <w:t>still </w:t>
      </w:r>
      <w:r>
        <w:rPr>
          <w:color w:val="808080"/>
          <w:spacing w:val="17"/>
          <w:sz w:val="32"/>
        </w:rPr>
        <w:t>others, </w:t>
      </w:r>
      <w:r>
        <w:rPr>
          <w:color w:val="808080"/>
          <w:spacing w:val="13"/>
          <w:sz w:val="32"/>
        </w:rPr>
        <w:t>our </w:t>
      </w:r>
      <w:r>
        <w:rPr>
          <w:color w:val="808080"/>
          <w:spacing w:val="17"/>
          <w:sz w:val="32"/>
        </w:rPr>
        <w:t>coast-to-coast </w:t>
      </w:r>
      <w:r>
        <w:rPr>
          <w:color w:val="808080"/>
          <w:spacing w:val="18"/>
          <w:sz w:val="32"/>
        </w:rPr>
        <w:t>destinations </w:t>
      </w:r>
      <w:r>
        <w:rPr>
          <w:color w:val="808080"/>
          <w:spacing w:val="16"/>
          <w:sz w:val="32"/>
        </w:rPr>
        <w:t>offer </w:t>
      </w:r>
      <w:r>
        <w:rPr>
          <w:color w:val="808080"/>
          <w:spacing w:val="12"/>
          <w:sz w:val="32"/>
        </w:rPr>
        <w:t>the </w:t>
      </w:r>
      <w:r>
        <w:rPr>
          <w:color w:val="808080"/>
          <w:spacing w:val="16"/>
          <w:sz w:val="32"/>
        </w:rPr>
        <w:t>freedom </w:t>
      </w:r>
      <w:r>
        <w:rPr>
          <w:color w:val="808080"/>
          <w:spacing w:val="9"/>
          <w:sz w:val="32"/>
        </w:rPr>
        <w:t>to </w:t>
      </w:r>
      <w:r>
        <w:rPr>
          <w:color w:val="808080"/>
          <w:spacing w:val="13"/>
          <w:sz w:val="32"/>
        </w:rPr>
        <w:t>fly </w:t>
      </w:r>
      <w:r>
        <w:rPr>
          <w:color w:val="808080"/>
          <w:spacing w:val="14"/>
          <w:sz w:val="32"/>
        </w:rPr>
        <w:t>from </w:t>
      </w:r>
      <w:r>
        <w:rPr>
          <w:color w:val="808080"/>
          <w:spacing w:val="18"/>
          <w:sz w:val="32"/>
        </w:rPr>
        <w:t>California </w:t>
      </w:r>
      <w:r>
        <w:rPr>
          <w:color w:val="808080"/>
          <w:spacing w:val="9"/>
          <w:sz w:val="32"/>
        </w:rPr>
        <w:t>to </w:t>
      </w:r>
      <w:r>
        <w:rPr>
          <w:color w:val="808080"/>
          <w:spacing w:val="20"/>
          <w:sz w:val="32"/>
        </w:rPr>
        <w:t>Florida, </w:t>
      </w:r>
      <w:r>
        <w:rPr>
          <w:color w:val="808080"/>
          <w:spacing w:val="13"/>
          <w:sz w:val="32"/>
        </w:rPr>
        <w:t>and </w:t>
      </w:r>
      <w:r>
        <w:rPr>
          <w:color w:val="808080"/>
          <w:spacing w:val="14"/>
          <w:sz w:val="32"/>
        </w:rPr>
        <w:t>from </w:t>
      </w:r>
      <w:r>
        <w:rPr>
          <w:color w:val="808080"/>
          <w:spacing w:val="12"/>
          <w:sz w:val="32"/>
        </w:rPr>
        <w:t>the </w:t>
      </w:r>
      <w:r>
        <w:rPr>
          <w:color w:val="808080"/>
          <w:spacing w:val="16"/>
          <w:sz w:val="32"/>
        </w:rPr>
        <w:t>Canadian border  </w:t>
      </w:r>
      <w:r>
        <w:rPr>
          <w:color w:val="808080"/>
          <w:spacing w:val="9"/>
          <w:sz w:val="32"/>
        </w:rPr>
        <w:t>to  </w:t>
      </w:r>
      <w:r>
        <w:rPr>
          <w:color w:val="808080"/>
          <w:spacing w:val="12"/>
          <w:sz w:val="32"/>
        </w:rPr>
        <w:t>the  </w:t>
      </w:r>
      <w:r>
        <w:rPr>
          <w:color w:val="808080"/>
          <w:spacing w:val="15"/>
          <w:sz w:val="32"/>
        </w:rPr>
        <w:t>southern </w:t>
      </w:r>
      <w:r>
        <w:rPr>
          <w:color w:val="808080"/>
          <w:spacing w:val="13"/>
          <w:sz w:val="32"/>
        </w:rPr>
        <w:t>tip </w:t>
      </w:r>
      <w:r>
        <w:rPr>
          <w:color w:val="808080"/>
          <w:spacing w:val="10"/>
          <w:sz w:val="32"/>
        </w:rPr>
        <w:t>of </w:t>
      </w:r>
      <w:r>
        <w:rPr>
          <w:color w:val="808080"/>
          <w:spacing w:val="15"/>
          <w:sz w:val="32"/>
        </w:rPr>
        <w:t>Texas. The </w:t>
      </w:r>
      <w:r>
        <w:rPr>
          <w:color w:val="808080"/>
          <w:spacing w:val="16"/>
          <w:sz w:val="32"/>
        </w:rPr>
        <w:t>stories </w:t>
      </w:r>
      <w:r>
        <w:rPr>
          <w:color w:val="808080"/>
          <w:spacing w:val="10"/>
          <w:sz w:val="32"/>
        </w:rPr>
        <w:t>of </w:t>
      </w:r>
      <w:r>
        <w:rPr>
          <w:color w:val="808080"/>
          <w:spacing w:val="12"/>
          <w:sz w:val="32"/>
        </w:rPr>
        <w:t>what </w:t>
      </w:r>
      <w:r>
        <w:rPr>
          <w:color w:val="808080"/>
          <w:spacing w:val="15"/>
          <w:sz w:val="32"/>
        </w:rPr>
        <w:t>this newfound </w:t>
      </w:r>
      <w:r>
        <w:rPr>
          <w:color w:val="808080"/>
          <w:spacing w:val="16"/>
          <w:sz w:val="32"/>
        </w:rPr>
        <w:t>freedom </w:t>
      </w:r>
      <w:r>
        <w:rPr>
          <w:color w:val="808080"/>
          <w:spacing w:val="17"/>
          <w:sz w:val="32"/>
        </w:rPr>
        <w:t>accords </w:t>
      </w:r>
      <w:r>
        <w:rPr>
          <w:color w:val="808080"/>
          <w:spacing w:val="13"/>
          <w:sz w:val="32"/>
        </w:rPr>
        <w:t>our </w:t>
      </w:r>
      <w:r>
        <w:rPr>
          <w:color w:val="808080"/>
          <w:spacing w:val="15"/>
          <w:sz w:val="32"/>
        </w:rPr>
        <w:t>Customers </w:t>
      </w:r>
      <w:r>
        <w:rPr>
          <w:color w:val="808080"/>
          <w:spacing w:val="13"/>
          <w:sz w:val="32"/>
        </w:rPr>
        <w:t>are </w:t>
      </w:r>
      <w:r>
        <w:rPr>
          <w:color w:val="808080"/>
          <w:spacing w:val="12"/>
          <w:sz w:val="32"/>
        </w:rPr>
        <w:t>very </w:t>
      </w:r>
      <w:r>
        <w:rPr>
          <w:color w:val="808080"/>
          <w:spacing w:val="77"/>
          <w:sz w:val="32"/>
        </w:rPr>
        <w:t> </w:t>
      </w:r>
      <w:r>
        <w:rPr>
          <w:color w:val="808080"/>
          <w:spacing w:val="17"/>
          <w:sz w:val="32"/>
        </w:rPr>
        <w:t>heartwarming.</w:t>
      </w:r>
    </w:p>
    <w:p>
      <w:pPr>
        <w:pStyle w:val="BodyText"/>
        <w:spacing w:before="1"/>
        <w:rPr>
          <w:sz w:val="31"/>
        </w:rPr>
      </w:pPr>
    </w:p>
    <w:p>
      <w:pPr>
        <w:spacing w:before="0"/>
        <w:ind w:left="4780" w:right="0" w:firstLine="0"/>
        <w:jc w:val="left"/>
        <w:rPr>
          <w:sz w:val="32"/>
        </w:rPr>
      </w:pPr>
      <w:r>
        <w:rPr>
          <w:color w:val="808080"/>
          <w:sz w:val="32"/>
        </w:rPr>
        <w:t>Here are </w:t>
      </w:r>
      <w:r>
        <w:rPr>
          <w:i/>
          <w:color w:val="808080"/>
          <w:sz w:val="32"/>
        </w:rPr>
        <w:t>Six Stories of Freedom</w:t>
      </w:r>
      <w:r>
        <w:rPr>
          <w:color w:val="808080"/>
          <w:sz w:val="32"/>
        </w:rPr>
        <w:t>.</w:t>
      </w:r>
    </w:p>
    <w:p>
      <w:pPr>
        <w:pStyle w:val="BodyText"/>
        <w:rPr>
          <w:sz w:val="20"/>
        </w:rPr>
      </w:pPr>
    </w:p>
    <w:p>
      <w:pPr>
        <w:pStyle w:val="BodyText"/>
        <w:spacing w:before="2"/>
        <w:rPr>
          <w:sz w:val="22"/>
        </w:rPr>
      </w:pPr>
      <w:r>
        <w:rPr/>
        <w:pict>
          <v:line style="position:absolute;mso-position-horizontal-relative:page;mso-position-vertical-relative:paragraph;z-index:2104;mso-wrap-distance-left:0;mso-wrap-distance-right:0" from="72pt,15.087986pt" to="532.8pt,15.327986pt" stroked="true" strokeweight=".72pt" strokecolor="#000080">
            <v:stroke dashstyle="dot"/>
            <w10:wrap type="topAndBottom"/>
          </v:line>
        </w:pict>
      </w:r>
    </w:p>
    <w:p>
      <w:pPr>
        <w:pStyle w:val="BodyText"/>
        <w:spacing w:line="312" w:lineRule="auto" w:before="232"/>
        <w:ind w:left="120" w:right="113" w:firstLine="187"/>
        <w:jc w:val="both"/>
      </w:pPr>
      <w:r>
        <w:rPr/>
        <w:t>Southwest Airlines Co. is the nation’s low-fare, high customer satisfaction airline. </w:t>
      </w:r>
      <w:r>
        <w:rPr>
          <w:spacing w:val="6"/>
        </w:rPr>
        <w:t>We</w:t>
      </w:r>
      <w:r>
        <w:rPr>
          <w:spacing w:val="78"/>
        </w:rPr>
        <w:t> </w:t>
      </w:r>
      <w:r>
        <w:rPr/>
        <w:t>primarily serve shorthaul city pairs, providing single-class air transportation, which targets the business commuter as well as leisure travelers. </w:t>
      </w:r>
      <w:r>
        <w:rPr>
          <w:spacing w:val="2"/>
        </w:rPr>
        <w:t>The </w:t>
      </w:r>
      <w:r>
        <w:rPr/>
        <w:t>Company, incorporated in Texas, commenced Customer Service on June 18, 1971, with three Boeing 737 </w:t>
      </w:r>
      <w:r>
        <w:rPr>
          <w:spacing w:val="2"/>
        </w:rPr>
        <w:t>aircraft </w:t>
      </w:r>
      <w:r>
        <w:rPr/>
        <w:t>serving three Texas cities – Dallas, Houston, and </w:t>
      </w:r>
      <w:r>
        <w:rPr>
          <w:spacing w:val="-3"/>
        </w:rPr>
        <w:t>San </w:t>
      </w:r>
      <w:r>
        <w:rPr/>
        <w:t>Antonio. At yearend  1998, Southwest operated 280 Boeing 737 </w:t>
      </w:r>
      <w:r>
        <w:rPr>
          <w:spacing w:val="2"/>
        </w:rPr>
        <w:t>aircraft </w:t>
      </w:r>
      <w:r>
        <w:rPr/>
        <w:t>and provided service to 53 airports  in 26 states throughout the United </w:t>
      </w:r>
      <w:r>
        <w:rPr>
          <w:spacing w:val="-4"/>
        </w:rPr>
        <w:t>States. </w:t>
      </w:r>
      <w:r>
        <w:rPr/>
        <w:t>Southwest has the lowest operating cost structure in the domestic airline industry and consistently offers the lowest and simplest fares. Southwest also has one of the best overall Customer Service </w:t>
      </w:r>
      <w:r>
        <w:rPr>
          <w:spacing w:val="2"/>
        </w:rPr>
        <w:t>records. </w:t>
      </w:r>
      <w:r>
        <w:rPr/>
        <w:t>LUV is our stock exchange symbol, selected to </w:t>
      </w:r>
      <w:r>
        <w:rPr>
          <w:spacing w:val="2"/>
        </w:rPr>
        <w:t>represent </w:t>
      </w:r>
      <w:r>
        <w:rPr/>
        <w:t>our home at Dallas Love </w:t>
      </w:r>
      <w:r>
        <w:rPr>
          <w:spacing w:val="3"/>
        </w:rPr>
        <w:t>Field, </w:t>
      </w:r>
      <w:r>
        <w:rPr/>
        <w:t>as well  as the theme of our Employee and Customer</w:t>
      </w:r>
      <w:r>
        <w:rPr>
          <w:spacing w:val="-2"/>
        </w:rPr>
        <w:t> </w:t>
      </w:r>
      <w:r>
        <w:rPr/>
        <w:t>relationships.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before="219"/>
        <w:ind w:left="100"/>
      </w:pPr>
      <w:r>
        <w:rPr/>
        <w:t>To our Shareholders:</w:t>
      </w:r>
    </w:p>
    <w:p>
      <w:pPr>
        <w:pStyle w:val="BodyText"/>
        <w:spacing w:before="7"/>
        <w:rPr>
          <w:sz w:val="38"/>
        </w:rPr>
      </w:pPr>
    </w:p>
    <w:p>
      <w:pPr>
        <w:pStyle w:val="BodyText"/>
        <w:spacing w:line="312" w:lineRule="auto"/>
        <w:ind w:left="100" w:right="112" w:firstLine="187"/>
        <w:jc w:val="both"/>
      </w:pPr>
      <w:r>
        <w:rPr/>
        <w:t>1998 was Southwest Airlines’ 26th consecutive year of profitability. It was also Southwest Airlines’ 26th consecutive year of job security and bounteous Profitsharing  for our well-loved and loving People. Our philosophy of achieving low costs and low fares </w:t>
      </w:r>
      <w:r>
        <w:rPr>
          <w:spacing w:val="2"/>
        </w:rPr>
        <w:t>(through </w:t>
      </w:r>
      <w:r>
        <w:rPr/>
        <w:t>high productivity) and maintaining high spirits </w:t>
      </w:r>
      <w:r>
        <w:rPr>
          <w:spacing w:val="2"/>
        </w:rPr>
        <w:t>(through </w:t>
      </w:r>
      <w:r>
        <w:rPr/>
        <w:t>affection and </w:t>
      </w:r>
      <w:r>
        <w:rPr>
          <w:spacing w:val="2"/>
        </w:rPr>
        <w:t>respect </w:t>
      </w:r>
      <w:r>
        <w:rPr/>
        <w:t>for each other) has proved rewarding for our Employees, our Shareholders,  and our Customers, for whom Southwest remains, truly, “A Symbol Of</w:t>
      </w:r>
      <w:r>
        <w:rPr>
          <w:spacing w:val="-31"/>
        </w:rPr>
        <w:t> </w:t>
      </w:r>
      <w:r>
        <w:rPr/>
        <w:t>Freedom.”</w:t>
      </w:r>
    </w:p>
    <w:p>
      <w:pPr>
        <w:pStyle w:val="BodyText"/>
        <w:spacing w:before="6"/>
        <w:rPr>
          <w:sz w:val="31"/>
        </w:rPr>
      </w:pPr>
    </w:p>
    <w:p>
      <w:pPr>
        <w:pStyle w:val="BodyText"/>
        <w:spacing w:line="312" w:lineRule="auto" w:before="1"/>
        <w:ind w:left="100" w:right="118" w:firstLine="187"/>
        <w:jc w:val="both"/>
      </w:pPr>
      <w:r>
        <w:rPr/>
        <w:t>Our 1998 earnings of $433.4 million (diluted net income per share of $1.23) exceeded the $317.8 million of 1997 (diluted net income per share  of $.93) by 36.4 percent. At  this early juncture in 1999, our load factor, Customer bookings, and unit </w:t>
      </w:r>
      <w:r>
        <w:rPr>
          <w:spacing w:val="2"/>
        </w:rPr>
        <w:t>revenue </w:t>
      </w:r>
      <w:r>
        <w:rPr/>
        <w:t>trends are relatively strong. As a consequence, our preliminary assessment of first quarter 1999 earnings prospects is quite optimistic, barring any serious and precipitous downturn in the U.S. economy or other, uncontrollable adverse</w:t>
      </w:r>
      <w:r>
        <w:rPr>
          <w:spacing w:val="6"/>
        </w:rPr>
        <w:t> </w:t>
      </w:r>
      <w:r>
        <w:rPr/>
        <w:t>occurrences.</w:t>
      </w:r>
    </w:p>
    <w:p>
      <w:pPr>
        <w:pStyle w:val="BodyText"/>
        <w:spacing w:before="7"/>
        <w:rPr>
          <w:sz w:val="31"/>
        </w:rPr>
      </w:pPr>
    </w:p>
    <w:p>
      <w:pPr>
        <w:pStyle w:val="BodyText"/>
        <w:spacing w:line="312" w:lineRule="auto"/>
        <w:ind w:left="100" w:right="119" w:firstLine="187"/>
        <w:jc w:val="both"/>
      </w:pPr>
      <w:r>
        <w:rPr/>
        <w:t>We anticipate delivery of 32 New Generation Boeing 737-700s during 1999 and the retirement of six older generation 737-200s. Our 1999 net increment in available seat mile capacity is presently expected to be in the 11 to 12 percent range, although, at this writing, we are also actively pursuing the acquisition of several used 737-300s.</w:t>
      </w:r>
    </w:p>
    <w:p>
      <w:pPr>
        <w:pStyle w:val="BodyText"/>
        <w:spacing w:before="6"/>
        <w:rPr>
          <w:sz w:val="31"/>
        </w:rPr>
      </w:pPr>
    </w:p>
    <w:p>
      <w:pPr>
        <w:pStyle w:val="BodyText"/>
        <w:spacing w:line="312" w:lineRule="auto" w:before="1"/>
        <w:ind w:left="100" w:right="117" w:firstLine="187"/>
        <w:jc w:val="both"/>
      </w:pPr>
      <w:r>
        <w:rPr/>
        <w:t>Manchester, New Hampshire, is our newest city and a very proud, productive, and profitable addition to our route system. We thank the people of Providence, of Manchester, and of all New England for their enthusiastic reception and very strong continuing support of Southwest Airlines service.</w:t>
      </w:r>
    </w:p>
    <w:p>
      <w:pPr>
        <w:pStyle w:val="BodyText"/>
        <w:spacing w:before="7"/>
        <w:rPr>
          <w:sz w:val="31"/>
        </w:rPr>
      </w:pPr>
    </w:p>
    <w:p>
      <w:pPr>
        <w:pStyle w:val="BodyText"/>
        <w:spacing w:line="312" w:lineRule="auto"/>
        <w:ind w:left="100" w:right="112" w:firstLine="187"/>
        <w:jc w:val="both"/>
      </w:pPr>
      <w:r>
        <w:rPr/>
        <w:t>On March 14, 1999, </w:t>
      </w:r>
      <w:r>
        <w:rPr>
          <w:spacing w:val="-3"/>
        </w:rPr>
        <w:t>we </w:t>
      </w:r>
      <w:r>
        <w:rPr/>
        <w:t>will commence serving MacArthur Airport in Islip, Long Island. </w:t>
      </w:r>
      <w:r>
        <w:rPr>
          <w:spacing w:val="3"/>
        </w:rPr>
        <w:t>Thanks </w:t>
      </w:r>
      <w:r>
        <w:rPr/>
        <w:t>to the foresight and vision of the members of the Islip Town Council and Supervisor </w:t>
      </w:r>
      <w:r>
        <w:rPr>
          <w:spacing w:val="-3"/>
        </w:rPr>
        <w:t>Pete </w:t>
      </w:r>
      <w:r>
        <w:rPr/>
        <w:t>McGowan, the MacArthur Airport facilities have been expanded and remodeled to accommodate Southwest’s introduction of service to the </w:t>
      </w:r>
      <w:r>
        <w:rPr>
          <w:spacing w:val="-4"/>
        </w:rPr>
        <w:t>State </w:t>
      </w:r>
      <w:r>
        <w:rPr/>
        <w:t>of New </w:t>
      </w:r>
      <w:r>
        <w:rPr>
          <w:spacing w:val="-4"/>
        </w:rPr>
        <w:t>York.  </w:t>
      </w:r>
      <w:r>
        <w:rPr>
          <w:spacing w:val="6"/>
        </w:rPr>
        <w:t>We </w:t>
      </w:r>
      <w:r>
        <w:rPr/>
        <w:t>will begin that service with eight nonstop trips to Baltimore/Washington; two  to Chicago (Midway); one to Nashville; one to Tampa </w:t>
      </w:r>
      <w:r>
        <w:rPr>
          <w:spacing w:val="-3"/>
        </w:rPr>
        <w:t>Bay; </w:t>
      </w:r>
      <w:r>
        <w:rPr/>
        <w:t>and through</w:t>
      </w:r>
      <w:r>
        <w:rPr>
          <w:spacing w:val="26"/>
        </w:rPr>
        <w:t> </w:t>
      </w:r>
      <w:r>
        <w:rPr/>
        <w:t>and</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00"/>
      </w:pPr>
      <w:r>
        <w:rPr/>
        <w:t>connecting service beyond those cities to numerous other Southwest Airlines destinations.</w:t>
      </w:r>
    </w:p>
    <w:p>
      <w:pPr>
        <w:pStyle w:val="BodyText"/>
        <w:spacing w:before="7"/>
        <w:rPr>
          <w:sz w:val="31"/>
        </w:rPr>
      </w:pPr>
    </w:p>
    <w:p>
      <w:pPr>
        <w:pStyle w:val="BodyText"/>
        <w:ind w:left="287"/>
      </w:pPr>
      <w:r>
        <w:rPr/>
        <w:t>We also plan to begin serving at least one other new city in 1999.</w:t>
      </w:r>
    </w:p>
    <w:p>
      <w:pPr>
        <w:pStyle w:val="BodyText"/>
        <w:spacing w:before="6"/>
        <w:rPr>
          <w:sz w:val="38"/>
        </w:rPr>
      </w:pPr>
    </w:p>
    <w:p>
      <w:pPr>
        <w:pStyle w:val="BodyText"/>
        <w:spacing w:line="312" w:lineRule="auto"/>
        <w:ind w:left="100" w:right="117" w:firstLine="182"/>
        <w:jc w:val="both"/>
      </w:pPr>
      <w:r>
        <w:rPr/>
        <w:t>Over a span approaching three decades, our People have overcome the potentially devastating effects of fierce competition; debilitating recessions; and precipitous jet fuel price spikes. They have weathered each adversity because they are truly People for all seasons, bad seasons as well as good and threatening seasons as well as tranquil. They are, in short, great People pursuing a great cause — they are crusaders bringing to ever increasing numbers of Americans the freedom to fly. I applaud their versatility, their strength, their focus, their dedication, and their energy — they are, indeed, incredibly special in mind, heart, and spirit!</w:t>
      </w:r>
    </w:p>
    <w:p>
      <w:pPr>
        <w:pStyle w:val="BodyText"/>
        <w:spacing w:before="6"/>
        <w:rPr>
          <w:sz w:val="31"/>
        </w:rPr>
      </w:pPr>
    </w:p>
    <w:p>
      <w:pPr>
        <w:pStyle w:val="BodyText"/>
        <w:spacing w:line="312" w:lineRule="auto"/>
        <w:ind w:left="100" w:right="7099"/>
      </w:pPr>
      <w:r>
        <w:rPr/>
        <w:t>Most sincerely, Herbert D. Kelleher</w:t>
      </w:r>
    </w:p>
    <w:p>
      <w:pPr>
        <w:pStyle w:val="BodyText"/>
        <w:spacing w:line="312" w:lineRule="auto" w:before="3"/>
        <w:ind w:left="100" w:right="3310"/>
      </w:pPr>
      <w:r>
        <w:rPr/>
        <w:t>Chairman, President, and Chief Executive Officer February 1, 1998</w:t>
      </w:r>
    </w:p>
    <w:p>
      <w:pPr>
        <w:spacing w:after="0" w:line="312" w:lineRule="auto"/>
        <w:sectPr>
          <w:pgSz w:w="12240" w:h="15840"/>
          <w:pgMar w:header="1448" w:footer="344" w:top="1700" w:bottom="540" w:left="1340" w:right="1320"/>
        </w:sectPr>
      </w:pPr>
    </w:p>
    <w:p>
      <w:pPr>
        <w:pStyle w:val="BodyText"/>
        <w:spacing w:before="8"/>
        <w:rPr>
          <w:sz w:val="22"/>
        </w:rPr>
      </w:pPr>
    </w:p>
    <w:p>
      <w:pPr>
        <w:spacing w:line="232" w:lineRule="auto" w:before="97"/>
        <w:ind w:left="119" w:right="256" w:firstLine="187"/>
        <w:jc w:val="both"/>
        <w:rPr>
          <w:sz w:val="32"/>
        </w:rPr>
      </w:pPr>
      <w:r>
        <w:rPr>
          <w:color w:val="808080"/>
          <w:sz w:val="40"/>
        </w:rPr>
        <w:t>“We, the People of Southwest Airlines, give our Customers the freedom to fly</w:t>
      </w:r>
      <w:r>
        <w:rPr>
          <w:color w:val="808080"/>
          <w:sz w:val="32"/>
        </w:rPr>
        <w:t>. Every  Customer is entitled to three simple rights: Low fares, lots of flights, and the friendliest service in the sky.”</w:t>
      </w:r>
    </w:p>
    <w:p>
      <w:pPr>
        <w:pStyle w:val="BodyText"/>
        <w:spacing w:before="88"/>
        <w:ind w:left="302" w:firstLine="3921"/>
      </w:pPr>
      <w:r>
        <w:rPr/>
        <w:pict>
          <v:line style="position:absolute;mso-position-horizontal-relative:page;mso-position-vertical-relative:paragraph;z-index:2128;mso-wrap-distance-left:0;mso-wrap-distance-right:0" from="79.199997pt,24.775867pt" to="547.199997pt,24.775867pt" stroked="true" strokeweight=".72pt" strokecolor="#000080">
            <v:stroke dashstyle="dot"/>
            <w10:wrap type="topAndBottom"/>
          </v:line>
        </w:pict>
      </w:r>
      <w:r>
        <w:rPr>
          <w:color w:val="808080"/>
        </w:rPr>
        <w:t>— Elizabeth P. Sartain, Vice President — People</w:t>
      </w:r>
    </w:p>
    <w:p>
      <w:pPr>
        <w:pStyle w:val="BodyText"/>
      </w:pPr>
    </w:p>
    <w:p>
      <w:pPr>
        <w:pStyle w:val="BodyText"/>
        <w:spacing w:line="312" w:lineRule="auto"/>
        <w:ind w:left="119" w:right="259" w:firstLine="182"/>
        <w:jc w:val="both"/>
      </w:pPr>
      <w:r>
        <w:rPr/>
        <w:t>Southwest Airlines stands for freedom and </w:t>
      </w:r>
      <w:r>
        <w:rPr>
          <w:spacing w:val="-3"/>
        </w:rPr>
        <w:t>we </w:t>
      </w:r>
      <w:r>
        <w:rPr/>
        <w:t>are committed to providing our Customers something different in the airline industry: everyday low fares and superior Customer Service. </w:t>
      </w:r>
      <w:r>
        <w:rPr>
          <w:spacing w:val="3"/>
        </w:rPr>
        <w:t>That </w:t>
      </w:r>
      <w:r>
        <w:rPr/>
        <w:t>philosophy served us well again in 1998, as </w:t>
      </w:r>
      <w:r>
        <w:rPr>
          <w:spacing w:val="-3"/>
        </w:rPr>
        <w:t>we </w:t>
      </w:r>
      <w:r>
        <w:rPr>
          <w:spacing w:val="2"/>
        </w:rPr>
        <w:t>recorded </w:t>
      </w:r>
      <w:r>
        <w:rPr/>
        <w:t>our 26th consecutive year of profitability and our seventh consecutive </w:t>
      </w:r>
      <w:r>
        <w:rPr>
          <w:spacing w:val="2"/>
        </w:rPr>
        <w:t>record </w:t>
      </w:r>
      <w:r>
        <w:rPr/>
        <w:t>profit.  Earnings for 1998 were up 36 percent with a net profit margin of 10.4 percent and   </w:t>
      </w:r>
      <w:r>
        <w:rPr>
          <w:spacing w:val="2"/>
        </w:rPr>
        <w:t>return </w:t>
      </w:r>
      <w:r>
        <w:rPr/>
        <w:t>on equity of 19.7 percent. </w:t>
      </w:r>
      <w:r>
        <w:rPr>
          <w:spacing w:val="3"/>
        </w:rPr>
        <w:t>This </w:t>
      </w:r>
      <w:r>
        <w:rPr/>
        <w:t>kind of financial performance is tops in our industry, as is our Customer Service. </w:t>
      </w:r>
      <w:r>
        <w:rPr>
          <w:spacing w:val="-3"/>
        </w:rPr>
        <w:t>Very </w:t>
      </w:r>
      <w:r>
        <w:rPr/>
        <w:t>different for an airline. </w:t>
      </w:r>
      <w:r>
        <w:rPr>
          <w:spacing w:val="-3"/>
        </w:rPr>
        <w:t>But </w:t>
      </w:r>
      <w:r>
        <w:rPr/>
        <w:t>then </w:t>
      </w:r>
      <w:r>
        <w:rPr>
          <w:spacing w:val="-3"/>
        </w:rPr>
        <w:t>we </w:t>
      </w:r>
      <w:r>
        <w:rPr/>
        <w:t>are very different.</w:t>
      </w:r>
    </w:p>
    <w:p>
      <w:pPr>
        <w:pStyle w:val="BodyText"/>
        <w:spacing w:before="7"/>
        <w:rPr>
          <w:sz w:val="31"/>
        </w:rPr>
      </w:pPr>
    </w:p>
    <w:p>
      <w:pPr>
        <w:pStyle w:val="BodyText"/>
        <w:spacing w:line="312" w:lineRule="auto"/>
        <w:ind w:left="119" w:right="257" w:firstLine="187"/>
        <w:jc w:val="both"/>
      </w:pPr>
      <w:r>
        <w:rPr/>
        <w:t>Our operating strategy is unique in the U.S. airline industry. While the rest of the industry has matured, our niche remains a growth market for Southwest. We are a low- fare, high-frequency, point-to-point, shorthaul air carrier. Our operation is efficiently designed to maximize productivity, which reduces costs and maintains our high quality service. We are the low-cost producer in the U.S. airline industry, and that allows us to profitably deliver on our philosophy of everyday low fares.</w:t>
      </w:r>
    </w:p>
    <w:p>
      <w:pPr>
        <w:pStyle w:val="BodyText"/>
        <w:spacing w:before="7"/>
        <w:rPr>
          <w:sz w:val="31"/>
        </w:rPr>
      </w:pPr>
    </w:p>
    <w:p>
      <w:pPr>
        <w:pStyle w:val="BodyText"/>
        <w:spacing w:line="312" w:lineRule="auto"/>
        <w:ind w:left="119" w:right="251" w:firstLine="187"/>
        <w:jc w:val="both"/>
      </w:pPr>
      <w:r>
        <w:rPr/>
        <w:t>Low cost doesn’t mean less service or low wages. Although </w:t>
      </w:r>
      <w:r>
        <w:rPr>
          <w:spacing w:val="-3"/>
        </w:rPr>
        <w:t>we </w:t>
      </w:r>
      <w:r>
        <w:rPr/>
        <w:t>offer competitive compensation packages, it is our rich Culture and dedicated People that make Southwest Airlines such a special place. </w:t>
      </w:r>
      <w:r>
        <w:rPr>
          <w:spacing w:val="2"/>
        </w:rPr>
        <w:t>For </w:t>
      </w:r>
      <w:r>
        <w:rPr/>
        <w:t>the second year in a row, Fortune magazine has named Southwest Airlines one of the best companies to work for in America, a testament to the outstanding People and relationships in our Company. </w:t>
      </w:r>
      <w:r>
        <w:rPr>
          <w:spacing w:val="3"/>
        </w:rPr>
        <w:t>Fortune </w:t>
      </w:r>
      <w:r>
        <w:rPr/>
        <w:t>also recognized Southwest as America’s most admired airline and one of America’s most admired corporations. </w:t>
      </w:r>
      <w:r>
        <w:rPr>
          <w:spacing w:val="3"/>
        </w:rPr>
        <w:t>Finally, </w:t>
      </w:r>
      <w:r>
        <w:rPr/>
        <w:t>Southwest has been recognized as one of the world’s safest</w:t>
      </w:r>
      <w:r>
        <w:rPr>
          <w:spacing w:val="15"/>
        </w:rPr>
        <w:t> </w:t>
      </w:r>
      <w:r>
        <w:rPr/>
        <w:t>airlines.</w:t>
      </w:r>
    </w:p>
    <w:p>
      <w:pPr>
        <w:spacing w:after="0" w:line="312" w:lineRule="auto"/>
        <w:jc w:val="both"/>
        <w:sectPr>
          <w:pgSz w:w="12240" w:h="15840"/>
          <w:pgMar w:header="1448" w:footer="344" w:top="1700" w:bottom="540" w:left="1320" w:right="1180"/>
        </w:sectPr>
      </w:pPr>
    </w:p>
    <w:p>
      <w:pPr>
        <w:pStyle w:val="BodyText"/>
        <w:rPr>
          <w:sz w:val="20"/>
        </w:rPr>
      </w:pPr>
    </w:p>
    <w:p>
      <w:pPr>
        <w:pStyle w:val="BodyText"/>
        <w:spacing w:line="312" w:lineRule="auto" w:before="219"/>
        <w:ind w:left="119" w:right="113" w:firstLine="182"/>
        <w:jc w:val="both"/>
      </w:pPr>
      <w:r>
        <w:rPr/>
        <w:t>Low cost doesn’t mean low quality. </w:t>
      </w:r>
      <w:r>
        <w:rPr>
          <w:spacing w:val="2"/>
        </w:rPr>
        <w:t>For </w:t>
      </w:r>
      <w:r>
        <w:rPr/>
        <w:t>the third year in a row, Southwest was ranked number one in the National Airline Quality Rating </w:t>
      </w:r>
      <w:r>
        <w:rPr>
          <w:spacing w:val="-4"/>
        </w:rPr>
        <w:t>Study, </w:t>
      </w:r>
      <w:r>
        <w:rPr/>
        <w:t>conducted annually by the </w:t>
      </w:r>
      <w:r>
        <w:rPr>
          <w:spacing w:val="6"/>
        </w:rPr>
        <w:t>W. </w:t>
      </w:r>
      <w:r>
        <w:rPr>
          <w:spacing w:val="3"/>
        </w:rPr>
        <w:t>Frank </w:t>
      </w:r>
      <w:r>
        <w:rPr>
          <w:spacing w:val="-4"/>
        </w:rPr>
        <w:t>Barton </w:t>
      </w:r>
      <w:r>
        <w:rPr/>
        <w:t>School of Business at </w:t>
      </w:r>
      <w:r>
        <w:rPr>
          <w:spacing w:val="3"/>
        </w:rPr>
        <w:t>Wichita </w:t>
      </w:r>
      <w:r>
        <w:rPr>
          <w:spacing w:val="-4"/>
        </w:rPr>
        <w:t>State </w:t>
      </w:r>
      <w:r>
        <w:rPr/>
        <w:t>University and the University of Nebraska at Omaha. </w:t>
      </w:r>
      <w:r>
        <w:rPr>
          <w:spacing w:val="2"/>
        </w:rPr>
        <w:t>The </w:t>
      </w:r>
      <w:r>
        <w:rPr/>
        <w:t>ranking includes 19 separate criteria, including ontime performance, safety, baggage handling, Customer Service, and financial stability. </w:t>
      </w:r>
      <w:r>
        <w:rPr>
          <w:spacing w:val="6"/>
        </w:rPr>
        <w:t>We</w:t>
      </w:r>
      <w:r>
        <w:rPr>
          <w:spacing w:val="78"/>
        </w:rPr>
        <w:t> </w:t>
      </w:r>
      <w:r>
        <w:rPr/>
        <w:t>also have the best Customer Satisfaction ranking of any </w:t>
      </w:r>
      <w:r>
        <w:rPr>
          <w:spacing w:val="-3"/>
        </w:rPr>
        <w:t>major </w:t>
      </w:r>
      <w:r>
        <w:rPr/>
        <w:t>U.S. airline, based on statistics published by the U.S. Department of </w:t>
      </w:r>
      <w:r>
        <w:rPr>
          <w:spacing w:val="3"/>
        </w:rPr>
        <w:t>Transportation, </w:t>
      </w:r>
      <w:r>
        <w:rPr/>
        <w:t>for the eighth year in a row.</w:t>
      </w:r>
    </w:p>
    <w:p>
      <w:pPr>
        <w:pStyle w:val="BodyText"/>
        <w:spacing w:before="10"/>
        <w:rPr>
          <w:sz w:val="20"/>
        </w:rPr>
      </w:pPr>
      <w:r>
        <w:rPr/>
        <w:pict>
          <v:group style="position:absolute;margin-left:71.875pt;margin-top:13.957969pt;width:288.05pt;height:168.25pt;mso-position-horizontal-relative:page;mso-position-vertical-relative:paragraph;z-index:2464;mso-wrap-distance-left:0;mso-wrap-distance-right:0" coordorigin="1438,279" coordsize="5761,3365">
            <v:rect style="position:absolute;left:2458;top:1069;width:384;height:2098" filled="true" fillcolor="#dfffdf" stroked="false">
              <v:fill type="solid"/>
            </v:rect>
            <v:rect style="position:absolute;left:2458;top:1069;width:384;height:2098" filled="false" stroked="true" strokeweight=".48pt" strokecolor="#000000">
              <v:stroke dashstyle="solid"/>
            </v:rect>
            <v:rect style="position:absolute;left:3422;top:1102;width:389;height:2064" filled="true" fillcolor="#dfffdf" stroked="false">
              <v:fill type="solid"/>
            </v:rect>
            <v:rect style="position:absolute;left:3422;top:1102;width:389;height:2064" filled="false" stroked="true" strokeweight=".48pt" strokecolor="#000000">
              <v:stroke dashstyle="solid"/>
            </v:rect>
            <v:rect style="position:absolute;left:4392;top:987;width:389;height:2179" filled="true" fillcolor="#dfffdf" stroked="false">
              <v:fill type="solid"/>
            </v:rect>
            <v:rect style="position:absolute;left:4392;top:987;width:389;height:2179" filled="false" stroked="true" strokeweight=".48pt" strokecolor="#000000">
              <v:stroke dashstyle="solid"/>
            </v:rect>
            <v:rect style="position:absolute;left:5376;top:930;width:389;height:2237" filled="true" fillcolor="#dfffdf" stroked="false">
              <v:fill type="solid"/>
            </v:rect>
            <v:rect style="position:absolute;left:5376;top:930;width:389;height:2237" filled="false" stroked="true" strokeweight=".48pt" strokecolor="#000000">
              <v:stroke dashstyle="solid"/>
            </v:rect>
            <v:rect style="position:absolute;left:6346;top:886;width:389;height:2280" filled="true" fillcolor="#dfffdf" stroked="false">
              <v:fill type="solid"/>
            </v:rect>
            <v:rect style="position:absolute;left:6346;top:886;width:389;height:2280" filled="false" stroked="true" strokeweight=".48pt" strokecolor="#000000">
              <v:stroke dashstyle="solid"/>
            </v:rect>
            <v:line style="position:absolute" from="2170,565" to="2170,3166" stroked="true" strokeweight=".24pt" strokecolor="#000000">
              <v:stroke dashstyle="solid"/>
            </v:line>
            <v:line style="position:absolute" from="2136,3166" to="2203,3166" stroked="true" strokeweight=".24pt" strokecolor="#000000">
              <v:stroke dashstyle="solid"/>
            </v:line>
            <v:line style="position:absolute" from="2136,1866" to="2203,1866" stroked="true" strokeweight=".24pt" strokecolor="#000000">
              <v:stroke dashstyle="solid"/>
            </v:line>
            <v:line style="position:absolute" from="2136,565" to="2203,565" stroked="true" strokeweight=".24pt" strokecolor="#000000">
              <v:stroke dashstyle="solid"/>
            </v:line>
            <v:line style="position:absolute" from="2170,3166" to="7027,3166" stroked="true" strokeweight=".24pt" strokecolor="#000000">
              <v:stroke dashstyle="solid"/>
            </v:line>
            <v:line style="position:absolute" from="2170,3200" to="2170,3133" stroked="true" strokeweight=".24pt" strokecolor="#000000">
              <v:stroke dashstyle="solid"/>
            </v:line>
            <v:line style="position:absolute" from="3139,3200" to="3139,3133" stroked="true" strokeweight=".24pt" strokecolor="#000000">
              <v:stroke dashstyle="solid"/>
            </v:line>
            <v:line style="position:absolute" from="4109,3200" to="4109,3133" stroked="true" strokeweight=".24pt" strokecolor="#000000">
              <v:stroke dashstyle="solid"/>
            </v:line>
            <v:line style="position:absolute" from="5088,3200" to="5088,3133" stroked="true" strokeweight=".24pt" strokecolor="#000000">
              <v:stroke dashstyle="solid"/>
            </v:line>
            <v:line style="position:absolute" from="6058,3200" to="605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872;top:490;width:226;height:141" type="#_x0000_t202" filled="false" stroked="false">
              <v:textbox inset="0,0,0,0">
                <w:txbxContent>
                  <w:p>
                    <w:pPr>
                      <w:spacing w:before="1"/>
                      <w:ind w:left="0" w:right="0" w:firstLine="0"/>
                      <w:jc w:val="left"/>
                      <w:rPr>
                        <w:b/>
                        <w:sz w:val="12"/>
                      </w:rPr>
                    </w:pPr>
                    <w:r>
                      <w:rPr>
                        <w:b/>
                        <w:color w:val="FF0000"/>
                        <w:w w:val="105"/>
                        <w:sz w:val="12"/>
                      </w:rPr>
                      <w:t>10¢</w:t>
                    </w:r>
                  </w:p>
                </w:txbxContent>
              </v:textbox>
              <w10:wrap type="none"/>
            </v:shape>
            <v:shape style="position:absolute;left:6389;top:658;width:327;height:141" type="#_x0000_t202" filled="false" stroked="false">
              <v:textbox inset="0,0,0,0">
                <w:txbxContent>
                  <w:p>
                    <w:pPr>
                      <w:spacing w:before="1"/>
                      <w:ind w:left="0" w:right="0" w:firstLine="0"/>
                      <w:jc w:val="left"/>
                      <w:rPr>
                        <w:b/>
                        <w:sz w:val="12"/>
                      </w:rPr>
                    </w:pPr>
                    <w:r>
                      <w:rPr>
                        <w:b/>
                        <w:w w:val="105"/>
                        <w:sz w:val="12"/>
                      </w:rPr>
                      <w:t>8.76¢</w:t>
                    </w:r>
                  </w:p>
                </w:txbxContent>
              </v:textbox>
              <w10:wrap type="none"/>
            </v:shape>
            <v:shape style="position:absolute;left:2491;top:840;width:327;height:141" type="#_x0000_t202" filled="false" stroked="false">
              <v:textbox inset="0,0,0,0">
                <w:txbxContent>
                  <w:p>
                    <w:pPr>
                      <w:spacing w:before="1"/>
                      <w:ind w:left="0" w:right="0" w:firstLine="0"/>
                      <w:jc w:val="left"/>
                      <w:rPr>
                        <w:b/>
                        <w:sz w:val="12"/>
                      </w:rPr>
                    </w:pPr>
                    <w:r>
                      <w:rPr>
                        <w:b/>
                        <w:w w:val="105"/>
                        <w:sz w:val="12"/>
                      </w:rPr>
                      <w:t>8.07¢</w:t>
                    </w:r>
                  </w:p>
                </w:txbxContent>
              </v:textbox>
              <w10:wrap type="none"/>
            </v:shape>
            <v:shape style="position:absolute;left:4430;top:763;width:322;height:141" type="#_x0000_t202" filled="false" stroked="false">
              <v:textbox inset="0,0,0,0">
                <w:txbxContent>
                  <w:p>
                    <w:pPr>
                      <w:spacing w:before="1"/>
                      <w:ind w:left="0" w:right="0" w:firstLine="0"/>
                      <w:jc w:val="left"/>
                      <w:rPr>
                        <w:b/>
                        <w:sz w:val="12"/>
                      </w:rPr>
                    </w:pPr>
                    <w:r>
                      <w:rPr>
                        <w:b/>
                        <w:w w:val="105"/>
                        <w:sz w:val="12"/>
                      </w:rPr>
                      <w:t>8.36¢</w:t>
                    </w:r>
                  </w:p>
                </w:txbxContent>
              </v:textbox>
              <w10:wrap type="none"/>
            </v:shape>
            <v:shape style="position:absolute;left:5410;top:706;width:327;height:141" type="#_x0000_t202" filled="false" stroked="false">
              <v:textbox inset="0,0,0,0">
                <w:txbxContent>
                  <w:p>
                    <w:pPr>
                      <w:spacing w:before="1"/>
                      <w:ind w:left="0" w:right="0" w:firstLine="0"/>
                      <w:jc w:val="left"/>
                      <w:rPr>
                        <w:b/>
                        <w:sz w:val="12"/>
                      </w:rPr>
                    </w:pPr>
                    <w:r>
                      <w:rPr>
                        <w:b/>
                        <w:w w:val="105"/>
                        <w:sz w:val="12"/>
                      </w:rPr>
                      <w:t>8.58¢</w:t>
                    </w:r>
                  </w:p>
                </w:txbxContent>
              </v:textbox>
              <w10:wrap type="none"/>
            </v:shape>
            <v:shape style="position:absolute;left:3470;top:878;width:327;height:141" type="#_x0000_t202" filled="false" stroked="false">
              <v:textbox inset="0,0,0,0">
                <w:txbxContent>
                  <w:p>
                    <w:pPr>
                      <w:spacing w:before="1"/>
                      <w:ind w:left="0" w:right="0" w:firstLine="0"/>
                      <w:jc w:val="left"/>
                      <w:rPr>
                        <w:b/>
                        <w:sz w:val="12"/>
                      </w:rPr>
                    </w:pPr>
                    <w:r>
                      <w:rPr>
                        <w:b/>
                        <w:w w:val="105"/>
                        <w:sz w:val="12"/>
                      </w:rPr>
                      <w:t>7.94¢</w:t>
                    </w:r>
                  </w:p>
                </w:txbxContent>
              </v:textbox>
              <w10:wrap type="none"/>
            </v:shape>
            <v:shape style="position:absolute;left:1944;top:1790;width:154;height:141" type="#_x0000_t202" filled="false" stroked="false">
              <v:textbox inset="0,0,0,0">
                <w:txbxContent>
                  <w:p>
                    <w:pPr>
                      <w:spacing w:before="1"/>
                      <w:ind w:left="0" w:right="0" w:firstLine="0"/>
                      <w:jc w:val="left"/>
                      <w:rPr>
                        <w:b/>
                        <w:sz w:val="12"/>
                      </w:rPr>
                    </w:pPr>
                    <w:r>
                      <w:rPr>
                        <w:b/>
                        <w:color w:val="FF0000"/>
                        <w:w w:val="105"/>
                        <w:sz w:val="12"/>
                      </w:rPr>
                      <w:t>5¢</w:t>
                    </w:r>
                  </w:p>
                </w:txbxContent>
              </v:textbox>
              <w10:wrap type="none"/>
            </v:shape>
            <v:shape style="position:absolute;left:1944;top:3091;width:154;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592;top:3274;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62;top:3274;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531;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501;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50"/>
        <w:ind w:left="119"/>
      </w:pPr>
      <w:r>
        <w:rPr>
          <w:color w:val="000080"/>
        </w:rPr>
        <w:t>Operating Revenues Per Available Seat Mile</w:t>
      </w:r>
    </w:p>
    <w:p>
      <w:pPr>
        <w:pStyle w:val="BodyText"/>
        <w:spacing w:before="2"/>
        <w:rPr>
          <w:b/>
          <w:sz w:val="28"/>
        </w:rPr>
      </w:pPr>
      <w:r>
        <w:rPr/>
        <w:pict>
          <v:group style="position:absolute;margin-left:71.875pt;margin-top:18.182913pt;width:288.05pt;height:168.25pt;mso-position-horizontal-relative:page;mso-position-vertical-relative:paragraph;z-index:2800;mso-wrap-distance-left:0;mso-wrap-distance-right:0" coordorigin="1438,364" coordsize="5761,3365">
            <v:rect style="position:absolute;left:2227;top:1417;width:413;height:1834" filled="true" fillcolor="#dfffdf" stroked="false">
              <v:fill type="solid"/>
            </v:rect>
            <v:rect style="position:absolute;left:2227;top:1417;width:413;height:1834" filled="false" stroked="true" strokeweight=".48pt" strokecolor="#000000">
              <v:stroke dashstyle="solid"/>
            </v:rect>
            <v:rect style="position:absolute;left:3240;top:1417;width:413;height:1834" filled="true" fillcolor="#dfffdf" stroked="false">
              <v:fill type="solid"/>
            </v:rect>
            <v:rect style="position:absolute;left:3240;top:1417;width:413;height:1834" filled="false" stroked="true" strokeweight=".48pt" strokecolor="#000000">
              <v:stroke dashstyle="solid"/>
            </v:rect>
            <v:rect style="position:absolute;left:4267;top:1302;width:413;height:1949" filled="true" fillcolor="#dfffdf" stroked="false">
              <v:fill type="solid"/>
            </v:rect>
            <v:rect style="position:absolute;left:4267;top:1302;width:413;height:1949" filled="false" stroked="true" strokeweight=".48pt" strokecolor="#000000">
              <v:stroke dashstyle="solid"/>
            </v:rect>
            <v:rect style="position:absolute;left:5285;top:1326;width:408;height:1925" filled="true" fillcolor="#dfffdf" stroked="false">
              <v:fill type="solid"/>
            </v:rect>
            <v:rect style="position:absolute;left:5285;top:1326;width:408;height:1925" filled="false" stroked="true" strokeweight=".48pt" strokecolor="#000000">
              <v:stroke dashstyle="solid"/>
            </v:rect>
            <v:rect style="position:absolute;left:6312;top:1345;width:408;height:1906" filled="true" fillcolor="#dfffdf" stroked="false">
              <v:fill type="solid"/>
            </v:rect>
            <v:rect style="position:absolute;left:6312;top:1345;width:408;height:1906" filled="false" stroked="true" strokeweight=".48pt" strokecolor="#000000">
              <v:stroke dashstyle="solid"/>
            </v:rect>
            <v:line style="position:absolute" from="1930,649" to="1930,3251" stroked="true" strokeweight=".24pt" strokecolor="#000000">
              <v:stroke dashstyle="solid"/>
            </v:line>
            <v:line style="position:absolute" from="1896,3251" to="1963,3251" stroked="true" strokeweight=".24pt" strokecolor="#000000">
              <v:stroke dashstyle="solid"/>
            </v:line>
            <v:line style="position:absolute" from="1896,1950" to="1963,1950" stroked="true" strokeweight=".24pt" strokecolor="#000000">
              <v:stroke dashstyle="solid"/>
            </v:line>
            <v:line style="position:absolute" from="1896,649" to="1963,649" stroked="true" strokeweight=".24pt" strokecolor="#000000">
              <v:stroke dashstyle="solid"/>
            </v:line>
            <v:line style="position:absolute" from="1930,3251" to="7027,3251" stroked="true" strokeweight=".24pt" strokecolor="#000000">
              <v:stroke dashstyle="solid"/>
            </v:line>
            <v:line style="position:absolute" from="1930,3285" to="1930,3217" stroked="true" strokeweight=".24pt" strokecolor="#000000">
              <v:stroke dashstyle="solid"/>
            </v:line>
            <v:line style="position:absolute" from="2947,3285" to="2947,3217" stroked="true" strokeweight=".24pt" strokecolor="#000000">
              <v:stroke dashstyle="solid"/>
            </v:line>
            <v:line style="position:absolute" from="3974,3285" to="3974,3217" stroked="true" strokeweight=".24pt" strokecolor="#000000">
              <v:stroke dashstyle="solid"/>
            </v:line>
            <v:line style="position:absolute" from="4987,3285" to="4987,3217" stroked="true" strokeweight=".24pt" strokecolor="#000000">
              <v:stroke dashstyle="solid"/>
            </v:line>
            <v:line style="position:absolute" from="6014,3285" to="6014,3217" stroked="true" strokeweight=".24pt" strokecolor="#000000">
              <v:stroke dashstyle="solid"/>
            </v:line>
            <v:line style="position:absolute" from="7027,3285"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26;height:141" type="#_x0000_t202" filled="false" stroked="false">
              <v:textbox inset="0,0,0,0">
                <w:txbxContent>
                  <w:p>
                    <w:pPr>
                      <w:spacing w:before="1"/>
                      <w:ind w:left="0" w:right="0" w:firstLine="0"/>
                      <w:jc w:val="left"/>
                      <w:rPr>
                        <w:b/>
                        <w:sz w:val="12"/>
                      </w:rPr>
                    </w:pPr>
                    <w:r>
                      <w:rPr>
                        <w:b/>
                        <w:color w:val="FF0000"/>
                        <w:w w:val="105"/>
                        <w:sz w:val="12"/>
                      </w:rPr>
                      <w:t>10¢</w:t>
                    </w:r>
                  </w:p>
                </w:txbxContent>
              </v:textbox>
              <w10:wrap type="none"/>
            </v:shape>
            <v:shape style="position:absolute;left:4325;top:1073;width:327;height:141" type="#_x0000_t202" filled="false" stroked="false">
              <v:textbox inset="0,0,0,0">
                <w:txbxContent>
                  <w:p>
                    <w:pPr>
                      <w:spacing w:before="1"/>
                      <w:ind w:left="0" w:right="0" w:firstLine="0"/>
                      <w:jc w:val="left"/>
                      <w:rPr>
                        <w:b/>
                        <w:sz w:val="12"/>
                      </w:rPr>
                    </w:pPr>
                    <w:r>
                      <w:rPr>
                        <w:b/>
                        <w:w w:val="105"/>
                        <w:sz w:val="12"/>
                      </w:rPr>
                      <w:t>7.50¢</w:t>
                    </w:r>
                  </w:p>
                </w:txbxContent>
              </v:textbox>
              <w10:wrap type="none"/>
            </v:shape>
            <v:shape style="position:absolute;left:2270;top:1189;width:327;height:141" type="#_x0000_t202" filled="false" stroked="false">
              <v:textbox inset="0,0,0,0">
                <w:txbxContent>
                  <w:p>
                    <w:pPr>
                      <w:spacing w:before="1"/>
                      <w:ind w:left="0" w:right="0" w:firstLine="0"/>
                      <w:jc w:val="left"/>
                      <w:rPr>
                        <w:b/>
                        <w:sz w:val="12"/>
                      </w:rPr>
                    </w:pPr>
                    <w:r>
                      <w:rPr>
                        <w:b/>
                        <w:w w:val="105"/>
                        <w:sz w:val="12"/>
                      </w:rPr>
                      <w:t>7.08¢</w:t>
                    </w:r>
                  </w:p>
                </w:txbxContent>
              </v:textbox>
              <w10:wrap type="none"/>
            </v:shape>
            <v:shape style="position:absolute;left:3298;top:1189;width:327;height:141" type="#_x0000_t202" filled="false" stroked="false">
              <v:textbox inset="0,0,0,0">
                <w:txbxContent>
                  <w:p>
                    <w:pPr>
                      <w:spacing w:before="1"/>
                      <w:ind w:left="0" w:right="0" w:firstLine="0"/>
                      <w:jc w:val="left"/>
                      <w:rPr>
                        <w:b/>
                        <w:sz w:val="12"/>
                      </w:rPr>
                    </w:pPr>
                    <w:r>
                      <w:rPr>
                        <w:b/>
                        <w:w w:val="105"/>
                        <w:sz w:val="12"/>
                      </w:rPr>
                      <w:t>7.07¢</w:t>
                    </w:r>
                  </w:p>
                </w:txbxContent>
              </v:textbox>
              <w10:wrap type="none"/>
            </v:shape>
            <v:shape style="position:absolute;left:5328;top:1097;width:327;height:141" type="#_x0000_t202" filled="false" stroked="false">
              <v:textbox inset="0,0,0,0">
                <w:txbxContent>
                  <w:p>
                    <w:pPr>
                      <w:spacing w:before="1"/>
                      <w:ind w:left="0" w:right="0" w:firstLine="0"/>
                      <w:jc w:val="left"/>
                      <w:rPr>
                        <w:b/>
                        <w:sz w:val="12"/>
                      </w:rPr>
                    </w:pPr>
                    <w:r>
                      <w:rPr>
                        <w:b/>
                        <w:w w:val="105"/>
                        <w:sz w:val="12"/>
                      </w:rPr>
                      <w:t>7.40¢</w:t>
                    </w:r>
                  </w:p>
                </w:txbxContent>
              </v:textbox>
              <w10:wrap type="none"/>
            </v:shape>
            <v:shape style="position:absolute;left:6355;top:1121;width:327;height:141" type="#_x0000_t202" filled="false" stroked="false">
              <v:textbox inset="0,0,0,0">
                <w:txbxContent>
                  <w:p>
                    <w:pPr>
                      <w:spacing w:before="1"/>
                      <w:ind w:left="0" w:right="0" w:firstLine="0"/>
                      <w:jc w:val="left"/>
                      <w:rPr>
                        <w:b/>
                        <w:sz w:val="12"/>
                      </w:rPr>
                    </w:pPr>
                    <w:r>
                      <w:rPr>
                        <w:b/>
                        <w:w w:val="105"/>
                        <w:sz w:val="12"/>
                      </w:rPr>
                      <w:t>7.32¢</w:t>
                    </w:r>
                  </w:p>
                </w:txbxContent>
              </v:textbox>
              <w10:wrap type="none"/>
            </v:shape>
            <v:shape style="position:absolute;left:1704;top:1875;width:154;height:141" type="#_x0000_t202" filled="false" stroked="false">
              <v:textbox inset="0,0,0,0">
                <w:txbxContent>
                  <w:p>
                    <w:pPr>
                      <w:spacing w:before="1"/>
                      <w:ind w:left="0" w:right="0" w:firstLine="0"/>
                      <w:jc w:val="left"/>
                      <w:rPr>
                        <w:b/>
                        <w:sz w:val="12"/>
                      </w:rPr>
                    </w:pPr>
                    <w:r>
                      <w:rPr>
                        <w:b/>
                        <w:color w:val="FF0000"/>
                        <w:w w:val="105"/>
                        <w:sz w:val="12"/>
                      </w:rPr>
                      <w:t>5¢</w:t>
                    </w:r>
                  </w:p>
                </w:txbxContent>
              </v:textbox>
              <w10:wrap type="none"/>
            </v:shape>
            <v:shape style="position:absolute;left:1704;top:3176;width:154;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376;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389;top:3358;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16;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34;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46;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sz w:val="24"/>
        </w:rPr>
      </w:pPr>
      <w:r>
        <w:rPr>
          <w:b/>
          <w:color w:val="000080"/>
          <w:sz w:val="24"/>
        </w:rPr>
        <w:t>Operating Expenses Per Available Seat Mile</w:t>
      </w:r>
    </w:p>
    <w:p>
      <w:pPr>
        <w:spacing w:after="0"/>
        <w:jc w:val="left"/>
        <w:rPr>
          <w:sz w:val="24"/>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ind w:left="576"/>
        <w:rPr>
          <w:rFonts w:ascii="Times New Roman"/>
          <w:sz w:val="20"/>
        </w:rPr>
      </w:pPr>
      <w:r>
        <w:rPr>
          <w:rFonts w:ascii="Times New Roman"/>
          <w:sz w:val="20"/>
        </w:rPr>
        <w:pict>
          <v:group style="width:389.55pt;height:195.15pt;mso-position-horizontal-relative:char;mso-position-vertical-relative:line" coordorigin="0,0" coordsize="7791,3903">
            <v:rect style="position:absolute;left:8;top:8;width:7776;height:82" filled="true" fillcolor="#afd9af" stroked="false">
              <v:fill type="solid"/>
            </v:rect>
            <v:rect style="position:absolute;left:8;top:89;width:7776;height:82" filled="true" fillcolor="#afd9af" stroked="false">
              <v:fill type="solid"/>
            </v:rect>
            <v:rect style="position:absolute;left:8;top:171;width:7776;height:82" filled="true" fillcolor="#b0dab0" stroked="false">
              <v:fill type="solid"/>
            </v:rect>
            <v:rect style="position:absolute;left:8;top:252;width:7776;height:77" filled="true" fillcolor="#b0dbb0" stroked="false">
              <v:fill type="solid"/>
            </v:rect>
            <v:rect style="position:absolute;left:8;top:329;width:7776;height:82" filled="true" fillcolor="#b0ddb0" stroked="false">
              <v:fill type="solid"/>
            </v:rect>
            <v:rect style="position:absolute;left:8;top:411;width:7776;height:82" filled="true" fillcolor="#b1deb1" stroked="false">
              <v:fill type="solid"/>
            </v:rect>
            <v:rect style="position:absolute;left:8;top:492;width:7776;height:82" filled="true" fillcolor="#b4dfb4" stroked="false">
              <v:fill type="solid"/>
            </v:rect>
            <v:rect style="position:absolute;left:8;top:574;width:7776;height:82" filled="true" fillcolor="#b4e2b4" stroked="false">
              <v:fill type="solid"/>
            </v:rect>
            <v:rect style="position:absolute;left:8;top:656;width:7776;height:82" filled="true" fillcolor="#b6e3b6" stroked="false">
              <v:fill type="solid"/>
            </v:rect>
            <v:rect style="position:absolute;left:8;top:737;width:7776;height:82" filled="true" fillcolor="#b9e6b9" stroked="false">
              <v:fill type="solid"/>
            </v:rect>
            <v:rect style="position:absolute;left:8;top:819;width:7776;height:82" filled="true" fillcolor="#bae8ba" stroked="false">
              <v:fill type="solid"/>
            </v:rect>
            <v:rect style="position:absolute;left:8;top:900;width:7776;height:77" filled="true" fillcolor="#bdebbd" stroked="false">
              <v:fill type="solid"/>
            </v:rect>
            <v:rect style="position:absolute;left:8;top:977;width:7776;height:82" filled="true" fillcolor="#beedbe" stroked="false">
              <v:fill type="solid"/>
            </v:rect>
            <v:rect style="position:absolute;left:8;top:1059;width:7776;height:82" filled="true" fillcolor="#bff0bf" stroked="false">
              <v:fill type="solid"/>
            </v:rect>
            <v:rect style="position:absolute;left:8;top:1140;width:7776;height:82" filled="true" fillcolor="#c2f2c2" stroked="false">
              <v:fill type="solid"/>
            </v:rect>
            <v:rect style="position:absolute;left:8;top:1222;width:7776;height:82" filled="true" fillcolor="#c3f5c3" stroked="false">
              <v:fill type="solid"/>
            </v:rect>
            <v:rect style="position:absolute;left:8;top:1304;width:7776;height:82" filled="true" fillcolor="#c6f6c6" stroked="false">
              <v:fill type="solid"/>
            </v:rect>
            <v:rect style="position:absolute;left:8;top:1385;width:7776;height:82" filled="true" fillcolor="#c7f9c7" stroked="false">
              <v:fill type="solid"/>
            </v:rect>
            <v:rect style="position:absolute;left:8;top:1467;width:7776;height:82" filled="true" fillcolor="#c7fac7" stroked="false">
              <v:fill type="solid"/>
            </v:rect>
            <v:rect style="position:absolute;left:8;top:1548;width:7776;height:77" filled="true" fillcolor="#c8fac8" stroked="false">
              <v:fill type="solid"/>
            </v:rect>
            <v:rect style="position:absolute;left:8;top:1625;width:7776;height:82" filled="true" fillcolor="#cafdca" stroked="false">
              <v:fill type="solid"/>
            </v:rect>
            <v:rect style="position:absolute;left:8;top:1707;width:7776;height:82" filled="true" fillcolor="#cbfdcb" stroked="false">
              <v:fill type="solid"/>
            </v:rect>
            <v:rect style="position:absolute;left:8;top:1788;width:7776;height:82" filled="true" fillcolor="#cbfecb" stroked="false">
              <v:fill type="solid"/>
            </v:rect>
            <v:rect style="position:absolute;left:8;top:1870;width:7776;height:82" filled="true" fillcolor="#cbfecb" stroked="false">
              <v:fill type="solid"/>
            </v:rect>
            <v:rect style="position:absolute;left:8;top:1951;width:7776;height:82" filled="true" fillcolor="#cbfecb" stroked="false">
              <v:fill type="solid"/>
            </v:rect>
            <v:rect style="position:absolute;left:8;top:2033;width:7776;height:82" filled="true" fillcolor="#cbfecb" stroked="false">
              <v:fill type="solid"/>
            </v:rect>
            <v:rect style="position:absolute;left:8;top:2115;width:7776;height:82" filled="true" fillcolor="#cbfdcb" stroked="false">
              <v:fill type="solid"/>
            </v:rect>
            <v:rect style="position:absolute;left:8;top:2196;width:7776;height:77" filled="true" fillcolor="#cafdca" stroked="false">
              <v:fill type="solid"/>
            </v:rect>
            <v:rect style="position:absolute;left:8;top:2273;width:7776;height:82" filled="true" fillcolor="#c8fbc8" stroked="false">
              <v:fill type="solid"/>
            </v:rect>
            <v:rect style="position:absolute;left:8;top:2355;width:7776;height:82" filled="true" fillcolor="#c7fac7" stroked="false">
              <v:fill type="solid"/>
            </v:rect>
            <v:rect style="position:absolute;left:8;top:2436;width:7776;height:82" filled="true" fillcolor="#c7f9c7" stroked="false">
              <v:fill type="solid"/>
            </v:rect>
            <v:rect style="position:absolute;left:8;top:2518;width:7776;height:82" filled="true" fillcolor="#c6f6c6" stroked="false">
              <v:fill type="solid"/>
            </v:rect>
            <v:rect style="position:absolute;left:8;top:2600;width:7776;height:82" filled="true" fillcolor="#c3f5c3" stroked="false">
              <v:fill type="solid"/>
            </v:rect>
            <v:rect style="position:absolute;left:8;top:2681;width:7776;height:82" filled="true" fillcolor="#c2f2c2" stroked="false">
              <v:fill type="solid"/>
            </v:rect>
            <v:rect style="position:absolute;left:8;top:2763;width:7776;height:82" filled="true" fillcolor="#bff0bf" stroked="false">
              <v:fill type="solid"/>
            </v:rect>
            <v:rect style="position:absolute;left:8;top:2844;width:7776;height:77" filled="true" fillcolor="#beedbe" stroked="false">
              <v:fill type="solid"/>
            </v:rect>
            <v:rect style="position:absolute;left:8;top:2921;width:7776;height:82" filled="true" fillcolor="#bdebbd" stroked="false">
              <v:fill type="solid"/>
            </v:rect>
            <v:rect style="position:absolute;left:8;top:3003;width:7776;height:82" filled="true" fillcolor="#bae8ba" stroked="false">
              <v:fill type="solid"/>
            </v:rect>
            <v:rect style="position:absolute;left:8;top:3084;width:7776;height:82" filled="true" fillcolor="#b9e6b9" stroked="false">
              <v:fill type="solid"/>
            </v:rect>
            <v:rect style="position:absolute;left:8;top:3166;width:7776;height:82" filled="true" fillcolor="#b6e3b6" stroked="false">
              <v:fill type="solid"/>
            </v:rect>
            <v:rect style="position:absolute;left:8;top:3248;width:7776;height:82" filled="true" fillcolor="#b4e2b4" stroked="false">
              <v:fill type="solid"/>
            </v:rect>
            <v:rect style="position:absolute;left:8;top:3329;width:7776;height:82" filled="true" fillcolor="#b4dfb4" stroked="false">
              <v:fill type="solid"/>
            </v:rect>
            <v:rect style="position:absolute;left:8;top:3411;width:7776;height:82" filled="true" fillcolor="#b1deb1" stroked="false">
              <v:fill type="solid"/>
            </v:rect>
            <v:rect style="position:absolute;left:8;top:3492;width:7776;height:77" filled="true" fillcolor="#b0ddb0" stroked="false">
              <v:fill type="solid"/>
            </v:rect>
            <v:rect style="position:absolute;left:8;top:3569;width:7776;height:82" filled="true" fillcolor="#b0dbb0" stroked="false">
              <v:fill type="solid"/>
            </v:rect>
            <v:rect style="position:absolute;left:8;top:3651;width:7776;height:82" filled="true" fillcolor="#b0dab0" stroked="false">
              <v:fill type="solid"/>
            </v:rect>
            <v:rect style="position:absolute;left:8;top:3732;width:7776;height:82" filled="true" fillcolor="#afd9af" stroked="false">
              <v:fill type="solid"/>
            </v:rect>
            <v:rect style="position:absolute;left:8;top:3814;width:7776;height:82" filled="true" fillcolor="#afd9af" stroked="false">
              <v:fill type="solid"/>
            </v:rect>
            <v:rect style="position:absolute;left:8;top:8;width:7776;height:3888" filled="false" stroked="true" strokeweight=".72pt" strokecolor="#000000">
              <v:stroke dashstyle="solid"/>
            </v:rect>
            <v:shape style="position:absolute;left:8;top:8;width:7776;height:3888" type="#_x0000_t202" filled="false" stroked="false">
              <v:textbox inset="0,0,0,0">
                <w:txbxContent>
                  <w:p>
                    <w:pPr>
                      <w:spacing w:before="78"/>
                      <w:ind w:left="340" w:right="165" w:hanging="188"/>
                      <w:jc w:val="both"/>
                      <w:rPr>
                        <w:b/>
                        <w:i/>
                        <w:sz w:val="28"/>
                      </w:rPr>
                    </w:pPr>
                    <w:r>
                      <w:rPr>
                        <w:b/>
                        <w:i/>
                        <w:spacing w:val="15"/>
                        <w:sz w:val="28"/>
                      </w:rPr>
                      <w:t>Caleb </w:t>
                    </w:r>
                    <w:r>
                      <w:rPr>
                        <w:b/>
                        <w:i/>
                        <w:spacing w:val="16"/>
                        <w:sz w:val="28"/>
                      </w:rPr>
                      <w:t>Unland’s </w:t>
                    </w:r>
                    <w:r>
                      <w:rPr>
                        <w:b/>
                        <w:i/>
                        <w:spacing w:val="14"/>
                        <w:sz w:val="28"/>
                      </w:rPr>
                      <w:t>idea </w:t>
                    </w:r>
                    <w:r>
                      <w:rPr>
                        <w:b/>
                        <w:i/>
                        <w:spacing w:val="9"/>
                        <w:sz w:val="28"/>
                      </w:rPr>
                      <w:t>of </w:t>
                    </w:r>
                    <w:r>
                      <w:rPr>
                        <w:b/>
                        <w:i/>
                        <w:spacing w:val="16"/>
                        <w:sz w:val="28"/>
                      </w:rPr>
                      <w:t>freedom </w:t>
                    </w:r>
                    <w:r>
                      <w:rPr>
                        <w:b/>
                        <w:i/>
                        <w:spacing w:val="9"/>
                        <w:sz w:val="28"/>
                      </w:rPr>
                      <w:t>is </w:t>
                    </w:r>
                    <w:r>
                      <w:rPr>
                        <w:b/>
                        <w:i/>
                        <w:spacing w:val="12"/>
                        <w:sz w:val="28"/>
                      </w:rPr>
                      <w:t>not </w:t>
                    </w:r>
                    <w:r>
                      <w:rPr>
                        <w:b/>
                        <w:i/>
                        <w:spacing w:val="14"/>
                        <w:sz w:val="28"/>
                      </w:rPr>
                      <w:t>just </w:t>
                    </w:r>
                    <w:r>
                      <w:rPr>
                        <w:b/>
                        <w:i/>
                        <w:spacing w:val="16"/>
                        <w:sz w:val="28"/>
                      </w:rPr>
                      <w:t>pursuing </w:t>
                    </w:r>
                    <w:r>
                      <w:rPr>
                        <w:b/>
                        <w:i/>
                        <w:sz w:val="28"/>
                      </w:rPr>
                      <w:t>a </w:t>
                    </w:r>
                    <w:r>
                      <w:rPr>
                        <w:b/>
                        <w:i/>
                        <w:spacing w:val="15"/>
                        <w:sz w:val="28"/>
                      </w:rPr>
                      <w:t>dream. </w:t>
                    </w:r>
                    <w:r>
                      <w:rPr>
                        <w:b/>
                        <w:i/>
                        <w:spacing w:val="14"/>
                        <w:sz w:val="28"/>
                      </w:rPr>
                      <w:t>It’s </w:t>
                    </w:r>
                    <w:r>
                      <w:rPr>
                        <w:b/>
                        <w:i/>
                        <w:spacing w:val="16"/>
                        <w:sz w:val="28"/>
                      </w:rPr>
                      <w:t>achieving </w:t>
                    </w:r>
                    <w:r>
                      <w:rPr>
                        <w:b/>
                        <w:i/>
                        <w:spacing w:val="12"/>
                        <w:sz w:val="28"/>
                      </w:rPr>
                      <w:t>it. </w:t>
                    </w:r>
                    <w:r>
                      <w:rPr>
                        <w:b/>
                        <w:i/>
                        <w:spacing w:val="16"/>
                        <w:sz w:val="28"/>
                      </w:rPr>
                      <w:t>Which </w:t>
                    </w:r>
                    <w:r>
                      <w:rPr>
                        <w:b/>
                        <w:i/>
                        <w:spacing w:val="9"/>
                        <w:sz w:val="28"/>
                      </w:rPr>
                      <w:t>he </w:t>
                    </w:r>
                    <w:r>
                      <w:rPr>
                        <w:b/>
                        <w:i/>
                        <w:spacing w:val="12"/>
                        <w:sz w:val="28"/>
                      </w:rPr>
                      <w:t>did </w:t>
                    </w:r>
                    <w:r>
                      <w:rPr>
                        <w:b/>
                        <w:i/>
                        <w:spacing w:val="9"/>
                        <w:sz w:val="28"/>
                      </w:rPr>
                      <w:t>at </w:t>
                    </w:r>
                    <w:r>
                      <w:rPr>
                        <w:b/>
                        <w:i/>
                        <w:spacing w:val="12"/>
                        <w:sz w:val="28"/>
                      </w:rPr>
                      <w:t>the </w:t>
                    </w:r>
                    <w:r>
                      <w:rPr>
                        <w:b/>
                        <w:i/>
                        <w:spacing w:val="15"/>
                        <w:sz w:val="28"/>
                      </w:rPr>
                      <w:t>ripe young </w:t>
                    </w:r>
                    <w:r>
                      <w:rPr>
                        <w:b/>
                        <w:i/>
                        <w:spacing w:val="12"/>
                        <w:sz w:val="28"/>
                      </w:rPr>
                      <w:t>age </w:t>
                    </w:r>
                    <w:r>
                      <w:rPr>
                        <w:b/>
                        <w:i/>
                        <w:spacing w:val="9"/>
                        <w:sz w:val="28"/>
                      </w:rPr>
                      <w:t>of </w:t>
                    </w:r>
                    <w:r>
                      <w:rPr>
                        <w:b/>
                        <w:i/>
                        <w:spacing w:val="15"/>
                        <w:sz w:val="28"/>
                      </w:rPr>
                      <w:t>seven. That’s </w:t>
                    </w:r>
                    <w:r>
                      <w:rPr>
                        <w:b/>
                        <w:i/>
                        <w:spacing w:val="12"/>
                        <w:sz w:val="28"/>
                      </w:rPr>
                      <w:t>when </w:t>
                    </w:r>
                    <w:r>
                      <w:rPr>
                        <w:b/>
                        <w:i/>
                        <w:spacing w:val="16"/>
                        <w:sz w:val="28"/>
                      </w:rPr>
                      <w:t>he </w:t>
                    </w:r>
                    <w:r>
                      <w:rPr>
                        <w:b/>
                        <w:i/>
                        <w:spacing w:val="12"/>
                        <w:sz w:val="28"/>
                      </w:rPr>
                      <w:t>won his </w:t>
                    </w:r>
                    <w:r>
                      <w:rPr>
                        <w:b/>
                        <w:i/>
                        <w:spacing w:val="14"/>
                        <w:sz w:val="28"/>
                      </w:rPr>
                      <w:t>first </w:t>
                    </w:r>
                    <w:r>
                      <w:rPr>
                        <w:b/>
                        <w:i/>
                        <w:spacing w:val="15"/>
                        <w:sz w:val="28"/>
                      </w:rPr>
                      <w:t>national karate title. </w:t>
                    </w:r>
                    <w:r>
                      <w:rPr>
                        <w:b/>
                        <w:i/>
                        <w:spacing w:val="12"/>
                        <w:sz w:val="28"/>
                      </w:rPr>
                      <w:t>And </w:t>
                    </w:r>
                    <w:r>
                      <w:rPr>
                        <w:b/>
                        <w:i/>
                        <w:spacing w:val="13"/>
                        <w:sz w:val="28"/>
                      </w:rPr>
                      <w:t>when </w:t>
                    </w:r>
                    <w:r>
                      <w:rPr>
                        <w:b/>
                        <w:i/>
                        <w:spacing w:val="18"/>
                        <w:sz w:val="28"/>
                      </w:rPr>
                      <w:t>he </w:t>
                    </w:r>
                    <w:r>
                      <w:rPr>
                        <w:b/>
                        <w:i/>
                        <w:spacing w:val="12"/>
                        <w:sz w:val="28"/>
                      </w:rPr>
                      <w:t>and his </w:t>
                    </w:r>
                    <w:r>
                      <w:rPr>
                        <w:b/>
                        <w:i/>
                        <w:spacing w:val="13"/>
                        <w:sz w:val="28"/>
                      </w:rPr>
                      <w:t>mom </w:t>
                    </w:r>
                    <w:r>
                      <w:rPr>
                        <w:b/>
                        <w:i/>
                        <w:spacing w:val="14"/>
                        <w:sz w:val="28"/>
                      </w:rPr>
                      <w:t>first </w:t>
                    </w:r>
                    <w:r>
                      <w:rPr>
                        <w:b/>
                        <w:i/>
                        <w:spacing w:val="15"/>
                        <w:sz w:val="28"/>
                      </w:rPr>
                      <w:t>started flying </w:t>
                    </w:r>
                    <w:r>
                      <w:rPr>
                        <w:b/>
                        <w:i/>
                        <w:spacing w:val="13"/>
                        <w:sz w:val="28"/>
                      </w:rPr>
                      <w:t>with </w:t>
                    </w:r>
                    <w:r>
                      <w:rPr>
                        <w:b/>
                        <w:i/>
                        <w:spacing w:val="12"/>
                        <w:sz w:val="28"/>
                      </w:rPr>
                      <w:t>us. </w:t>
                    </w:r>
                    <w:r>
                      <w:rPr>
                        <w:b/>
                        <w:i/>
                        <w:spacing w:val="19"/>
                        <w:sz w:val="28"/>
                      </w:rPr>
                      <w:t>Now </w:t>
                    </w:r>
                    <w:r>
                      <w:rPr>
                        <w:b/>
                        <w:i/>
                        <w:spacing w:val="16"/>
                        <w:sz w:val="28"/>
                      </w:rPr>
                      <w:t>anytime </w:t>
                    </w:r>
                    <w:r>
                      <w:rPr>
                        <w:b/>
                        <w:i/>
                        <w:spacing w:val="15"/>
                        <w:sz w:val="28"/>
                      </w:rPr>
                      <w:t>Caleb </w:t>
                    </w:r>
                    <w:r>
                      <w:rPr>
                        <w:b/>
                        <w:i/>
                        <w:spacing w:val="16"/>
                        <w:sz w:val="28"/>
                      </w:rPr>
                      <w:t>competes, </w:t>
                    </w:r>
                    <w:r>
                      <w:rPr>
                        <w:b/>
                        <w:i/>
                        <w:spacing w:val="14"/>
                        <w:sz w:val="28"/>
                      </w:rPr>
                      <w:t>they </w:t>
                    </w:r>
                    <w:r>
                      <w:rPr>
                        <w:b/>
                        <w:i/>
                        <w:spacing w:val="12"/>
                        <w:sz w:val="28"/>
                      </w:rPr>
                      <w:t>fly </w:t>
                    </w:r>
                    <w:r>
                      <w:rPr>
                        <w:b/>
                        <w:i/>
                        <w:spacing w:val="9"/>
                        <w:sz w:val="28"/>
                      </w:rPr>
                      <w:t>to </w:t>
                    </w:r>
                    <w:r>
                      <w:rPr>
                        <w:b/>
                        <w:i/>
                        <w:spacing w:val="12"/>
                        <w:sz w:val="28"/>
                      </w:rPr>
                      <w:t>the </w:t>
                    </w:r>
                    <w:r>
                      <w:rPr>
                        <w:b/>
                        <w:i/>
                        <w:spacing w:val="16"/>
                        <w:sz w:val="28"/>
                      </w:rPr>
                      <w:t>nearest </w:t>
                    </w:r>
                    <w:r>
                      <w:rPr>
                        <w:b/>
                        <w:i/>
                        <w:spacing w:val="17"/>
                        <w:sz w:val="28"/>
                      </w:rPr>
                      <w:t>Southwest destination, </w:t>
                    </w:r>
                    <w:r>
                      <w:rPr>
                        <w:b/>
                        <w:i/>
                        <w:spacing w:val="15"/>
                        <w:sz w:val="28"/>
                      </w:rPr>
                      <w:t>rent </w:t>
                    </w:r>
                    <w:r>
                      <w:rPr>
                        <w:b/>
                        <w:i/>
                        <w:sz w:val="28"/>
                      </w:rPr>
                      <w:t>a </w:t>
                    </w:r>
                    <w:r>
                      <w:rPr>
                        <w:b/>
                        <w:i/>
                        <w:spacing w:val="12"/>
                        <w:sz w:val="28"/>
                      </w:rPr>
                      <w:t>car for the </w:t>
                    </w:r>
                    <w:r>
                      <w:rPr>
                        <w:b/>
                        <w:i/>
                        <w:spacing w:val="15"/>
                        <w:sz w:val="28"/>
                      </w:rPr>
                      <w:t>rest </w:t>
                    </w:r>
                    <w:r>
                      <w:rPr>
                        <w:b/>
                        <w:i/>
                        <w:spacing w:val="9"/>
                        <w:sz w:val="28"/>
                      </w:rPr>
                      <w:t>of </w:t>
                    </w:r>
                    <w:r>
                      <w:rPr>
                        <w:b/>
                        <w:i/>
                        <w:spacing w:val="12"/>
                        <w:sz w:val="28"/>
                      </w:rPr>
                      <w:t>the </w:t>
                    </w:r>
                    <w:r>
                      <w:rPr>
                        <w:b/>
                        <w:i/>
                        <w:spacing w:val="14"/>
                        <w:sz w:val="28"/>
                      </w:rPr>
                      <w:t>way, </w:t>
                    </w:r>
                    <w:r>
                      <w:rPr>
                        <w:b/>
                        <w:i/>
                        <w:spacing w:val="12"/>
                        <w:sz w:val="28"/>
                      </w:rPr>
                      <w:t>and </w:t>
                    </w:r>
                    <w:r>
                      <w:rPr>
                        <w:b/>
                        <w:i/>
                        <w:spacing w:val="15"/>
                        <w:sz w:val="28"/>
                      </w:rPr>
                      <w:t>still </w:t>
                    </w:r>
                    <w:r>
                      <w:rPr>
                        <w:b/>
                        <w:i/>
                        <w:spacing w:val="14"/>
                        <w:sz w:val="28"/>
                      </w:rPr>
                      <w:t>save </w:t>
                    </w:r>
                    <w:r>
                      <w:rPr>
                        <w:b/>
                        <w:i/>
                        <w:sz w:val="28"/>
                      </w:rPr>
                      <w:t>a </w:t>
                    </w:r>
                    <w:r>
                      <w:rPr>
                        <w:b/>
                        <w:i/>
                        <w:spacing w:val="12"/>
                        <w:sz w:val="28"/>
                      </w:rPr>
                      <w:t>lot </w:t>
                    </w:r>
                    <w:r>
                      <w:rPr>
                        <w:b/>
                        <w:i/>
                        <w:spacing w:val="9"/>
                        <w:sz w:val="28"/>
                      </w:rPr>
                      <w:t>of </w:t>
                    </w:r>
                    <w:r>
                      <w:rPr>
                        <w:b/>
                        <w:i/>
                        <w:spacing w:val="17"/>
                        <w:sz w:val="28"/>
                      </w:rPr>
                      <w:t>money.  </w:t>
                    </w:r>
                    <w:r>
                      <w:rPr>
                        <w:b/>
                        <w:i/>
                        <w:spacing w:val="14"/>
                        <w:sz w:val="28"/>
                      </w:rPr>
                      <w:t>It’s </w:t>
                    </w:r>
                    <w:r>
                      <w:rPr>
                        <w:b/>
                        <w:i/>
                        <w:spacing w:val="15"/>
                        <w:sz w:val="28"/>
                      </w:rPr>
                      <w:t>worked </w:t>
                    </w:r>
                    <w:r>
                      <w:rPr>
                        <w:b/>
                        <w:i/>
                        <w:spacing w:val="12"/>
                        <w:sz w:val="28"/>
                      </w:rPr>
                      <w:t>out </w:t>
                    </w:r>
                    <w:r>
                      <w:rPr>
                        <w:b/>
                        <w:i/>
                        <w:spacing w:val="17"/>
                        <w:sz w:val="28"/>
                      </w:rPr>
                      <w:t>really </w:t>
                    </w:r>
                    <w:r>
                      <w:rPr>
                        <w:b/>
                        <w:i/>
                        <w:spacing w:val="15"/>
                        <w:sz w:val="28"/>
                      </w:rPr>
                      <w:t>well. </w:t>
                    </w:r>
                    <w:r>
                      <w:rPr>
                        <w:b/>
                        <w:i/>
                        <w:spacing w:val="12"/>
                        <w:sz w:val="28"/>
                      </w:rPr>
                      <w:t>And </w:t>
                    </w:r>
                    <w:r>
                      <w:rPr>
                        <w:b/>
                        <w:i/>
                        <w:spacing w:val="16"/>
                        <w:sz w:val="28"/>
                      </w:rPr>
                      <w:t>Caleb’s </w:t>
                    </w:r>
                    <w:r>
                      <w:rPr>
                        <w:b/>
                        <w:i/>
                        <w:spacing w:val="12"/>
                        <w:sz w:val="28"/>
                      </w:rPr>
                      <w:t>mom  </w:t>
                    </w:r>
                    <w:r>
                      <w:rPr>
                        <w:b/>
                        <w:i/>
                        <w:spacing w:val="17"/>
                        <w:sz w:val="28"/>
                      </w:rPr>
                      <w:t>tells  </w:t>
                    </w:r>
                    <w:r>
                      <w:rPr>
                        <w:b/>
                        <w:i/>
                        <w:spacing w:val="9"/>
                        <w:sz w:val="28"/>
                      </w:rPr>
                      <w:t>us he </w:t>
                    </w:r>
                    <w:r>
                      <w:rPr>
                        <w:b/>
                        <w:i/>
                        <w:spacing w:val="14"/>
                        <w:sz w:val="28"/>
                      </w:rPr>
                      <w:t>loves </w:t>
                    </w:r>
                    <w:r>
                      <w:rPr>
                        <w:b/>
                        <w:i/>
                        <w:spacing w:val="15"/>
                        <w:sz w:val="28"/>
                      </w:rPr>
                      <w:t>flying </w:t>
                    </w:r>
                    <w:r>
                      <w:rPr>
                        <w:b/>
                        <w:i/>
                        <w:spacing w:val="13"/>
                        <w:sz w:val="28"/>
                      </w:rPr>
                      <w:t>with </w:t>
                    </w:r>
                    <w:r>
                      <w:rPr>
                        <w:b/>
                        <w:i/>
                        <w:spacing w:val="12"/>
                        <w:sz w:val="28"/>
                      </w:rPr>
                      <w:t>us. </w:t>
                    </w:r>
                    <w:r>
                      <w:rPr>
                        <w:b/>
                        <w:i/>
                        <w:spacing w:val="9"/>
                        <w:sz w:val="28"/>
                      </w:rPr>
                      <w:t>He  </w:t>
                    </w:r>
                    <w:r>
                      <w:rPr>
                        <w:b/>
                        <w:i/>
                        <w:spacing w:val="18"/>
                        <w:sz w:val="28"/>
                      </w:rPr>
                      <w:t>particularly  </w:t>
                    </w:r>
                    <w:r>
                      <w:rPr>
                        <w:b/>
                        <w:i/>
                        <w:spacing w:val="15"/>
                        <w:sz w:val="28"/>
                      </w:rPr>
                      <w:t>enjoys buckling </w:t>
                    </w:r>
                    <w:r>
                      <w:rPr>
                        <w:b/>
                        <w:i/>
                        <w:spacing w:val="12"/>
                        <w:sz w:val="28"/>
                      </w:rPr>
                      <w:t>our </w:t>
                    </w:r>
                    <w:r>
                      <w:rPr>
                        <w:b/>
                        <w:i/>
                        <w:spacing w:val="14"/>
                        <w:sz w:val="28"/>
                      </w:rPr>
                      <w:t>black</w:t>
                    </w:r>
                    <w:r>
                      <w:rPr>
                        <w:b/>
                        <w:i/>
                        <w:spacing w:val="45"/>
                        <w:sz w:val="28"/>
                      </w:rPr>
                      <w:t> </w:t>
                    </w:r>
                    <w:r>
                      <w:rPr>
                        <w:b/>
                        <w:i/>
                        <w:spacing w:val="18"/>
                        <w:sz w:val="28"/>
                      </w:rPr>
                      <w:t>belts.</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720" w:right="1340"/>
        </w:sectPr>
      </w:pPr>
    </w:p>
    <w:p>
      <w:pPr>
        <w:pStyle w:val="BodyText"/>
        <w:spacing w:before="8"/>
        <w:rPr>
          <w:rFonts w:ascii="Times New Roman"/>
          <w:sz w:val="22"/>
        </w:rPr>
      </w:pPr>
    </w:p>
    <w:p>
      <w:pPr>
        <w:spacing w:line="232" w:lineRule="auto" w:before="97"/>
        <w:ind w:left="302" w:right="108" w:hanging="183"/>
        <w:jc w:val="both"/>
        <w:rPr>
          <w:sz w:val="32"/>
        </w:rPr>
      </w:pPr>
      <w:r>
        <w:rPr>
          <w:color w:val="808080"/>
          <w:spacing w:val="7"/>
          <w:sz w:val="40"/>
        </w:rPr>
        <w:t>“We </w:t>
      </w:r>
      <w:r>
        <w:rPr>
          <w:color w:val="808080"/>
          <w:sz w:val="40"/>
        </w:rPr>
        <w:t>give our People the freedom to keep fares low in every city </w:t>
      </w:r>
      <w:r>
        <w:rPr>
          <w:color w:val="808080"/>
          <w:spacing w:val="-6"/>
          <w:sz w:val="40"/>
        </w:rPr>
        <w:t>we </w:t>
      </w:r>
      <w:r>
        <w:rPr>
          <w:color w:val="808080"/>
          <w:spacing w:val="-3"/>
          <w:sz w:val="40"/>
        </w:rPr>
        <w:t>serve. </w:t>
      </w:r>
      <w:r>
        <w:rPr>
          <w:color w:val="808080"/>
          <w:spacing w:val="3"/>
          <w:sz w:val="32"/>
        </w:rPr>
        <w:t>These </w:t>
      </w:r>
      <w:r>
        <w:rPr>
          <w:color w:val="808080"/>
          <w:sz w:val="32"/>
        </w:rPr>
        <w:t>are not merely introductory fares, they are our everyday low fares — and they are low by philosophy, not</w:t>
      </w:r>
      <w:r>
        <w:rPr>
          <w:color w:val="808080"/>
          <w:spacing w:val="-8"/>
          <w:sz w:val="32"/>
        </w:rPr>
        <w:t> </w:t>
      </w:r>
      <w:r>
        <w:rPr>
          <w:color w:val="808080"/>
          <w:sz w:val="32"/>
        </w:rPr>
        <w:t>expediency.”</w:t>
      </w:r>
    </w:p>
    <w:p>
      <w:pPr>
        <w:pStyle w:val="BodyText"/>
        <w:spacing w:before="88"/>
        <w:ind w:left="307" w:firstLine="3705"/>
      </w:pPr>
      <w:r>
        <w:rPr>
          <w:color w:val="808080"/>
        </w:rPr>
        <w:t>— Gary C. Kelly, Vice President — Finance &amp; CFO</w:t>
      </w:r>
    </w:p>
    <w:p>
      <w:pPr>
        <w:pStyle w:val="BodyText"/>
        <w:rPr>
          <w:sz w:val="9"/>
        </w:rPr>
      </w:pPr>
      <w:r>
        <w:rPr/>
        <w:pict>
          <v:line style="position:absolute;mso-position-horizontal-relative:page;mso-position-vertical-relative:paragraph;z-index:2872;mso-wrap-distance-left:0;mso-wrap-distance-right:0" from="72pt,7.522898pt" to="540pt,7.522898pt" stroked="true" strokeweight=".72pt" strokecolor="#000080">
            <v:stroke dashstyle="dot"/>
            <w10:wrap type="topAndBottom"/>
          </v:line>
        </w:pict>
      </w:r>
    </w:p>
    <w:p>
      <w:pPr>
        <w:pStyle w:val="BodyText"/>
        <w:spacing w:before="3"/>
        <w:rPr>
          <w:sz w:val="22"/>
        </w:rPr>
      </w:pPr>
    </w:p>
    <w:p>
      <w:pPr>
        <w:pStyle w:val="BodyText"/>
        <w:spacing w:line="312" w:lineRule="auto" w:before="1"/>
        <w:ind w:left="119" w:right="118" w:firstLine="187"/>
        <w:jc w:val="both"/>
      </w:pPr>
      <w:r>
        <w:rPr/>
        <w:t>Low fares, every seat, every day. That’s what makes Southwest so different. </w:t>
      </w:r>
      <w:r>
        <w:rPr>
          <w:spacing w:val="-2"/>
        </w:rPr>
        <w:t>And</w:t>
      </w:r>
      <w:r>
        <w:rPr>
          <w:spacing w:val="62"/>
        </w:rPr>
        <w:t> </w:t>
      </w:r>
      <w:r>
        <w:rPr/>
        <w:t>that’s what Customers want: low fares so they have the freedom to fly. Low fares are even more important in our shorthaul market niche, as Customers have ground transportation as a viable alternative. </w:t>
      </w:r>
      <w:r>
        <w:rPr>
          <w:spacing w:val="3"/>
        </w:rPr>
        <w:t>Therefore, </w:t>
      </w:r>
      <w:r>
        <w:rPr>
          <w:spacing w:val="-3"/>
        </w:rPr>
        <w:t>we </w:t>
      </w:r>
      <w:r>
        <w:rPr/>
        <w:t>have to charge low fares to succeed, regardless of what our airline competitors</w:t>
      </w:r>
      <w:r>
        <w:rPr>
          <w:spacing w:val="16"/>
        </w:rPr>
        <w:t> </w:t>
      </w:r>
      <w:r>
        <w:rPr/>
        <w:t>charge.</w:t>
      </w:r>
    </w:p>
    <w:p>
      <w:pPr>
        <w:pStyle w:val="BodyText"/>
        <w:spacing w:before="7"/>
        <w:rPr>
          <w:sz w:val="31"/>
        </w:rPr>
      </w:pPr>
    </w:p>
    <w:p>
      <w:pPr>
        <w:pStyle w:val="BodyText"/>
        <w:spacing w:line="312" w:lineRule="auto"/>
        <w:ind w:left="119" w:right="117" w:firstLine="187"/>
        <w:jc w:val="both"/>
      </w:pPr>
      <w:r>
        <w:rPr/>
        <w:t>We are the low-fare police in the U.S. airline industry, THE Low-Fare Airline. Customers think of Southwest when they think of low fares. In a July 1997 Consumer Reports survey, Southwest was ranked as having the lowest fares of the nine major airlines rated. We are committed to maintaining that reputation.</w:t>
      </w:r>
    </w:p>
    <w:p>
      <w:pPr>
        <w:pStyle w:val="BodyText"/>
        <w:spacing w:before="6"/>
        <w:rPr>
          <w:sz w:val="31"/>
        </w:rPr>
      </w:pPr>
    </w:p>
    <w:p>
      <w:pPr>
        <w:pStyle w:val="BodyText"/>
        <w:spacing w:line="312" w:lineRule="auto" w:before="1"/>
        <w:ind w:left="119" w:right="117" w:firstLine="187"/>
        <w:jc w:val="both"/>
      </w:pPr>
      <w:r>
        <w:rPr>
          <w:spacing w:val="4"/>
        </w:rPr>
        <w:t>Well </w:t>
      </w:r>
      <w:r>
        <w:rPr/>
        <w:t>over 100 communities </w:t>
      </w:r>
      <w:r>
        <w:rPr>
          <w:spacing w:val="2"/>
        </w:rPr>
        <w:t>requested </w:t>
      </w:r>
      <w:r>
        <w:rPr/>
        <w:t>service from Southwest last year because of our low-fare reputation and the knowledge of what low fares and high quality service can produce. </w:t>
      </w:r>
      <w:r>
        <w:rPr>
          <w:spacing w:val="3"/>
        </w:rPr>
        <w:t>When </w:t>
      </w:r>
      <w:r>
        <w:rPr/>
        <w:t>Southwest Airlines enters a market and slashes fares, the number of travelers increases significantly, often three- and four-fold. </w:t>
      </w:r>
      <w:r>
        <w:rPr>
          <w:spacing w:val="2"/>
        </w:rPr>
        <w:t>The </w:t>
      </w:r>
      <w:r>
        <w:rPr/>
        <w:t>U.S. Department of </w:t>
      </w:r>
      <w:r>
        <w:rPr>
          <w:spacing w:val="3"/>
        </w:rPr>
        <w:t>Transportation </w:t>
      </w:r>
      <w:r>
        <w:rPr>
          <w:spacing w:val="2"/>
        </w:rPr>
        <w:t>refers </w:t>
      </w:r>
      <w:r>
        <w:rPr/>
        <w:t>to this surge in air traffic and its favorable economic impact as the “Southwest Effect.” </w:t>
      </w:r>
      <w:r>
        <w:rPr>
          <w:spacing w:val="3"/>
        </w:rPr>
        <w:t>This </w:t>
      </w:r>
      <w:r>
        <w:rPr/>
        <w:t>is especially true in shorthaul markets where people were forced to travel by automobile or other modes of ground transportation because air travel was simply not affordable prior to Southwest</w:t>
      </w:r>
      <w:r>
        <w:rPr>
          <w:spacing w:val="13"/>
        </w:rPr>
        <w:t> </w:t>
      </w:r>
      <w:r>
        <w:rPr/>
        <w:t>service.</w:t>
      </w:r>
    </w:p>
    <w:p>
      <w:pPr>
        <w:pStyle w:val="BodyText"/>
        <w:spacing w:before="7"/>
        <w:rPr>
          <w:sz w:val="31"/>
        </w:rPr>
      </w:pPr>
    </w:p>
    <w:p>
      <w:pPr>
        <w:pStyle w:val="BodyText"/>
        <w:spacing w:line="312" w:lineRule="auto"/>
        <w:ind w:left="119" w:right="117" w:firstLine="187"/>
        <w:jc w:val="both"/>
      </w:pPr>
      <w:r>
        <w:rPr/>
        <w:t>Since </w:t>
      </w:r>
      <w:r>
        <w:rPr>
          <w:spacing w:val="-3"/>
        </w:rPr>
        <w:t>we </w:t>
      </w:r>
      <w:r>
        <w:rPr/>
        <w:t>charge low fares every day, </w:t>
      </w:r>
      <w:r>
        <w:rPr>
          <w:spacing w:val="-3"/>
        </w:rPr>
        <w:t>we </w:t>
      </w:r>
      <w:r>
        <w:rPr/>
        <w:t>tend to dominate the markets </w:t>
      </w:r>
      <w:r>
        <w:rPr>
          <w:spacing w:val="-3"/>
        </w:rPr>
        <w:t>we </w:t>
      </w:r>
      <w:r>
        <w:rPr/>
        <w:t>serve with frequent flights. </w:t>
      </w:r>
      <w:r>
        <w:rPr>
          <w:spacing w:val="6"/>
        </w:rPr>
        <w:t>We </w:t>
      </w:r>
      <w:r>
        <w:rPr/>
        <w:t>consistently </w:t>
      </w:r>
      <w:r>
        <w:rPr>
          <w:spacing w:val="2"/>
        </w:rPr>
        <w:t>rank </w:t>
      </w:r>
      <w:r>
        <w:rPr/>
        <w:t>first in market share in 80 to 85 percent of our top city pairs and, in the aggregate, generate a 60 to 65 percent share in the top 100 city- pair markets served by Southwest. </w:t>
      </w:r>
      <w:r>
        <w:rPr>
          <w:spacing w:val="6"/>
        </w:rPr>
        <w:t>We </w:t>
      </w:r>
      <w:r>
        <w:rPr>
          <w:spacing w:val="2"/>
        </w:rPr>
        <w:t>rank </w:t>
      </w:r>
      <w:r>
        <w:rPr/>
        <w:t>first or second in Customer boardings at  the majority of our 53 </w:t>
      </w:r>
      <w:r>
        <w:rPr>
          <w:spacing w:val="2"/>
        </w:rPr>
        <w:t>airports </w:t>
      </w:r>
      <w:r>
        <w:rPr/>
        <w:t>served. Overall, </w:t>
      </w:r>
      <w:r>
        <w:rPr>
          <w:spacing w:val="-3"/>
        </w:rPr>
        <w:t>we </w:t>
      </w:r>
      <w:r>
        <w:rPr/>
        <w:t>are now the fourth largest airline in the U.S. in terms of passengers</w:t>
      </w:r>
      <w:r>
        <w:rPr>
          <w:spacing w:val="-2"/>
        </w:rPr>
        <w:t> </w:t>
      </w:r>
      <w:r>
        <w:rPr/>
        <w:t>boarded.</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8" w:firstLine="187"/>
        <w:jc w:val="both"/>
      </w:pPr>
      <w:r>
        <w:rPr/>
        <w:t>Our fare structure is simple, reliably low, and easy to understand. In fact, even our discounted, restricted tickets are “Customer friendly” as they are reusable without a rebooking fee. Finally, we make buying a seat on Southwest more convenient with our Ticketless Travel. Approximately 70 percent of our Customers now fly Ticketless.</w:t>
      </w:r>
    </w:p>
    <w:p>
      <w:pPr>
        <w:pStyle w:val="BodyText"/>
        <w:spacing w:before="10"/>
        <w:rPr>
          <w:sz w:val="20"/>
        </w:rPr>
      </w:pPr>
      <w:r>
        <w:rPr/>
        <w:pict>
          <v:group style="position:absolute;margin-left:71.875pt;margin-top:13.957969pt;width:288.05pt;height:168.25pt;mso-position-horizontal-relative:page;mso-position-vertical-relative:paragraph;z-index:3208;mso-wrap-distance-left:0;mso-wrap-distance-right:0" coordorigin="1438,279" coordsize="5761,3365">
            <v:rect style="position:absolute;left:2400;top:1765;width:384;height:1402" filled="true" fillcolor="#ff8080" stroked="false">
              <v:fill type="solid"/>
            </v:rect>
            <v:rect style="position:absolute;left:2400;top:1765;width:384;height:1402" filled="false" stroked="true" strokeweight=".48pt" strokecolor="#000000">
              <v:stroke dashstyle="solid"/>
            </v:rect>
            <v:rect style="position:absolute;left:3379;top:1650;width:389;height:1517" filled="true" fillcolor="#ff8080" stroked="false">
              <v:fill type="solid"/>
            </v:rect>
            <v:rect style="position:absolute;left:3379;top:1650;width:389;height:1517" filled="false" stroked="true" strokeweight=".48pt" strokecolor="#000000">
              <v:stroke dashstyle="solid"/>
            </v:rect>
            <v:rect style="position:absolute;left:4373;top:1410;width:389;height:1757" filled="true" fillcolor="#ff8080" stroked="false">
              <v:fill type="solid"/>
            </v:rect>
            <v:rect style="position:absolute;left:4373;top:1410;width:389;height:1757" filled="false" stroked="true" strokeweight=".48pt" strokecolor="#000000">
              <v:stroke dashstyle="solid"/>
            </v:rect>
            <v:rect style="position:absolute;left:5352;top:1318;width:389;height:1848" filled="true" fillcolor="#ff8080" stroked="false">
              <v:fill type="solid"/>
            </v:rect>
            <v:rect style="position:absolute;left:5352;top:1318;width:389;height:1848" filled="false" stroked="true" strokeweight=".48pt" strokecolor="#000000">
              <v:stroke dashstyle="solid"/>
            </v:rect>
            <v:rect style="position:absolute;left:6346;top:1126;width:389;height:2040" filled="true" fillcolor="#ff8080" stroked="false">
              <v:fill type="solid"/>
            </v:rect>
            <v:rect style="position:absolute;left:6346;top:1126;width:389;height:2040" filled="false" stroked="true" strokeweight=".48pt" strokecolor="#000000">
              <v:stroke dashstyle="solid"/>
            </v:rect>
            <v:line style="position:absolute" from="2102,565" to="2102,3166" stroked="true" strokeweight=".24pt" strokecolor="#000000">
              <v:stroke dashstyle="solid"/>
            </v:line>
            <v:line style="position:absolute" from="2069,3166" to="2136,3166" stroked="true" strokeweight=".24pt" strokecolor="#000000">
              <v:stroke dashstyle="solid"/>
            </v:line>
            <v:line style="position:absolute" from="2069,1866" to="2136,1866" stroked="true" strokeweight=".24pt" strokecolor="#000000">
              <v:stroke dashstyle="solid"/>
            </v:line>
            <v:line style="position:absolute" from="2069,565" to="2136,565" stroked="true" strokeweight=".24pt" strokecolor="#000000">
              <v:stroke dashstyle="solid"/>
            </v:line>
            <v:line style="position:absolute" from="2102,3166" to="7027,3166" stroked="true" strokeweight=".24pt" strokecolor="#000000">
              <v:stroke dashstyle="solid"/>
            </v:line>
            <v:line style="position:absolute" from="2102,3200" to="2102,3133" stroked="true" strokeweight=".24pt" strokecolor="#000000">
              <v:stroke dashstyle="solid"/>
            </v:line>
            <v:line style="position:absolute" from="3082,3200" to="3082,3133" stroked="true" strokeweight=".24pt" strokecolor="#000000">
              <v:stroke dashstyle="solid"/>
            </v:line>
            <v:line style="position:absolute" from="4075,3200" to="4075,3133" stroked="true" strokeweight=".24pt" strokecolor="#000000">
              <v:stroke dashstyle="solid"/>
            </v:line>
            <v:line style="position:absolute" from="5054,3200" to="5054,3133" stroked="true" strokeweight=".24pt" strokecolor="#000000">
              <v:stroke dashstyle="solid"/>
            </v:line>
            <v:line style="position:absolute" from="6048,3200" to="604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632;top:490;width:398;height:141" type="#_x0000_t202" filled="false" stroked="false">
              <v:textbox inset="0,0,0,0">
                <w:txbxContent>
                  <w:p>
                    <w:pPr>
                      <w:spacing w:before="1"/>
                      <w:ind w:left="0" w:right="0" w:firstLine="0"/>
                      <w:jc w:val="left"/>
                      <w:rPr>
                        <w:b/>
                        <w:sz w:val="12"/>
                      </w:rPr>
                    </w:pPr>
                    <w:r>
                      <w:rPr>
                        <w:b/>
                        <w:color w:val="FF0000"/>
                        <w:w w:val="105"/>
                        <w:sz w:val="12"/>
                      </w:rPr>
                      <w:t>40,000</w:t>
                    </w:r>
                  </w:p>
                </w:txbxContent>
              </v:textbox>
              <w10:wrap type="none"/>
            </v:shape>
            <v:shape style="position:absolute;left:6355;top:898;width:394;height:141" type="#_x0000_t202" filled="false" stroked="false">
              <v:textbox inset="0,0,0,0">
                <w:txbxContent>
                  <w:p>
                    <w:pPr>
                      <w:spacing w:before="1"/>
                      <w:ind w:left="0" w:right="0" w:firstLine="0"/>
                      <w:jc w:val="left"/>
                      <w:rPr>
                        <w:b/>
                        <w:sz w:val="12"/>
                      </w:rPr>
                    </w:pPr>
                    <w:r>
                      <w:rPr>
                        <w:b/>
                        <w:w w:val="105"/>
                        <w:sz w:val="12"/>
                      </w:rPr>
                      <w:t>31,419</w:t>
                    </w:r>
                  </w:p>
                </w:txbxContent>
              </v:textbox>
              <w10:wrap type="none"/>
            </v:shape>
            <v:shape style="position:absolute;left:4373;top:1186;width:394;height:141" type="#_x0000_t202" filled="false" stroked="false">
              <v:textbox inset="0,0,0,0">
                <w:txbxContent>
                  <w:p>
                    <w:pPr>
                      <w:spacing w:before="1"/>
                      <w:ind w:left="0" w:right="0" w:firstLine="0"/>
                      <w:jc w:val="left"/>
                      <w:rPr>
                        <w:b/>
                        <w:sz w:val="12"/>
                      </w:rPr>
                    </w:pPr>
                    <w:r>
                      <w:rPr>
                        <w:b/>
                        <w:w w:val="105"/>
                        <w:sz w:val="12"/>
                      </w:rPr>
                      <w:t>27,083</w:t>
                    </w:r>
                  </w:p>
                </w:txbxContent>
              </v:textbox>
              <w10:wrap type="none"/>
            </v:shape>
            <v:shape style="position:absolute;left:5352;top:1094;width:394;height:141" type="#_x0000_t202" filled="false" stroked="false">
              <v:textbox inset="0,0,0,0">
                <w:txbxContent>
                  <w:p>
                    <w:pPr>
                      <w:spacing w:before="1"/>
                      <w:ind w:left="0" w:right="0" w:firstLine="0"/>
                      <w:jc w:val="left"/>
                      <w:rPr>
                        <w:b/>
                        <w:sz w:val="12"/>
                      </w:rPr>
                    </w:pPr>
                    <w:r>
                      <w:rPr>
                        <w:b/>
                        <w:w w:val="105"/>
                        <w:sz w:val="12"/>
                      </w:rPr>
                      <w:t>28,355</w:t>
                    </w:r>
                  </w:p>
                </w:txbxContent>
              </v:textbox>
              <w10:wrap type="none"/>
            </v:shape>
            <v:shape style="position:absolute;left:3389;top:1426;width:398;height:141" type="#_x0000_t202" filled="false" stroked="false">
              <v:textbox inset="0,0,0,0">
                <w:txbxContent>
                  <w:p>
                    <w:pPr>
                      <w:spacing w:before="1"/>
                      <w:ind w:left="0" w:right="0" w:firstLine="0"/>
                      <w:jc w:val="left"/>
                      <w:rPr>
                        <w:b/>
                        <w:sz w:val="12"/>
                      </w:rPr>
                    </w:pPr>
                    <w:r>
                      <w:rPr>
                        <w:b/>
                        <w:w w:val="105"/>
                        <w:sz w:val="12"/>
                      </w:rPr>
                      <w:t>23,328</w:t>
                    </w:r>
                  </w:p>
                </w:txbxContent>
              </v:textbox>
              <w10:wrap type="none"/>
            </v:shape>
            <v:shape style="position:absolute;left:2410;top:1536;width:394;height:141" type="#_x0000_t202" filled="false" stroked="false">
              <v:textbox inset="0,0,0,0">
                <w:txbxContent>
                  <w:p>
                    <w:pPr>
                      <w:spacing w:before="1"/>
                      <w:ind w:left="0" w:right="0" w:firstLine="0"/>
                      <w:jc w:val="left"/>
                      <w:rPr>
                        <w:b/>
                        <w:sz w:val="12"/>
                      </w:rPr>
                    </w:pPr>
                    <w:r>
                      <w:rPr>
                        <w:b/>
                        <w:w w:val="105"/>
                        <w:sz w:val="12"/>
                      </w:rPr>
                      <w:t>21,611</w:t>
                    </w:r>
                  </w:p>
                </w:txbxContent>
              </v:textbox>
              <w10:wrap type="none"/>
            </v:shape>
            <v:shape style="position:absolute;left:1632;top:1790;width:398;height:141" type="#_x0000_t202" filled="false" stroked="false">
              <v:textbox inset="0,0,0,0">
                <w:txbxContent>
                  <w:p>
                    <w:pPr>
                      <w:spacing w:before="1"/>
                      <w:ind w:left="0" w:right="0" w:firstLine="0"/>
                      <w:jc w:val="left"/>
                      <w:rPr>
                        <w:b/>
                        <w:sz w:val="12"/>
                      </w:rPr>
                    </w:pPr>
                    <w:r>
                      <w:rPr>
                        <w:b/>
                        <w:color w:val="FF0000"/>
                        <w:w w:val="105"/>
                        <w:sz w:val="12"/>
                      </w:rPr>
                      <w:t>20,000</w:t>
                    </w:r>
                  </w:p>
                </w:txbxContent>
              </v:textbox>
              <w10:wrap type="none"/>
            </v:shape>
            <v:shape style="position:absolute;left:1944;top:3091;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525;top:3274;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18;top:3274;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98;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77;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93"/>
        <w:ind w:left="119"/>
      </w:pPr>
      <w:r>
        <w:rPr>
          <w:color w:val="000080"/>
        </w:rPr>
        <w:t>Revenue Passenger Miles (in millions)</w:t>
      </w:r>
    </w:p>
    <w:p>
      <w:pPr>
        <w:pStyle w:val="BodyText"/>
        <w:spacing w:before="2"/>
        <w:rPr>
          <w:b/>
          <w:sz w:val="28"/>
        </w:rPr>
      </w:pPr>
      <w:r>
        <w:rPr/>
        <w:pict>
          <v:group style="position:absolute;margin-left:71.875pt;margin-top:18.172905pt;width:288.05pt;height:168.25pt;mso-position-horizontal-relative:page;mso-position-vertical-relative:paragraph;z-index:3544;mso-wrap-distance-left:0;mso-wrap-distance-right:0" coordorigin="1438,363" coordsize="5761,3365">
            <v:rect style="position:absolute;left:2261;top:1062;width:398;height:2189" filled="true" fillcolor="#ff8080" stroked="false">
              <v:fill type="solid"/>
            </v:rect>
            <v:rect style="position:absolute;left:2261;top:1062;width:398;height:2189" filled="false" stroked="true" strokeweight=".48pt" strokecolor="#000000">
              <v:stroke dashstyle="solid"/>
            </v:rect>
            <v:rect style="position:absolute;left:3278;top:1153;width:398;height:2098" filled="true" fillcolor="#ff8080" stroked="false">
              <v:fill type="solid"/>
            </v:rect>
            <v:rect style="position:absolute;left:3278;top:1153;width:398;height:2098" filled="false" stroked="true" strokeweight=".48pt" strokecolor="#000000">
              <v:stroke dashstyle="solid"/>
            </v:rect>
            <v:rect style="position:absolute;left:4291;top:1086;width:398;height:2165" filled="true" fillcolor="#ff8080" stroked="false">
              <v:fill type="solid"/>
            </v:rect>
            <v:rect style="position:absolute;left:4291;top:1086;width:398;height:2165" filled="false" stroked="true" strokeweight=".48pt" strokecolor="#000000">
              <v:stroke dashstyle="solid"/>
            </v:rect>
            <v:rect style="position:absolute;left:5294;top:1177;width:398;height:2074" filled="true" fillcolor="#ff8080" stroked="false">
              <v:fill type="solid"/>
            </v:rect>
            <v:rect style="position:absolute;left:5294;top:1177;width:398;height:2074" filled="false" stroked="true" strokeweight=".48pt" strokecolor="#000000">
              <v:stroke dashstyle="solid"/>
            </v:rect>
            <v:rect style="position:absolute;left:6312;top:1105;width:398;height:2146" filled="true" fillcolor="#ff8080" stroked="false">
              <v:fill type="solid"/>
            </v:rect>
            <v:rect style="position:absolute;left:6312;top:1105;width:398;height:2146" filled="false" stroked="true" strokeweight=".48pt" strokecolor="#000000">
              <v:stroke dashstyle="solid"/>
            </v:rect>
            <v:line style="position:absolute" from="1963,649" to="1963,3251" stroked="true" strokeweight=".24pt" strokecolor="#000000">
              <v:stroke dashstyle="solid"/>
            </v:line>
            <v:line style="position:absolute" from="1930,3251" to="1997,3251" stroked="true" strokeweight=".24pt" strokecolor="#000000">
              <v:stroke dashstyle="solid"/>
            </v:line>
            <v:line style="position:absolute" from="1930,1950" to="1997,1950" stroked="true" strokeweight=".24pt" strokecolor="#000000">
              <v:stroke dashstyle="solid"/>
            </v:line>
            <v:line style="position:absolute" from="1930,649" to="1997,649" stroked="true" strokeweight=".24pt" strokecolor="#000000">
              <v:stroke dashstyle="solid"/>
            </v:line>
            <v:line style="position:absolute" from="1963,3251" to="7027,3251" stroked="true" strokeweight=".24pt" strokecolor="#000000">
              <v:stroke dashstyle="solid"/>
            </v:line>
            <v:line style="position:absolute" from="1963,3284" to="1963,3217" stroked="true" strokeweight=".24pt" strokecolor="#000000">
              <v:stroke dashstyle="solid"/>
            </v:line>
            <v:line style="position:absolute" from="2981,3284" to="2981,3217" stroked="true" strokeweight=".24pt" strokecolor="#000000">
              <v:stroke dashstyle="solid"/>
            </v:line>
            <v:line style="position:absolute" from="3994,3284" to="3994,3217" stroked="true" strokeweight=".24pt" strokecolor="#000000">
              <v:stroke dashstyle="solid"/>
            </v:line>
            <v:line style="position:absolute" from="4997,3284" to="4997,3217" stroked="true" strokeweight=".24pt" strokecolor="#000000">
              <v:stroke dashstyle="solid"/>
            </v:line>
            <v:line style="position:absolute" from="6014,3284" to="601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75;height:141" type="#_x0000_t202" filled="false" stroked="false">
              <v:textbox inset="0,0,0,0">
                <w:txbxContent>
                  <w:p>
                    <w:pPr>
                      <w:spacing w:before="1"/>
                      <w:ind w:left="0" w:right="0" w:firstLine="0"/>
                      <w:jc w:val="left"/>
                      <w:rPr>
                        <w:b/>
                        <w:sz w:val="12"/>
                      </w:rPr>
                    </w:pPr>
                    <w:r>
                      <w:rPr>
                        <w:b/>
                        <w:color w:val="FF0000"/>
                        <w:sz w:val="12"/>
                      </w:rPr>
                      <w:t>80%</w:t>
                    </w:r>
                  </w:p>
                </w:txbxContent>
              </v:textbox>
              <w10:wrap type="none"/>
            </v:shape>
            <v:shape style="position:absolute;left:2285;top:833;width:375;height:141" type="#_x0000_t202" filled="false" stroked="false">
              <v:textbox inset="0,0,0,0">
                <w:txbxContent>
                  <w:p>
                    <w:pPr>
                      <w:spacing w:before="1"/>
                      <w:ind w:left="0" w:right="0" w:firstLine="0"/>
                      <w:jc w:val="left"/>
                      <w:rPr>
                        <w:b/>
                        <w:sz w:val="12"/>
                      </w:rPr>
                    </w:pPr>
                    <w:r>
                      <w:rPr>
                        <w:b/>
                        <w:w w:val="105"/>
                        <w:sz w:val="12"/>
                      </w:rPr>
                      <w:t>67.3%</w:t>
                    </w:r>
                  </w:p>
                </w:txbxContent>
              </v:textbox>
              <w10:wrap type="none"/>
            </v:shape>
            <v:shape style="position:absolute;left:3298;top:924;width:375;height:141" type="#_x0000_t202" filled="false" stroked="false">
              <v:textbox inset="0,0,0,0">
                <w:txbxContent>
                  <w:p>
                    <w:pPr>
                      <w:spacing w:before="1"/>
                      <w:ind w:left="0" w:right="0" w:firstLine="0"/>
                      <w:jc w:val="left"/>
                      <w:rPr>
                        <w:b/>
                        <w:sz w:val="12"/>
                      </w:rPr>
                    </w:pPr>
                    <w:r>
                      <w:rPr>
                        <w:b/>
                        <w:w w:val="105"/>
                        <w:sz w:val="12"/>
                      </w:rPr>
                      <w:t>64.5%</w:t>
                    </w:r>
                  </w:p>
                </w:txbxContent>
              </v:textbox>
              <w10:wrap type="none"/>
            </v:shape>
            <v:shape style="position:absolute;left:4315;top:857;width:375;height:141" type="#_x0000_t202" filled="false" stroked="false">
              <v:textbox inset="0,0,0,0">
                <w:txbxContent>
                  <w:p>
                    <w:pPr>
                      <w:spacing w:before="1"/>
                      <w:ind w:left="0" w:right="0" w:firstLine="0"/>
                      <w:jc w:val="left"/>
                      <w:rPr>
                        <w:b/>
                        <w:sz w:val="12"/>
                      </w:rPr>
                    </w:pPr>
                    <w:r>
                      <w:rPr>
                        <w:b/>
                        <w:w w:val="105"/>
                        <w:sz w:val="12"/>
                      </w:rPr>
                      <w:t>66.5%</w:t>
                    </w:r>
                  </w:p>
                </w:txbxContent>
              </v:textbox>
              <w10:wrap type="none"/>
            </v:shape>
            <v:shape style="position:absolute;left:5318;top:948;width:375;height:141" type="#_x0000_t202" filled="false" stroked="false">
              <v:textbox inset="0,0,0,0">
                <w:txbxContent>
                  <w:p>
                    <w:pPr>
                      <w:spacing w:before="1"/>
                      <w:ind w:left="0" w:right="0" w:firstLine="0"/>
                      <w:jc w:val="left"/>
                      <w:rPr>
                        <w:b/>
                        <w:sz w:val="12"/>
                      </w:rPr>
                    </w:pPr>
                    <w:r>
                      <w:rPr>
                        <w:b/>
                        <w:w w:val="105"/>
                        <w:sz w:val="12"/>
                      </w:rPr>
                      <w:t>63.7%</w:t>
                    </w:r>
                  </w:p>
                </w:txbxContent>
              </v:textbox>
              <w10:wrap type="none"/>
            </v:shape>
            <v:shape style="position:absolute;left:6331;top:881;width:375;height:141" type="#_x0000_t202" filled="false" stroked="false">
              <v:textbox inset="0,0,0,0">
                <w:txbxContent>
                  <w:p>
                    <w:pPr>
                      <w:spacing w:before="1"/>
                      <w:ind w:left="0" w:right="0" w:firstLine="0"/>
                      <w:jc w:val="left"/>
                      <w:rPr>
                        <w:b/>
                        <w:sz w:val="12"/>
                      </w:rPr>
                    </w:pPr>
                    <w:r>
                      <w:rPr>
                        <w:b/>
                        <w:w w:val="105"/>
                        <w:sz w:val="12"/>
                      </w:rPr>
                      <w:t>66.1%</w:t>
                    </w:r>
                  </w:p>
                </w:txbxContent>
              </v:textbox>
              <w10:wrap type="none"/>
            </v:shape>
            <v:shape style="position:absolute;left:1632;top:1875;width:275;height:141" type="#_x0000_t202" filled="false" stroked="false">
              <v:textbox inset="0,0,0,0">
                <w:txbxContent>
                  <w:p>
                    <w:pPr>
                      <w:spacing w:before="1"/>
                      <w:ind w:left="0" w:right="0" w:firstLine="0"/>
                      <w:jc w:val="left"/>
                      <w:rPr>
                        <w:b/>
                        <w:sz w:val="12"/>
                      </w:rPr>
                    </w:pPr>
                    <w:r>
                      <w:rPr>
                        <w:b/>
                        <w:color w:val="FF0000"/>
                        <w:sz w:val="12"/>
                      </w:rPr>
                      <w:t>40%</w:t>
                    </w:r>
                  </w:p>
                </w:txbxContent>
              </v:textbox>
              <w10:wrap type="none"/>
            </v:shape>
            <v:shape style="position:absolute;left:1704;top:3176;width:203;height:141" type="#_x0000_t202" filled="false" stroked="false">
              <v:textbox inset="0,0,0,0">
                <w:txbxContent>
                  <w:p>
                    <w:pPr>
                      <w:spacing w:before="1"/>
                      <w:ind w:left="0" w:right="0" w:firstLine="0"/>
                      <w:jc w:val="left"/>
                      <w:rPr>
                        <w:b/>
                        <w:sz w:val="12"/>
                      </w:rPr>
                    </w:pPr>
                    <w:r>
                      <w:rPr>
                        <w:b/>
                        <w:color w:val="FF0000"/>
                        <w:sz w:val="12"/>
                      </w:rPr>
                      <w:t>0%</w:t>
                    </w:r>
                  </w:p>
                </w:txbxContent>
              </v:textbox>
              <w10:wrap type="none"/>
            </v:shape>
            <v:shape style="position:absolute;left:2400;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413;top:3358;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30;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43;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61;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50"/>
        <w:ind w:left="119" w:right="0" w:firstLine="0"/>
        <w:jc w:val="left"/>
        <w:rPr>
          <w:b/>
          <w:sz w:val="24"/>
        </w:rPr>
      </w:pPr>
      <w:r>
        <w:rPr>
          <w:b/>
          <w:color w:val="000080"/>
          <w:sz w:val="24"/>
        </w:rPr>
        <w:t>Passenger Load Factor</w:t>
      </w:r>
    </w:p>
    <w:p>
      <w:pPr>
        <w:spacing w:after="0"/>
        <w:jc w:val="left"/>
        <w:rPr>
          <w:sz w:val="24"/>
        </w:rPr>
        <w:sectPr>
          <w:footerReference w:type="default" r:id="rId7"/>
          <w:pgSz w:w="12240" w:h="15840"/>
          <w:pgMar w:footer="344" w:header="1448" w:top="1700" w:bottom="540" w:left="1320" w:right="1320"/>
        </w:sectPr>
      </w:pPr>
    </w:p>
    <w:p>
      <w:pPr>
        <w:pStyle w:val="BodyText"/>
        <w:rPr>
          <w:rFonts w:ascii="Times New Roman"/>
          <w:sz w:val="20"/>
        </w:rPr>
      </w:pPr>
    </w:p>
    <w:p>
      <w:pPr>
        <w:pStyle w:val="BodyText"/>
        <w:rPr>
          <w:rFonts w:ascii="Times New Roman"/>
          <w:sz w:val="20"/>
        </w:rPr>
      </w:pPr>
    </w:p>
    <w:p>
      <w:pPr>
        <w:pStyle w:val="BodyText"/>
        <w:rPr>
          <w:rFonts w:ascii="Times New Roman"/>
          <w:sz w:val="15"/>
        </w:rPr>
      </w:pPr>
    </w:p>
    <w:p>
      <w:pPr>
        <w:pStyle w:val="BodyText"/>
        <w:ind w:left="110"/>
        <w:rPr>
          <w:rFonts w:ascii="Times New Roman"/>
          <w:sz w:val="20"/>
        </w:rPr>
      </w:pPr>
      <w:r>
        <w:rPr>
          <w:rFonts w:ascii="Times New Roman"/>
          <w:sz w:val="20"/>
        </w:rPr>
        <w:pict>
          <v:group style="width:454.6pt;height:171.4pt;mso-position-horizontal-relative:char;mso-position-vertical-relative:line" coordorigin="0,0" coordsize="9092,3428">
            <v:line style="position:absolute" from="10,15" to="9082,15" stroked="true" strokeweight=".72pt" strokecolor="#ff0404">
              <v:stroke dashstyle="solid"/>
            </v:line>
            <v:line style="position:absolute" from="10,29" to="9082,29" stroked="true" strokeweight=".72pt" strokecolor="#ff0909">
              <v:stroke dashstyle="solid"/>
            </v:line>
            <v:line style="position:absolute" from="10,43" to="9082,43" stroked="true" strokeweight=".72pt" strokecolor="#ff0c0c">
              <v:stroke dashstyle="solid"/>
            </v:line>
            <v:line style="position:absolute" from="10,58" to="9082,58" stroked="true" strokeweight=".72pt" strokecolor="#ff0d0d">
              <v:stroke dashstyle="solid"/>
            </v:line>
            <v:line style="position:absolute" from="10,72" to="9082,72" stroked="true" strokeweight=".72pt" strokecolor="#ff1111">
              <v:stroke dashstyle="solid"/>
            </v:line>
            <v:line style="position:absolute" from="10,87" to="9082,87" stroked="true" strokeweight=".72pt" strokecolor="#ff1212">
              <v:stroke dashstyle="solid"/>
            </v:line>
            <v:line style="position:absolute" from="10,101" to="9082,101" stroked="true" strokeweight=".72pt" strokecolor="#ff1616">
              <v:stroke dashstyle="solid"/>
            </v:line>
            <v:line style="position:absolute" from="10,116" to="9082,116" stroked="true" strokeweight=".72pt" strokecolor="#ff1717">
              <v:stroke dashstyle="solid"/>
            </v:line>
            <v:line style="position:absolute" from="10,130" to="9082,130" stroked="true" strokeweight=".72pt" strokecolor="#ff1a1a">
              <v:stroke dashstyle="solid"/>
            </v:line>
            <v:line style="position:absolute" from="10,144" to="9082,144" stroked="true" strokeweight=".72pt" strokecolor="#ff1b1b">
              <v:stroke dashstyle="solid"/>
            </v:line>
            <v:line style="position:absolute" from="10,159" to="9082,159" stroked="true" strokeweight=".72pt" strokecolor="#ff1c1c">
              <v:stroke dashstyle="solid"/>
            </v:line>
            <v:line style="position:absolute" from="10,173" to="9082,173" stroked="true" strokeweight=".72pt" strokecolor="#ff1f1f">
              <v:stroke dashstyle="solid"/>
            </v:line>
            <v:line style="position:absolute" from="10,188" to="9082,188" stroked="true" strokeweight=".72pt" strokecolor="#ff2121">
              <v:stroke dashstyle="solid"/>
            </v:line>
            <v:line style="position:absolute" from="10,202" to="9082,202" stroked="true" strokeweight=".72pt" strokecolor="#ff2424">
              <v:stroke dashstyle="solid"/>
            </v:line>
            <v:line style="position:absolute" from="10,216" to="9082,216" stroked="true" strokeweight=".72pt" strokecolor="#ff2525">
              <v:stroke dashstyle="solid"/>
            </v:line>
            <v:line style="position:absolute" from="10,231" to="9082,231" stroked="true" strokeweight=".72pt" strokecolor="#ff2626">
              <v:stroke dashstyle="solid"/>
            </v:line>
            <v:line style="position:absolute" from="10,245" to="9082,245" stroked="true" strokeweight=".72pt" strokecolor="#ff2929">
              <v:stroke dashstyle="solid"/>
            </v:line>
            <v:line style="position:absolute" from="10,260" to="9082,260" stroked="true" strokeweight=".72pt" strokecolor="#ff2a2a">
              <v:stroke dashstyle="solid"/>
            </v:line>
            <v:line style="position:absolute" from="10,274" to="9082,274" stroked="true" strokeweight=".72pt" strokecolor="#ff2d2d">
              <v:stroke dashstyle="solid"/>
            </v:line>
            <v:line style="position:absolute" from="10,288" to="9082,288" stroked="true" strokeweight=".72pt" strokecolor="#ff2e2e">
              <v:stroke dashstyle="solid"/>
            </v:line>
            <v:line style="position:absolute" from="10,303" to="9082,303" stroked="true" strokeweight=".72pt" strokecolor="#ff3131">
              <v:stroke dashstyle="solid"/>
            </v:line>
            <v:line style="position:absolute" from="10,317" to="9082,317" stroked="true" strokeweight=".72pt" strokecolor="#ff3333">
              <v:stroke dashstyle="solid"/>
            </v:line>
            <v:line style="position:absolute" from="10,332" to="9082,332" stroked="true" strokeweight=".72pt" strokecolor="#ff3434">
              <v:stroke dashstyle="solid"/>
            </v:line>
            <v:line style="position:absolute" from="10,346" to="9082,346" stroked="true" strokeweight=".72pt" strokecolor="#ff3737">
              <v:stroke dashstyle="solid"/>
            </v:line>
            <v:line style="position:absolute" from="10,360" to="9082,360" stroked="true" strokeweight=".72pt" strokecolor="#ff3737">
              <v:stroke dashstyle="solid"/>
            </v:line>
            <v:line style="position:absolute" from="10,375" to="9082,375" stroked="true" strokeweight=".72pt" strokecolor="#ff3b3b">
              <v:stroke dashstyle="solid"/>
            </v:line>
            <v:line style="position:absolute" from="10,389" to="9082,389" stroked="true" strokeweight=".72pt" strokecolor="#ff3c3c">
              <v:stroke dashstyle="solid"/>
            </v:line>
            <v:line style="position:absolute" from="10,403" to="9082,403" stroked="true" strokeweight=".72pt" strokecolor="#ff3f3f">
              <v:stroke dashstyle="solid"/>
            </v:line>
            <v:line style="position:absolute" from="10,418" to="9082,418" stroked="true" strokeweight=".72pt" strokecolor="#ff4040">
              <v:stroke dashstyle="solid"/>
            </v:line>
            <v:line style="position:absolute" from="10,432" to="9082,432" stroked="true" strokeweight=".72pt" strokecolor="#ff4242">
              <v:stroke dashstyle="solid"/>
            </v:line>
            <v:line style="position:absolute" from="10,447" to="9082,447" stroked="true" strokeweight=".72pt" strokecolor="#ff4545">
              <v:stroke dashstyle="solid"/>
            </v:line>
            <v:line style="position:absolute" from="10,461" to="9082,461" stroked="true" strokeweight=".72pt" strokecolor="#ff4646">
              <v:stroke dashstyle="solid"/>
            </v:line>
            <v:line style="position:absolute" from="10,475" to="9082,475" stroked="true" strokeweight=".72pt" strokecolor="#ff4949">
              <v:stroke dashstyle="solid"/>
            </v:line>
            <v:line style="position:absolute" from="10,490" to="9082,490" stroked="true" strokeweight=".72pt" strokecolor="#ff4a4a">
              <v:stroke dashstyle="solid"/>
            </v:line>
            <v:line style="position:absolute" from="10,504" to="9082,504" stroked="true" strokeweight=".72pt" strokecolor="#ff4d4d">
              <v:stroke dashstyle="solid"/>
            </v:line>
            <v:line style="position:absolute" from="10,519" to="9082,519" stroked="true" strokeweight=".72pt" strokecolor="#ff4e4e">
              <v:stroke dashstyle="solid"/>
            </v:line>
            <v:line style="position:absolute" from="10,533" to="9082,533" stroked="true" strokeweight=".72pt" strokecolor="#ff5050">
              <v:stroke dashstyle="solid"/>
            </v:line>
            <v:line style="position:absolute" from="10,548" to="9082,548" stroked="true" strokeweight=".72pt" strokecolor="#ff5353">
              <v:stroke dashstyle="solid"/>
            </v:line>
            <v:line style="position:absolute" from="10,562" to="9082,562" stroked="true" strokeweight=".72pt" strokecolor="#ff5656">
              <v:stroke dashstyle="solid"/>
            </v:line>
            <v:line style="position:absolute" from="10,579" to="9082,579" stroked="true" strokeweight=".96pt" strokecolor="#ff5858">
              <v:stroke dashstyle="solid"/>
            </v:line>
            <v:line style="position:absolute" from="10,595" to="9082,595" stroked="true" strokeweight=".72pt" strokecolor="#ff5b5b">
              <v:stroke dashstyle="solid"/>
            </v:line>
            <v:line style="position:absolute" from="10,610" to="9082,610" stroked="true" strokeweight=".72pt" strokecolor="#ff5c5c">
              <v:stroke dashstyle="solid"/>
            </v:line>
            <v:line style="position:absolute" from="10,624" to="9082,624" stroked="true" strokeweight=".72pt" strokecolor="#ff5e5e">
              <v:stroke dashstyle="solid"/>
            </v:line>
            <v:line style="position:absolute" from="10,639" to="9082,639" stroked="true" strokeweight=".72pt" strokecolor="#ff6060">
              <v:stroke dashstyle="solid"/>
            </v:line>
            <v:line style="position:absolute" from="10,653" to="9082,653" stroked="true" strokeweight=".72pt" strokecolor="#ff6161">
              <v:stroke dashstyle="solid"/>
            </v:line>
            <v:line style="position:absolute" from="10,668" to="9082,668" stroked="true" strokeweight=".72pt" strokecolor="#ff6565">
              <v:stroke dashstyle="solid"/>
            </v:line>
            <v:line style="position:absolute" from="10,682" to="9082,682" stroked="true" strokeweight=".72pt" strokecolor="#ff6666">
              <v:stroke dashstyle="solid"/>
            </v:line>
            <v:line style="position:absolute" from="10,696" to="9082,696" stroked="true" strokeweight=".72pt" strokecolor="#ff6969">
              <v:stroke dashstyle="solid"/>
            </v:line>
            <v:line style="position:absolute" from="10,711" to="9082,711" stroked="true" strokeweight=".72pt" strokecolor="#ff6a6a">
              <v:stroke dashstyle="solid"/>
            </v:line>
            <v:line style="position:absolute" from="10,725" to="9082,725" stroked="true" strokeweight=".72pt" strokecolor="#ff6d6d">
              <v:stroke dashstyle="solid"/>
            </v:line>
            <v:line style="position:absolute" from="10,739" to="9082,739" stroked="true" strokeweight=".72pt" strokecolor="#ff6f6f">
              <v:stroke dashstyle="solid"/>
            </v:line>
            <v:line style="position:absolute" from="10,754" to="9082,754" stroked="true" strokeweight=".72pt" strokecolor="#ff6f6f">
              <v:stroke dashstyle="solid"/>
            </v:line>
            <v:line style="position:absolute" from="10,768" to="9082,768" stroked="true" strokeweight=".72pt" strokecolor="#ff7373">
              <v:stroke dashstyle="solid"/>
            </v:line>
            <v:line style="position:absolute" from="10,783" to="9082,783" stroked="true" strokeweight=".72pt" strokecolor="#ff7474">
              <v:stroke dashstyle="solid"/>
            </v:line>
            <v:line style="position:absolute" from="10,797" to="9082,797" stroked="true" strokeweight=".72pt" strokecolor="#ff7777">
              <v:stroke dashstyle="solid"/>
            </v:line>
            <v:line style="position:absolute" from="10,812" to="9082,812" stroked="true" strokeweight=".72pt" strokecolor="#ff7878">
              <v:stroke dashstyle="solid"/>
            </v:line>
            <v:line style="position:absolute" from="10,826" to="9082,826" stroked="true" strokeweight=".72pt" strokecolor="#ff7979">
              <v:stroke dashstyle="solid"/>
            </v:line>
            <v:line style="position:absolute" from="10,840" to="9082,840" stroked="true" strokeweight=".72pt" strokecolor="#ff7c7c">
              <v:stroke dashstyle="solid"/>
            </v:line>
            <v:line style="position:absolute" from="10,855" to="9082,855" stroked="true" strokeweight=".72pt" strokecolor="#ff7d7d">
              <v:stroke dashstyle="solid"/>
            </v:line>
            <v:line style="position:absolute" from="10,869" to="9082,869" stroked="true" strokeweight=".72pt" strokecolor="#ff8080">
              <v:stroke dashstyle="solid"/>
            </v:line>
            <v:line style="position:absolute" from="10,883" to="9082,883" stroked="true" strokeweight=".72pt" strokecolor="#ff8181">
              <v:stroke dashstyle="solid"/>
            </v:line>
            <v:line style="position:absolute" from="10,898" to="9082,898" stroked="true" strokeweight=".72pt" strokecolor="#ff8282">
              <v:stroke dashstyle="solid"/>
            </v:line>
            <v:line style="position:absolute" from="10,912" to="9082,912" stroked="true" strokeweight=".72pt" strokecolor="#ff8585">
              <v:stroke dashstyle="solid"/>
            </v:line>
            <v:line style="position:absolute" from="10,927" to="9082,927" stroked="true" strokeweight=".72pt" strokecolor="#ff8686">
              <v:stroke dashstyle="solid"/>
            </v:line>
            <v:line style="position:absolute" from="10,941" to="9082,941" stroked="true" strokeweight=".72pt" strokecolor="#ff8989">
              <v:stroke dashstyle="solid"/>
            </v:line>
            <v:line style="position:absolute" from="10,956" to="9082,956" stroked="true" strokeweight=".72pt" strokecolor="#ff8a8a">
              <v:stroke dashstyle="solid"/>
            </v:line>
            <v:line style="position:absolute" from="10,970" to="9082,970" stroked="true" strokeweight=".72pt" strokecolor="#ff8b8b">
              <v:stroke dashstyle="solid"/>
            </v:line>
            <v:line style="position:absolute" from="10,984" to="9082,984" stroked="true" strokeweight=".72pt" strokecolor="#ff8c8c">
              <v:stroke dashstyle="solid"/>
            </v:line>
            <v:line style="position:absolute" from="10,999" to="9082,999" stroked="true" strokeweight=".72pt" strokecolor="#ff8f8f">
              <v:stroke dashstyle="solid"/>
            </v:line>
            <v:line style="position:absolute" from="10,1013" to="9082,1013" stroked="true" strokeweight=".72pt" strokecolor="#ff8f8f">
              <v:stroke dashstyle="solid"/>
            </v:line>
            <v:line style="position:absolute" from="10,1028" to="9082,1028" stroked="true" strokeweight=".72pt" strokecolor="#ff9191">
              <v:stroke dashstyle="solid"/>
            </v:line>
            <v:line style="position:absolute" from="10,1042" to="9082,1042" stroked="true" strokeweight=".72pt" strokecolor="#ff9393">
              <v:stroke dashstyle="solid"/>
            </v:line>
            <v:line style="position:absolute" from="10,1056" to="9082,1056" stroked="true" strokeweight=".72pt" strokecolor="#ff9494">
              <v:stroke dashstyle="solid"/>
            </v:line>
            <v:line style="position:absolute" from="10,1071" to="9082,1071" stroked="true" strokeweight=".72pt" strokecolor="#ff9595">
              <v:stroke dashstyle="solid"/>
            </v:line>
            <v:line style="position:absolute" from="10,1085" to="9082,1085" stroked="true" strokeweight=".72pt" strokecolor="#ff9797">
              <v:stroke dashstyle="solid"/>
            </v:line>
            <v:line style="position:absolute" from="10,1099" to="9082,1099" stroked="true" strokeweight=".72pt" strokecolor="#ff9898">
              <v:stroke dashstyle="solid"/>
            </v:line>
            <v:line style="position:absolute" from="10,1114" to="9082,1114" stroked="true" strokeweight=".72pt" strokecolor="#ff9999">
              <v:stroke dashstyle="solid"/>
            </v:line>
            <v:line style="position:absolute" from="10,1128" to="9082,1128" stroked="true" strokeweight=".72pt" strokecolor="#ff9a9a">
              <v:stroke dashstyle="solid"/>
            </v:line>
            <v:line style="position:absolute" from="10,1143" to="9082,1143" stroked="true" strokeweight=".72pt" strokecolor="#ff9c9c">
              <v:stroke dashstyle="solid"/>
            </v:line>
            <v:line style="position:absolute" from="10,1157" to="9082,1157" stroked="true" strokeweight=".72pt" strokecolor="#ff9d9d">
              <v:stroke dashstyle="solid"/>
            </v:line>
            <v:line style="position:absolute" from="10,1172" to="9082,1172" stroked="true" strokeweight=".72pt" strokecolor="#ff9d9d">
              <v:stroke dashstyle="solid"/>
            </v:line>
            <v:line style="position:absolute" from="10,1186" to="9082,1186" stroked="true" strokeweight=".72pt" strokecolor="#ff9e9e">
              <v:stroke dashstyle="solid"/>
            </v:line>
            <v:line style="position:absolute" from="10,1200" to="9082,1200" stroked="true" strokeweight=".72pt" strokecolor="#ffa0a0">
              <v:stroke dashstyle="solid"/>
            </v:line>
            <v:line style="position:absolute" from="10,1215" to="9082,1215" stroked="true" strokeweight=".72pt" strokecolor="#ffa2a2">
              <v:stroke dashstyle="solid"/>
            </v:line>
            <v:line style="position:absolute" from="10,1229" to="9082,1229" stroked="true" strokeweight=".72pt" strokecolor="#ffa2a2">
              <v:stroke dashstyle="solid"/>
            </v:line>
            <v:line style="position:absolute" from="10,1243" to="9082,1243" stroked="true" strokeweight=".72pt" strokecolor="#ffa3a3">
              <v:stroke dashstyle="solid"/>
            </v:line>
            <v:line style="position:absolute" from="10,1258" to="9082,1258" stroked="true" strokeweight=".72pt" strokecolor="#ffa3a3">
              <v:stroke dashstyle="solid"/>
            </v:line>
            <v:line style="position:absolute" from="10,1272" to="9082,1272" stroked="true" strokeweight=".72pt" strokecolor="#ffa5a5">
              <v:stroke dashstyle="solid"/>
            </v:line>
            <v:line style="position:absolute" from="10,1287" to="9082,1287" stroked="true" strokeweight=".72pt" strokecolor="#ffa6a6">
              <v:stroke dashstyle="solid"/>
            </v:line>
            <v:line style="position:absolute" from="10,1301" to="9082,1301" stroked="true" strokeweight=".72pt" strokecolor="#ffa6a6">
              <v:stroke dashstyle="solid"/>
            </v:line>
            <v:line style="position:absolute" from="10,1316" to="9082,1316" stroked="true" strokeweight=".72pt" strokecolor="#ffa7a7">
              <v:stroke dashstyle="solid"/>
            </v:line>
            <v:line style="position:absolute" from="10,1330" to="9082,1330" stroked="true" strokeweight=".72pt" strokecolor="#ffa8a8">
              <v:stroke dashstyle="solid"/>
            </v:line>
            <v:line style="position:absolute" from="10,1344" to="9082,1344" stroked="true" strokeweight=".72pt" strokecolor="#ffa8a8">
              <v:stroke dashstyle="solid"/>
            </v:line>
            <v:line style="position:absolute" from="10,1359" to="9082,1359" stroked="true" strokeweight=".72pt" strokecolor="#ffaaaa">
              <v:stroke dashstyle="solid"/>
            </v:line>
            <v:line style="position:absolute" from="10,1373" to="9082,1373" stroked="true" strokeweight=".72pt" strokecolor="#ffabab">
              <v:stroke dashstyle="solid"/>
            </v:line>
            <v:line style="position:absolute" from="10,1388" to="9082,1388" stroked="true" strokeweight=".72pt" strokecolor="#ffabab">
              <v:stroke dashstyle="solid"/>
            </v:line>
            <v:line style="position:absolute" from="10,1402" to="9082,1402" stroked="true" strokeweight=".72pt" strokecolor="#ffabab">
              <v:stroke dashstyle="solid"/>
            </v:line>
            <v:line style="position:absolute" from="10,1416" to="9082,1416" stroked="true" strokeweight=".72pt" strokecolor="#ffacac">
              <v:stroke dashstyle="solid"/>
            </v:line>
            <v:line style="position:absolute" from="10,1431" to="9082,1431" stroked="true" strokeweight=".72pt" strokecolor="#ffacac">
              <v:stroke dashstyle="solid"/>
            </v:line>
            <v:line style="position:absolute" from="10,1445" to="9082,1445" stroked="true" strokeweight=".72pt" strokecolor="#ffaeae">
              <v:stroke dashstyle="solid"/>
            </v:line>
            <v:line style="position:absolute" from="10,1459" to="9082,1459" stroked="true" strokeweight=".72pt" strokecolor="#ffaeae">
              <v:stroke dashstyle="solid"/>
            </v:line>
            <v:line style="position:absolute" from="10,1474" to="9082,1474" stroked="true" strokeweight=".72pt" strokecolor="#ffaeae">
              <v:stroke dashstyle="solid"/>
            </v:line>
            <v:line style="position:absolute" from="10,1488" to="9082,1488" stroked="true" strokeweight=".72pt" strokecolor="#ffafaf">
              <v:stroke dashstyle="solid"/>
            </v:line>
            <v:line style="position:absolute" from="10,1503" to="9082,1503" stroked="true" strokeweight=".72pt" strokecolor="#ffafaf">
              <v:stroke dashstyle="solid"/>
            </v:line>
            <v:line style="position:absolute" from="10,1517" to="9082,1517" stroked="true" strokeweight=".72pt" strokecolor="#ffb0b0">
              <v:stroke dashstyle="solid"/>
            </v:line>
            <v:line style="position:absolute" from="10,1531" to="9082,1531" stroked="true" strokeweight=".72pt" strokecolor="#ffb0b0">
              <v:stroke dashstyle="solid"/>
            </v:line>
            <v:line style="position:absolute" from="10,1546" to="9082,1546" stroked="true" strokeweight=".72pt" strokecolor="#ffb0b0">
              <v:stroke dashstyle="solid"/>
            </v:line>
            <v:line style="position:absolute" from="10,1560" to="9082,1560" stroked="true" strokeweight=".72pt" strokecolor="#ffb0b0">
              <v:stroke dashstyle="solid"/>
            </v:line>
            <v:line style="position:absolute" from="10,1575" to="9082,1575" stroked="true" strokeweight=".72pt" strokecolor="#ffb0b0">
              <v:stroke dashstyle="solid"/>
            </v:line>
            <v:line style="position:absolute" from="10,1589" to="9082,1589" stroked="true" strokeweight=".72pt" strokecolor="#ffb1b1">
              <v:stroke dashstyle="solid"/>
            </v:line>
            <v:line style="position:absolute" from="10,1604" to="9082,1604" stroked="true" strokeweight=".72pt" strokecolor="#ffb1b1">
              <v:stroke dashstyle="solid"/>
            </v:line>
            <v:line style="position:absolute" from="10,1618" to="9082,1618" stroked="true" strokeweight=".72pt" strokecolor="#ffb1b1">
              <v:stroke dashstyle="solid"/>
            </v:line>
            <v:line style="position:absolute" from="10,1632" to="9082,1632" stroked="true" strokeweight=".72pt" strokecolor="#ffb1b1">
              <v:stroke dashstyle="solid"/>
            </v:line>
            <v:line style="position:absolute" from="10,1647" to="9082,1647" stroked="true" strokeweight=".72pt" strokecolor="#ffb3b3">
              <v:stroke dashstyle="solid"/>
            </v:line>
            <v:line style="position:absolute" from="10,1661" to="9082,1661" stroked="true" strokeweight=".72pt" strokecolor="#ffb3b3">
              <v:stroke dashstyle="solid"/>
            </v:line>
            <v:line style="position:absolute" from="10,1676" to="9082,1676" stroked="true" strokeweight=".72pt" strokecolor="#ffb3b3">
              <v:stroke dashstyle="solid"/>
            </v:line>
            <v:line style="position:absolute" from="10,1690" to="9082,1690" stroked="true" strokeweight=".72pt" strokecolor="#ffb3b3">
              <v:stroke dashstyle="solid"/>
            </v:line>
            <v:line style="position:absolute" from="10,1704" to="9082,1704" stroked="true" strokeweight=".72pt" strokecolor="#ffb3b3">
              <v:stroke dashstyle="solid"/>
            </v:line>
            <v:line style="position:absolute" from="10,1721" to="9082,1721" stroked="true" strokeweight=".96pt" strokecolor="#ffb3b3">
              <v:stroke dashstyle="solid"/>
            </v:line>
            <v:line style="position:absolute" from="10,1738" to="9082,1738" stroked="true" strokeweight=".72pt" strokecolor="#ffb3b3">
              <v:stroke dashstyle="solid"/>
            </v:line>
            <v:line style="position:absolute" from="10,1752" to="9082,1752" stroked="true" strokeweight=".72pt" strokecolor="#ffb3b3">
              <v:stroke dashstyle="solid"/>
            </v:line>
            <v:line style="position:absolute" from="10,1767" to="9082,1767" stroked="true" strokeweight=".72pt" strokecolor="#ffb3b3">
              <v:stroke dashstyle="solid"/>
            </v:line>
            <v:line style="position:absolute" from="10,1781" to="9082,1781" stroked="true" strokeweight=".72pt" strokecolor="#ffb3b3">
              <v:stroke dashstyle="solid"/>
            </v:line>
            <v:line style="position:absolute" from="10,1796" to="9082,1796" stroked="true" strokeweight=".72pt" strokecolor="#ffb1b1">
              <v:stroke dashstyle="solid"/>
            </v:line>
            <v:line style="position:absolute" from="10,1810" to="9082,1810" stroked="true" strokeweight=".72pt" strokecolor="#ffb1b1">
              <v:stroke dashstyle="solid"/>
            </v:line>
            <v:line style="position:absolute" from="10,1824" to="9082,1824" stroked="true" strokeweight=".72pt" strokecolor="#ffb1b1">
              <v:stroke dashstyle="solid"/>
            </v:line>
            <v:line style="position:absolute" from="10,1839" to="9082,1839" stroked="true" strokeweight=".72pt" strokecolor="#ffb1b1">
              <v:stroke dashstyle="solid"/>
            </v:line>
            <v:line style="position:absolute" from="10,1853" to="9082,1853" stroked="true" strokeweight=".72pt" strokecolor="#ffb0b0">
              <v:stroke dashstyle="solid"/>
            </v:line>
            <v:line style="position:absolute" from="10,1868" to="9082,1868" stroked="true" strokeweight=".72pt" strokecolor="#ffb0b0">
              <v:stroke dashstyle="solid"/>
            </v:line>
            <v:line style="position:absolute" from="10,1882" to="9082,1882" stroked="true" strokeweight=".72pt" strokecolor="#ffb0b0">
              <v:stroke dashstyle="solid"/>
            </v:line>
            <v:line style="position:absolute" from="10,1896" to="9082,1896" stroked="true" strokeweight=".72pt" strokecolor="#ffb0b0">
              <v:stroke dashstyle="solid"/>
            </v:line>
            <v:line style="position:absolute" from="10,1911" to="9082,1911" stroked="true" strokeweight=".72pt" strokecolor="#ffb0b0">
              <v:stroke dashstyle="solid"/>
            </v:line>
            <v:line style="position:absolute" from="10,1925" to="9082,1925" stroked="true" strokeweight=".72pt" strokecolor="#ffafaf">
              <v:stroke dashstyle="solid"/>
            </v:line>
            <v:line style="position:absolute" from="10,1939" to="9082,1939" stroked="true" strokeweight=".72pt" strokecolor="#ffafaf">
              <v:stroke dashstyle="solid"/>
            </v:line>
            <v:line style="position:absolute" from="10,1954" to="9082,1954" stroked="true" strokeweight=".72pt" strokecolor="#ffaeae">
              <v:stroke dashstyle="solid"/>
            </v:line>
            <v:line style="position:absolute" from="10,1968" to="9082,1968" stroked="true" strokeweight=".72pt" strokecolor="#ffaeae">
              <v:stroke dashstyle="solid"/>
            </v:line>
            <v:line style="position:absolute" from="10,1983" to="9082,1983" stroked="true" strokeweight=".72pt" strokecolor="#ffaeae">
              <v:stroke dashstyle="solid"/>
            </v:line>
            <v:line style="position:absolute" from="10,1997" to="9082,1997" stroked="true" strokeweight=".72pt" strokecolor="#ffacac">
              <v:stroke dashstyle="solid"/>
            </v:line>
            <v:line style="position:absolute" from="10,2011" to="9082,2011" stroked="true" strokeweight=".72pt" strokecolor="#ffacac">
              <v:stroke dashstyle="solid"/>
            </v:line>
            <v:line style="position:absolute" from="10,2026" to="9082,2026" stroked="true" strokeweight=".72pt" strokecolor="#ffabab">
              <v:stroke dashstyle="solid"/>
            </v:line>
            <v:line style="position:absolute" from="10,2040" to="9082,2040" stroked="true" strokeweight=".72pt" strokecolor="#ffabab">
              <v:stroke dashstyle="solid"/>
            </v:line>
            <v:line style="position:absolute" from="10,2055" to="9082,2055" stroked="true" strokeweight=".72pt" strokecolor="#ffabab">
              <v:stroke dashstyle="solid"/>
            </v:line>
            <v:line style="position:absolute" from="10,2069" to="9082,2069" stroked="true" strokeweight=".72pt" strokecolor="#ffaaaa">
              <v:stroke dashstyle="solid"/>
            </v:line>
            <v:line style="position:absolute" from="10,2084" to="9082,2084" stroked="true" strokeweight=".72pt" strokecolor="#ffa8a8">
              <v:stroke dashstyle="solid"/>
            </v:line>
            <v:line style="position:absolute" from="10,2098" to="9082,2098" stroked="true" strokeweight=".72pt" strokecolor="#ffa8a8">
              <v:stroke dashstyle="solid"/>
            </v:line>
            <v:line style="position:absolute" from="10,2112" to="9082,2112" stroked="true" strokeweight=".72pt" strokecolor="#ffa7a7">
              <v:stroke dashstyle="solid"/>
            </v:line>
            <v:line style="position:absolute" from="10,2127" to="9082,2127" stroked="true" strokeweight=".72pt" strokecolor="#ffa6a6">
              <v:stroke dashstyle="solid"/>
            </v:line>
            <v:line style="position:absolute" from="10,2141" to="9082,2141" stroked="true" strokeweight=".72pt" strokecolor="#ffa6a6">
              <v:stroke dashstyle="solid"/>
            </v:line>
            <v:line style="position:absolute" from="10,2156" to="9082,2156" stroked="true" strokeweight=".72pt" strokecolor="#ffa5a5">
              <v:stroke dashstyle="solid"/>
            </v:line>
            <v:line style="position:absolute" from="10,2170" to="9082,2170" stroked="true" strokeweight=".72pt" strokecolor="#ffa3a3">
              <v:stroke dashstyle="solid"/>
            </v:line>
            <v:line style="position:absolute" from="10,2184" to="9082,2184" stroked="true" strokeweight=".72pt" strokecolor="#ffa3a3">
              <v:stroke dashstyle="solid"/>
            </v:line>
            <v:line style="position:absolute" from="10,2199" to="9082,2199" stroked="true" strokeweight=".72pt" strokecolor="#ffa2a2">
              <v:stroke dashstyle="solid"/>
            </v:line>
            <v:line style="position:absolute" from="10,2213" to="9082,2213" stroked="true" strokeweight=".72pt" strokecolor="#ffa2a2">
              <v:stroke dashstyle="solid"/>
            </v:line>
            <v:line style="position:absolute" from="10,2228" to="9082,2228" stroked="true" strokeweight=".72pt" strokecolor="#ffa0a0">
              <v:stroke dashstyle="solid"/>
            </v:line>
            <v:line style="position:absolute" from="10,2242" to="9082,2242" stroked="true" strokeweight=".72pt" strokecolor="#ff9e9e">
              <v:stroke dashstyle="solid"/>
            </v:line>
            <v:line style="position:absolute" from="10,2256" to="9082,2256" stroked="true" strokeweight=".72pt" strokecolor="#ff9d9d">
              <v:stroke dashstyle="solid"/>
            </v:line>
            <v:line style="position:absolute" from="10,2271" to="9082,2271" stroked="true" strokeweight=".72pt" strokecolor="#ff9d9d">
              <v:stroke dashstyle="solid"/>
            </v:line>
            <v:line style="position:absolute" from="10,2285" to="9082,2285" stroked="true" strokeweight=".72pt" strokecolor="#ff9c9c">
              <v:stroke dashstyle="solid"/>
            </v:line>
            <v:line style="position:absolute" from="10,2299" to="9082,2299" stroked="true" strokeweight=".72pt" strokecolor="#ff9a9a">
              <v:stroke dashstyle="solid"/>
            </v:line>
            <v:line style="position:absolute" from="10,2314" to="9082,2314" stroked="true" strokeweight=".72pt" strokecolor="#ff9999">
              <v:stroke dashstyle="solid"/>
            </v:line>
            <v:line style="position:absolute" from="10,2328" to="9082,2328" stroked="true" strokeweight=".72pt" strokecolor="#ff9898">
              <v:stroke dashstyle="solid"/>
            </v:line>
            <v:line style="position:absolute" from="10,2343" to="9082,2343" stroked="true" strokeweight=".72pt" strokecolor="#ff9797">
              <v:stroke dashstyle="solid"/>
            </v:line>
            <v:line style="position:absolute" from="10,2357" to="9082,2357" stroked="true" strokeweight=".72pt" strokecolor="#ff9595">
              <v:stroke dashstyle="solid"/>
            </v:line>
            <v:line style="position:absolute" from="10,2371" to="9082,2371" stroked="true" strokeweight=".72pt" strokecolor="#ff9494">
              <v:stroke dashstyle="solid"/>
            </v:line>
            <v:line style="position:absolute" from="10,2386" to="9082,2386" stroked="true" strokeweight=".72pt" strokecolor="#ff9393">
              <v:stroke dashstyle="solid"/>
            </v:line>
            <v:line style="position:absolute" from="10,2400" to="9082,2400" stroked="true" strokeweight=".72pt" strokecolor="#ff9191">
              <v:stroke dashstyle="solid"/>
            </v:line>
            <v:line style="position:absolute" from="10,2415" to="9082,2415" stroked="true" strokeweight=".72pt" strokecolor="#ff8f8f">
              <v:stroke dashstyle="solid"/>
            </v:line>
            <v:line style="position:absolute" from="10,2429" to="9082,2429" stroked="true" strokeweight=".72pt" strokecolor="#ff8f8f">
              <v:stroke dashstyle="solid"/>
            </v:line>
            <v:line style="position:absolute" from="10,2444" to="9082,2444" stroked="true" strokeweight=".72pt" strokecolor="#ff8c8c">
              <v:stroke dashstyle="solid"/>
            </v:line>
            <v:line style="position:absolute" from="10,2458" to="9082,2458" stroked="true" strokeweight=".72pt" strokecolor="#ff8b8b">
              <v:stroke dashstyle="solid"/>
            </v:line>
            <v:line style="position:absolute" from="10,2472" to="9082,2472" stroked="true" strokeweight=".72pt" strokecolor="#ff8a8a">
              <v:stroke dashstyle="solid"/>
            </v:line>
            <v:line style="position:absolute" from="10,2487" to="9082,2487" stroked="true" strokeweight=".72pt" strokecolor="#ff8989">
              <v:stroke dashstyle="solid"/>
            </v:line>
            <v:line style="position:absolute" from="10,2501" to="9082,2501" stroked="true" strokeweight=".72pt" strokecolor="#ff8686">
              <v:stroke dashstyle="solid"/>
            </v:line>
            <v:line style="position:absolute" from="10,2516" to="9082,2516" stroked="true" strokeweight=".72pt" strokecolor="#ff8585">
              <v:stroke dashstyle="solid"/>
            </v:line>
            <v:line style="position:absolute" from="10,2530" to="9082,2530" stroked="true" strokeweight=".72pt" strokecolor="#ff8282">
              <v:stroke dashstyle="solid"/>
            </v:line>
            <v:line style="position:absolute" from="10,2544" to="9082,2544" stroked="true" strokeweight=".72pt" strokecolor="#ff8181">
              <v:stroke dashstyle="solid"/>
            </v:line>
            <v:line style="position:absolute" from="10,2559" to="9082,2559" stroked="true" strokeweight=".72pt" strokecolor="#ff8080">
              <v:stroke dashstyle="solid"/>
            </v:line>
            <v:line style="position:absolute" from="10,2573" to="9082,2573" stroked="true" strokeweight=".72pt" strokecolor="#ff7d7d">
              <v:stroke dashstyle="solid"/>
            </v:line>
            <v:line style="position:absolute" from="10,2588" to="9082,2588" stroked="true" strokeweight=".72pt" strokecolor="#ff7c7c">
              <v:stroke dashstyle="solid"/>
            </v:line>
            <v:line style="position:absolute" from="10,2602" to="9082,2602" stroked="true" strokeweight=".72pt" strokecolor="#ff7979">
              <v:stroke dashstyle="solid"/>
            </v:line>
            <v:line style="position:absolute" from="10,2616" to="9082,2616" stroked="true" strokeweight=".72pt" strokecolor="#ff7878">
              <v:stroke dashstyle="solid"/>
            </v:line>
            <v:line style="position:absolute" from="10,2631" to="9082,2631" stroked="true" strokeweight=".72pt" strokecolor="#ff7777">
              <v:stroke dashstyle="solid"/>
            </v:line>
            <v:line style="position:absolute" from="10,2645" to="9082,2645" stroked="true" strokeweight=".72pt" strokecolor="#ff7474">
              <v:stroke dashstyle="solid"/>
            </v:line>
            <v:line style="position:absolute" from="10,2660" to="9082,2660" stroked="true" strokeweight=".72pt" strokecolor="#ff7373">
              <v:stroke dashstyle="solid"/>
            </v:line>
            <v:line style="position:absolute" from="10,2674" to="9082,2674" stroked="true" strokeweight=".72pt" strokecolor="#ff6f6f">
              <v:stroke dashstyle="solid"/>
            </v:line>
            <v:line style="position:absolute" from="10,2688" to="9082,2688" stroked="true" strokeweight=".72pt" strokecolor="#ff6f6f">
              <v:stroke dashstyle="solid"/>
            </v:line>
            <v:line style="position:absolute" from="10,2703" to="9082,2703" stroked="true" strokeweight=".72pt" strokecolor="#ff6d6d">
              <v:stroke dashstyle="solid"/>
            </v:line>
            <v:line style="position:absolute" from="10,2717" to="9082,2717" stroked="true" strokeweight=".72pt" strokecolor="#ff6a6a">
              <v:stroke dashstyle="solid"/>
            </v:line>
            <v:line style="position:absolute" from="10,2731" to="9082,2731" stroked="true" strokeweight=".72pt" strokecolor="#ff6969">
              <v:stroke dashstyle="solid"/>
            </v:line>
            <v:line style="position:absolute" from="10,2746" to="9082,2746" stroked="true" strokeweight=".72pt" strokecolor="#ff6666">
              <v:stroke dashstyle="solid"/>
            </v:line>
            <v:line style="position:absolute" from="10,2760" to="9082,2760" stroked="true" strokeweight=".72pt" strokecolor="#ff6565">
              <v:stroke dashstyle="solid"/>
            </v:line>
            <v:line style="position:absolute" from="10,2775" to="9082,2775" stroked="true" strokeweight=".72pt" strokecolor="#ff6161">
              <v:stroke dashstyle="solid"/>
            </v:line>
            <v:line style="position:absolute" from="10,2789" to="9082,2789" stroked="true" strokeweight=".72pt" strokecolor="#ff6060">
              <v:stroke dashstyle="solid"/>
            </v:line>
            <v:line style="position:absolute" from="10,2804" to="9082,2804" stroked="true" strokeweight=".72pt" strokecolor="#ff5e5e">
              <v:stroke dashstyle="solid"/>
            </v:line>
            <v:line style="position:absolute" from="10,2818" to="9082,2818" stroked="true" strokeweight=".72pt" strokecolor="#ff5c5c">
              <v:stroke dashstyle="solid"/>
            </v:line>
            <v:line style="position:absolute" from="10,2832" to="9082,2832" stroked="true" strokeweight=".72pt" strokecolor="#ff5b5b">
              <v:stroke dashstyle="solid"/>
            </v:line>
            <v:line style="position:absolute" from="10,2849" to="9082,2849" stroked="true" strokeweight=".96pt" strokecolor="#ff5858">
              <v:stroke dashstyle="solid"/>
            </v:line>
            <v:line style="position:absolute" from="10,2866" to="9082,2866" stroked="true" strokeweight=".72pt" strokecolor="#ff5656">
              <v:stroke dashstyle="solid"/>
            </v:line>
            <v:line style="position:absolute" from="10,2880" to="9082,2880" stroked="true" strokeweight=".72pt" strokecolor="#ff5353">
              <v:stroke dashstyle="solid"/>
            </v:line>
            <v:line style="position:absolute" from="10,2895" to="9082,2895" stroked="true" strokeweight=".72pt" strokecolor="#ff5050">
              <v:stroke dashstyle="solid"/>
            </v:line>
            <v:line style="position:absolute" from="10,2909" to="9082,2909" stroked="true" strokeweight=".72pt" strokecolor="#ff4e4e">
              <v:stroke dashstyle="solid"/>
            </v:line>
            <v:line style="position:absolute" from="10,2924" to="9082,2924" stroked="true" strokeweight=".72pt" strokecolor="#ff4d4d">
              <v:stroke dashstyle="solid"/>
            </v:line>
            <v:line style="position:absolute" from="10,2938" to="9082,2938" stroked="true" strokeweight=".72pt" strokecolor="#ff4a4a">
              <v:stroke dashstyle="solid"/>
            </v:line>
            <v:line style="position:absolute" from="10,2952" to="9082,2952" stroked="true" strokeweight=".72pt" strokecolor="#ff4949">
              <v:stroke dashstyle="solid"/>
            </v:line>
            <v:line style="position:absolute" from="10,2967" to="9082,2967" stroked="true" strokeweight=".72pt" strokecolor="#ff4646">
              <v:stroke dashstyle="solid"/>
            </v:line>
            <v:line style="position:absolute" from="10,2981" to="9082,2981" stroked="true" strokeweight=".72pt" strokecolor="#ff4545">
              <v:stroke dashstyle="solid"/>
            </v:line>
            <v:line style="position:absolute" from="10,2995" to="9082,2995" stroked="true" strokeweight=".72pt" strokecolor="#ff4242">
              <v:stroke dashstyle="solid"/>
            </v:line>
            <v:line style="position:absolute" from="10,3010" to="9082,3010" stroked="true" strokeweight=".72pt" strokecolor="#ff4040">
              <v:stroke dashstyle="solid"/>
            </v:line>
            <v:line style="position:absolute" from="10,3024" to="9082,3024" stroked="true" strokeweight=".72pt" strokecolor="#ff3f3f">
              <v:stroke dashstyle="solid"/>
            </v:line>
            <v:line style="position:absolute" from="10,3039" to="9082,3039" stroked="true" strokeweight=".72pt" strokecolor="#ff3c3c">
              <v:stroke dashstyle="solid"/>
            </v:line>
            <v:line style="position:absolute" from="10,3053" to="9082,3053" stroked="true" strokeweight=".72pt" strokecolor="#ff3b3b">
              <v:stroke dashstyle="solid"/>
            </v:line>
            <v:line style="position:absolute" from="10,3068" to="9082,3068" stroked="true" strokeweight=".72pt" strokecolor="#ff3737">
              <v:stroke dashstyle="solid"/>
            </v:line>
            <v:line style="position:absolute" from="10,3082" to="9082,3082" stroked="true" strokeweight=".72pt" strokecolor="#ff3737">
              <v:stroke dashstyle="solid"/>
            </v:line>
            <v:line style="position:absolute" from="10,3096" to="9082,3096" stroked="true" strokeweight=".72pt" strokecolor="#ff3434">
              <v:stroke dashstyle="solid"/>
            </v:line>
            <v:line style="position:absolute" from="10,3111" to="9082,3111" stroked="true" strokeweight=".72pt" strokecolor="#ff3333">
              <v:stroke dashstyle="solid"/>
            </v:line>
            <v:line style="position:absolute" from="10,3125" to="9082,3125" stroked="true" strokeweight=".72pt" strokecolor="#ff3131">
              <v:stroke dashstyle="solid"/>
            </v:line>
            <v:line style="position:absolute" from="10,3140" to="9082,3140" stroked="true" strokeweight=".72pt" strokecolor="#ff2e2e">
              <v:stroke dashstyle="solid"/>
            </v:line>
            <v:line style="position:absolute" from="10,3154" to="9082,3154" stroked="true" strokeweight=".72pt" strokecolor="#ff2d2d">
              <v:stroke dashstyle="solid"/>
            </v:line>
            <v:line style="position:absolute" from="10,3168" to="9082,3168" stroked="true" strokeweight=".72pt" strokecolor="#ff2a2a">
              <v:stroke dashstyle="solid"/>
            </v:line>
            <v:line style="position:absolute" from="10,3183" to="9082,3183" stroked="true" strokeweight=".72pt" strokecolor="#ff2929">
              <v:stroke dashstyle="solid"/>
            </v:line>
            <v:line style="position:absolute" from="10,3197" to="9082,3197" stroked="true" strokeweight=".72pt" strokecolor="#ff2626">
              <v:stroke dashstyle="solid"/>
            </v:line>
            <v:line style="position:absolute" from="10,3211" to="9082,3211" stroked="true" strokeweight=".72pt" strokecolor="#ff2525">
              <v:stroke dashstyle="solid"/>
            </v:line>
            <v:line style="position:absolute" from="10,3226" to="9082,3226" stroked="true" strokeweight=".72pt" strokecolor="#ff2424">
              <v:stroke dashstyle="solid"/>
            </v:line>
            <v:line style="position:absolute" from="10,3240" to="9082,3240" stroked="true" strokeweight=".72pt" strokecolor="#ff2121">
              <v:stroke dashstyle="solid"/>
            </v:line>
            <v:line style="position:absolute" from="10,3255" to="9082,3255" stroked="true" strokeweight=".72pt" strokecolor="#ff1f1f">
              <v:stroke dashstyle="solid"/>
            </v:line>
            <v:line style="position:absolute" from="10,3269" to="9082,3269" stroked="true" strokeweight=".72pt" strokecolor="#ff1c1c">
              <v:stroke dashstyle="solid"/>
            </v:line>
            <v:line style="position:absolute" from="10,3284" to="9082,3284" stroked="true" strokeweight=".72pt" strokecolor="#ff1b1b">
              <v:stroke dashstyle="solid"/>
            </v:line>
            <v:line style="position:absolute" from="10,3298" to="9082,3298" stroked="true" strokeweight=".72pt" strokecolor="#ff1a1a">
              <v:stroke dashstyle="solid"/>
            </v:line>
            <v:line style="position:absolute" from="10,3312" to="9082,3312" stroked="true" strokeweight=".72pt" strokecolor="#ff1717">
              <v:stroke dashstyle="solid"/>
            </v:line>
            <v:line style="position:absolute" from="10,3327" to="9082,3327" stroked="true" strokeweight=".72pt" strokecolor="#ff1616">
              <v:stroke dashstyle="solid"/>
            </v:line>
            <v:line style="position:absolute" from="10,3341" to="9082,3341" stroked="true" strokeweight=".72pt" strokecolor="#ff1212">
              <v:stroke dashstyle="solid"/>
            </v:line>
            <v:line style="position:absolute" from="10,3355" to="9082,3355" stroked="true" strokeweight=".72pt" strokecolor="#ff1111">
              <v:stroke dashstyle="solid"/>
            </v:line>
            <v:line style="position:absolute" from="10,3370" to="9082,3370" stroked="true" strokeweight=".72pt" strokecolor="#ff0d0d">
              <v:stroke dashstyle="solid"/>
            </v:line>
            <v:line style="position:absolute" from="10,3384" to="9082,3384" stroked="true" strokeweight=".72pt" strokecolor="#ff0c0c">
              <v:stroke dashstyle="solid"/>
            </v:line>
            <v:line style="position:absolute" from="10,3399" to="9082,3399" stroked="true" strokeweight=".72pt" strokecolor="#ff0909">
              <v:stroke dashstyle="solid"/>
            </v:line>
            <v:line style="position:absolute" from="10,3413" to="9082,3413" stroked="true" strokeweight=".72pt" strokecolor="#ff0404">
              <v:stroke dashstyle="solid"/>
            </v:line>
            <v:rect style="position:absolute;left:10;top:8;width:9072;height:3413" filled="false" stroked="true" strokeweight=".72pt" strokecolor="#000000">
              <v:stroke dashstyle="solid"/>
            </v:rect>
            <v:shape style="position:absolute;left:0;top:0;width:9092;height:3428" type="#_x0000_t202" filled="false" stroked="false">
              <v:textbox inset="0,0,0,0">
                <w:txbxContent>
                  <w:p>
                    <w:pPr>
                      <w:spacing w:line="268" w:lineRule="auto" w:before="123"/>
                      <w:ind w:left="345" w:right="170" w:hanging="183"/>
                      <w:jc w:val="both"/>
                      <w:rPr>
                        <w:b/>
                        <w:i/>
                        <w:sz w:val="28"/>
                      </w:rPr>
                    </w:pPr>
                    <w:r>
                      <w:rPr>
                        <w:b/>
                        <w:i/>
                        <w:spacing w:val="9"/>
                        <w:sz w:val="28"/>
                      </w:rPr>
                      <w:t>To </w:t>
                    </w:r>
                    <w:r>
                      <w:rPr>
                        <w:b/>
                        <w:i/>
                        <w:spacing w:val="16"/>
                        <w:sz w:val="28"/>
                      </w:rPr>
                      <w:t>Steve </w:t>
                    </w:r>
                    <w:r>
                      <w:rPr>
                        <w:b/>
                        <w:i/>
                        <w:spacing w:val="18"/>
                        <w:sz w:val="28"/>
                      </w:rPr>
                      <w:t>Salvatori, </w:t>
                    </w:r>
                    <w:r>
                      <w:rPr>
                        <w:b/>
                        <w:i/>
                        <w:spacing w:val="16"/>
                        <w:sz w:val="28"/>
                      </w:rPr>
                      <w:t>freedom means </w:t>
                    </w:r>
                    <w:r>
                      <w:rPr>
                        <w:b/>
                        <w:i/>
                        <w:spacing w:val="15"/>
                        <w:sz w:val="28"/>
                      </w:rPr>
                      <w:t>being </w:t>
                    </w:r>
                    <w:r>
                      <w:rPr>
                        <w:b/>
                        <w:i/>
                        <w:spacing w:val="14"/>
                        <w:sz w:val="28"/>
                      </w:rPr>
                      <w:t>able </w:t>
                    </w:r>
                    <w:r>
                      <w:rPr>
                        <w:b/>
                        <w:i/>
                        <w:spacing w:val="9"/>
                        <w:sz w:val="28"/>
                      </w:rPr>
                      <w:t>to  </w:t>
                    </w:r>
                    <w:r>
                      <w:rPr>
                        <w:b/>
                        <w:i/>
                        <w:spacing w:val="12"/>
                        <w:sz w:val="28"/>
                      </w:rPr>
                      <w:t>get </w:t>
                    </w:r>
                    <w:r>
                      <w:rPr>
                        <w:b/>
                        <w:i/>
                        <w:spacing w:val="14"/>
                        <w:sz w:val="28"/>
                      </w:rPr>
                      <w:t>where </w:t>
                    </w:r>
                    <w:r>
                      <w:rPr>
                        <w:b/>
                        <w:i/>
                        <w:spacing w:val="12"/>
                        <w:sz w:val="28"/>
                      </w:rPr>
                      <w:t>you </w:t>
                    </w:r>
                    <w:r>
                      <w:rPr>
                        <w:b/>
                        <w:i/>
                        <w:spacing w:val="13"/>
                        <w:sz w:val="28"/>
                      </w:rPr>
                      <w:t>want </w:t>
                    </w:r>
                    <w:r>
                      <w:rPr>
                        <w:b/>
                        <w:i/>
                        <w:spacing w:val="9"/>
                        <w:sz w:val="28"/>
                      </w:rPr>
                      <w:t>to go </w:t>
                    </w:r>
                    <w:r>
                      <w:rPr>
                        <w:b/>
                        <w:i/>
                        <w:spacing w:val="15"/>
                        <w:sz w:val="28"/>
                      </w:rPr>
                      <w:t>whenever </w:t>
                    </w:r>
                    <w:r>
                      <w:rPr>
                        <w:b/>
                        <w:i/>
                        <w:spacing w:val="12"/>
                        <w:sz w:val="28"/>
                      </w:rPr>
                      <w:t>you </w:t>
                    </w:r>
                    <w:r>
                      <w:rPr>
                        <w:b/>
                        <w:i/>
                        <w:spacing w:val="13"/>
                        <w:sz w:val="28"/>
                      </w:rPr>
                      <w:t>want </w:t>
                    </w:r>
                    <w:r>
                      <w:rPr>
                        <w:b/>
                        <w:i/>
                        <w:spacing w:val="9"/>
                        <w:sz w:val="28"/>
                      </w:rPr>
                      <w:t>to go </w:t>
                    </w:r>
                    <w:r>
                      <w:rPr>
                        <w:b/>
                        <w:i/>
                        <w:spacing w:val="18"/>
                        <w:sz w:val="28"/>
                      </w:rPr>
                      <w:t>there.   </w:t>
                    </w:r>
                    <w:r>
                      <w:rPr>
                        <w:b/>
                        <w:i/>
                        <w:spacing w:val="12"/>
                        <w:sz w:val="28"/>
                      </w:rPr>
                      <w:t>And </w:t>
                    </w:r>
                    <w:r>
                      <w:rPr>
                        <w:b/>
                        <w:i/>
                        <w:spacing w:val="14"/>
                        <w:sz w:val="28"/>
                      </w:rPr>
                      <w:t>where </w:t>
                    </w:r>
                    <w:r>
                      <w:rPr>
                        <w:b/>
                        <w:i/>
                        <w:spacing w:val="16"/>
                        <w:sz w:val="28"/>
                      </w:rPr>
                      <w:t>Steve </w:t>
                    </w:r>
                    <w:r>
                      <w:rPr>
                        <w:b/>
                        <w:i/>
                        <w:spacing w:val="14"/>
                        <w:sz w:val="28"/>
                      </w:rPr>
                      <w:t>wants </w:t>
                    </w:r>
                    <w:r>
                      <w:rPr>
                        <w:b/>
                        <w:i/>
                        <w:spacing w:val="9"/>
                        <w:sz w:val="28"/>
                      </w:rPr>
                      <w:t>to go is </w:t>
                    </w:r>
                    <w:r>
                      <w:rPr>
                        <w:b/>
                        <w:i/>
                        <w:spacing w:val="13"/>
                        <w:sz w:val="28"/>
                      </w:rPr>
                      <w:t>just </w:t>
                    </w:r>
                    <w:r>
                      <w:rPr>
                        <w:b/>
                        <w:i/>
                        <w:spacing w:val="14"/>
                        <w:sz w:val="28"/>
                      </w:rPr>
                      <w:t>about </w:t>
                    </w:r>
                    <w:r>
                      <w:rPr>
                        <w:b/>
                        <w:i/>
                        <w:spacing w:val="18"/>
                        <w:sz w:val="28"/>
                      </w:rPr>
                      <w:t>everywhere </w:t>
                    </w:r>
                    <w:r>
                      <w:rPr>
                        <w:b/>
                        <w:i/>
                        <w:spacing w:val="17"/>
                        <w:sz w:val="28"/>
                      </w:rPr>
                      <w:t>Southwest </w:t>
                    </w:r>
                    <w:r>
                      <w:rPr>
                        <w:b/>
                        <w:i/>
                        <w:spacing w:val="16"/>
                        <w:sz w:val="28"/>
                      </w:rPr>
                      <w:t>Airlines </w:t>
                    </w:r>
                    <w:r>
                      <w:rPr>
                        <w:b/>
                        <w:i/>
                        <w:spacing w:val="15"/>
                        <w:sz w:val="28"/>
                      </w:rPr>
                      <w:t>flies. See, </w:t>
                    </w:r>
                    <w:r>
                      <w:rPr>
                        <w:b/>
                        <w:i/>
                        <w:spacing w:val="16"/>
                        <w:sz w:val="28"/>
                      </w:rPr>
                      <w:t>Steve’s </w:t>
                    </w:r>
                    <w:r>
                      <w:rPr>
                        <w:b/>
                        <w:i/>
                        <w:spacing w:val="15"/>
                        <w:sz w:val="28"/>
                      </w:rPr>
                      <w:t>trying </w:t>
                    </w:r>
                    <w:r>
                      <w:rPr>
                        <w:b/>
                        <w:i/>
                        <w:spacing w:val="9"/>
                        <w:sz w:val="28"/>
                      </w:rPr>
                      <w:t>to </w:t>
                    </w:r>
                    <w:r>
                      <w:rPr>
                        <w:b/>
                        <w:i/>
                        <w:spacing w:val="13"/>
                        <w:sz w:val="28"/>
                      </w:rPr>
                      <w:t>run </w:t>
                    </w:r>
                    <w:r>
                      <w:rPr>
                        <w:b/>
                        <w:i/>
                        <w:spacing w:val="18"/>
                        <w:sz w:val="28"/>
                      </w:rPr>
                      <w:t>one </w:t>
                    </w:r>
                    <w:r>
                      <w:rPr>
                        <w:b/>
                        <w:i/>
                        <w:spacing w:val="17"/>
                        <w:sz w:val="28"/>
                      </w:rPr>
                      <w:t>marathon </w:t>
                    </w:r>
                    <w:r>
                      <w:rPr>
                        <w:b/>
                        <w:i/>
                        <w:spacing w:val="9"/>
                        <w:sz w:val="28"/>
                      </w:rPr>
                      <w:t>in as </w:t>
                    </w:r>
                    <w:r>
                      <w:rPr>
                        <w:b/>
                        <w:i/>
                        <w:spacing w:val="15"/>
                        <w:sz w:val="28"/>
                      </w:rPr>
                      <w:t>many </w:t>
                    </w:r>
                    <w:r>
                      <w:rPr>
                        <w:b/>
                        <w:i/>
                        <w:spacing w:val="16"/>
                        <w:sz w:val="28"/>
                      </w:rPr>
                      <w:t>different </w:t>
                    </w:r>
                    <w:r>
                      <w:rPr>
                        <w:b/>
                        <w:i/>
                        <w:spacing w:val="15"/>
                        <w:sz w:val="28"/>
                      </w:rPr>
                      <w:t>states </w:t>
                    </w:r>
                    <w:r>
                      <w:rPr>
                        <w:b/>
                        <w:i/>
                        <w:spacing w:val="9"/>
                        <w:sz w:val="28"/>
                      </w:rPr>
                      <w:t>as he </w:t>
                    </w:r>
                    <w:r>
                      <w:rPr>
                        <w:b/>
                        <w:i/>
                        <w:spacing w:val="13"/>
                        <w:sz w:val="28"/>
                      </w:rPr>
                      <w:t>can. </w:t>
                    </w:r>
                    <w:r>
                      <w:rPr>
                        <w:b/>
                        <w:i/>
                        <w:spacing w:val="20"/>
                        <w:sz w:val="28"/>
                      </w:rPr>
                      <w:t>Maybe </w:t>
                    </w:r>
                    <w:r>
                      <w:rPr>
                        <w:b/>
                        <w:i/>
                        <w:spacing w:val="14"/>
                        <w:sz w:val="28"/>
                      </w:rPr>
                      <w:t>even </w:t>
                    </w:r>
                    <w:r>
                      <w:rPr>
                        <w:b/>
                        <w:i/>
                        <w:spacing w:val="12"/>
                        <w:sz w:val="28"/>
                      </w:rPr>
                      <w:t>all </w:t>
                    </w:r>
                    <w:r>
                      <w:rPr>
                        <w:b/>
                        <w:i/>
                        <w:spacing w:val="9"/>
                        <w:sz w:val="28"/>
                      </w:rPr>
                      <w:t>50 by </w:t>
                    </w:r>
                    <w:r>
                      <w:rPr>
                        <w:b/>
                        <w:i/>
                        <w:spacing w:val="12"/>
                        <w:sz w:val="28"/>
                      </w:rPr>
                      <w:t>his  </w:t>
                    </w:r>
                    <w:r>
                      <w:rPr>
                        <w:b/>
                        <w:i/>
                        <w:spacing w:val="14"/>
                        <w:sz w:val="28"/>
                      </w:rPr>
                      <w:t>50th </w:t>
                    </w:r>
                    <w:r>
                      <w:rPr>
                        <w:b/>
                        <w:i/>
                        <w:spacing w:val="16"/>
                        <w:sz w:val="28"/>
                      </w:rPr>
                      <w:t>birthday. </w:t>
                    </w:r>
                    <w:r>
                      <w:rPr>
                        <w:b/>
                        <w:i/>
                        <w:spacing w:val="9"/>
                        <w:sz w:val="28"/>
                      </w:rPr>
                      <w:t>He  </w:t>
                    </w:r>
                    <w:r>
                      <w:rPr>
                        <w:b/>
                        <w:i/>
                        <w:spacing w:val="14"/>
                        <w:sz w:val="28"/>
                      </w:rPr>
                      <w:t>says that with </w:t>
                    </w:r>
                    <w:r>
                      <w:rPr>
                        <w:b/>
                        <w:i/>
                        <w:spacing w:val="12"/>
                        <w:sz w:val="28"/>
                      </w:rPr>
                      <w:t>our low </w:t>
                    </w:r>
                    <w:r>
                      <w:rPr>
                        <w:b/>
                        <w:i/>
                        <w:spacing w:val="15"/>
                        <w:sz w:val="28"/>
                      </w:rPr>
                      <w:t>fares </w:t>
                    </w:r>
                    <w:r>
                      <w:rPr>
                        <w:b/>
                        <w:i/>
                        <w:spacing w:val="12"/>
                        <w:sz w:val="28"/>
                      </w:rPr>
                      <w:t>and </w:t>
                    </w:r>
                    <w:r>
                      <w:rPr>
                        <w:b/>
                        <w:i/>
                        <w:spacing w:val="16"/>
                        <w:sz w:val="28"/>
                      </w:rPr>
                      <w:t>frequent flights, </w:t>
                    </w:r>
                    <w:r>
                      <w:rPr>
                        <w:b/>
                        <w:i/>
                        <w:spacing w:val="14"/>
                        <w:sz w:val="28"/>
                      </w:rPr>
                      <w:t>he’s </w:t>
                    </w:r>
                    <w:r>
                      <w:rPr>
                        <w:b/>
                        <w:i/>
                        <w:spacing w:val="13"/>
                        <w:sz w:val="28"/>
                      </w:rPr>
                      <w:t>able </w:t>
                    </w:r>
                    <w:r>
                      <w:rPr>
                        <w:b/>
                        <w:i/>
                        <w:spacing w:val="9"/>
                        <w:sz w:val="28"/>
                      </w:rPr>
                      <w:t>to </w:t>
                    </w:r>
                    <w:r>
                      <w:rPr>
                        <w:b/>
                        <w:i/>
                        <w:spacing w:val="14"/>
                        <w:sz w:val="28"/>
                      </w:rPr>
                      <w:t>meet </w:t>
                    </w:r>
                    <w:r>
                      <w:rPr>
                        <w:b/>
                        <w:i/>
                        <w:spacing w:val="18"/>
                        <w:sz w:val="28"/>
                      </w:rPr>
                      <w:t>his  </w:t>
                    </w:r>
                    <w:r>
                      <w:rPr>
                        <w:b/>
                        <w:i/>
                        <w:spacing w:val="15"/>
                        <w:sz w:val="28"/>
                      </w:rPr>
                      <w:t>goals. </w:t>
                    </w:r>
                    <w:r>
                      <w:rPr>
                        <w:b/>
                        <w:i/>
                        <w:spacing w:val="12"/>
                        <w:sz w:val="28"/>
                      </w:rPr>
                      <w:t>And </w:t>
                    </w:r>
                    <w:r>
                      <w:rPr>
                        <w:b/>
                        <w:i/>
                        <w:spacing w:val="9"/>
                        <w:sz w:val="28"/>
                      </w:rPr>
                      <w:t>he </w:t>
                    </w:r>
                    <w:r>
                      <w:rPr>
                        <w:b/>
                        <w:i/>
                        <w:spacing w:val="14"/>
                        <w:sz w:val="28"/>
                      </w:rPr>
                      <w:t>says </w:t>
                    </w:r>
                    <w:r>
                      <w:rPr>
                        <w:b/>
                        <w:i/>
                        <w:spacing w:val="17"/>
                        <w:sz w:val="28"/>
                      </w:rPr>
                      <w:t>running’s </w:t>
                    </w:r>
                    <w:r>
                      <w:rPr>
                        <w:b/>
                        <w:i/>
                        <w:sz w:val="28"/>
                      </w:rPr>
                      <w:t>a </w:t>
                    </w:r>
                    <w:r>
                      <w:rPr>
                        <w:b/>
                        <w:i/>
                        <w:spacing w:val="14"/>
                        <w:sz w:val="28"/>
                      </w:rPr>
                      <w:t>great </w:t>
                    </w:r>
                    <w:r>
                      <w:rPr>
                        <w:b/>
                        <w:i/>
                        <w:spacing w:val="12"/>
                        <w:sz w:val="28"/>
                      </w:rPr>
                      <w:t>way </w:t>
                    </w:r>
                    <w:r>
                      <w:rPr>
                        <w:b/>
                        <w:i/>
                        <w:spacing w:val="9"/>
                        <w:sz w:val="28"/>
                      </w:rPr>
                      <w:t>to </w:t>
                    </w:r>
                    <w:r>
                      <w:rPr>
                        <w:b/>
                        <w:i/>
                        <w:spacing w:val="13"/>
                        <w:sz w:val="28"/>
                      </w:rPr>
                      <w:t>stay </w:t>
                    </w:r>
                    <w:r>
                      <w:rPr>
                        <w:b/>
                        <w:i/>
                        <w:spacing w:val="18"/>
                        <w:sz w:val="28"/>
                      </w:rPr>
                      <w:t>young, </w:t>
                    </w:r>
                    <w:r>
                      <w:rPr>
                        <w:b/>
                        <w:i/>
                        <w:spacing w:val="12"/>
                        <w:sz w:val="28"/>
                      </w:rPr>
                      <w:t>and </w:t>
                    </w:r>
                    <w:r>
                      <w:rPr>
                        <w:b/>
                        <w:i/>
                        <w:spacing w:val="9"/>
                        <w:sz w:val="28"/>
                      </w:rPr>
                      <w:t>we </w:t>
                    </w:r>
                    <w:r>
                      <w:rPr>
                        <w:b/>
                        <w:i/>
                        <w:spacing w:val="15"/>
                        <w:sz w:val="28"/>
                      </w:rPr>
                      <w:t>should </w:t>
                    </w:r>
                    <w:r>
                      <w:rPr>
                        <w:b/>
                        <w:i/>
                        <w:spacing w:val="14"/>
                        <w:sz w:val="28"/>
                      </w:rPr>
                      <w:t>join him. We’ll </w:t>
                    </w:r>
                    <w:r>
                      <w:rPr>
                        <w:b/>
                        <w:i/>
                        <w:spacing w:val="16"/>
                        <w:sz w:val="28"/>
                      </w:rPr>
                      <w:t> see.</w:t>
                    </w:r>
                  </w:p>
                </w:txbxContent>
              </v:textbox>
              <w10:wrap type="none"/>
            </v:shape>
          </v:group>
        </w:pict>
      </w:r>
      <w:r>
        <w:rPr>
          <w:rFonts w:ascii="Times New Roman"/>
          <w:sz w:val="20"/>
        </w:rPr>
      </w:r>
    </w:p>
    <w:p>
      <w:pPr>
        <w:spacing w:after="0"/>
        <w:rPr>
          <w:rFonts w:ascii="Times New Roman"/>
          <w:sz w:val="20"/>
        </w:rPr>
        <w:sectPr>
          <w:footerReference w:type="default" r:id="rId8"/>
          <w:pgSz w:w="12240" w:h="15840"/>
          <w:pgMar w:footer="344" w:header="1448" w:top="1700" w:bottom="540" w:left="1320" w:right="1320"/>
          <w:pgNumType w:start="11"/>
        </w:sectPr>
      </w:pPr>
    </w:p>
    <w:p>
      <w:pPr>
        <w:pStyle w:val="BodyText"/>
        <w:spacing w:before="8"/>
        <w:rPr>
          <w:rFonts w:ascii="Times New Roman"/>
          <w:sz w:val="22"/>
        </w:rPr>
      </w:pPr>
    </w:p>
    <w:p>
      <w:pPr>
        <w:spacing w:line="232" w:lineRule="auto" w:before="97"/>
        <w:ind w:left="302" w:right="115" w:hanging="183"/>
        <w:jc w:val="both"/>
        <w:rPr>
          <w:sz w:val="32"/>
        </w:rPr>
      </w:pPr>
      <w:r>
        <w:rPr>
          <w:color w:val="808080"/>
          <w:sz w:val="40"/>
        </w:rPr>
        <w:t>“We give our People the freedom to provide the best Customer Service in the airline industry </w:t>
      </w:r>
      <w:r>
        <w:rPr>
          <w:color w:val="808080"/>
          <w:sz w:val="32"/>
        </w:rPr>
        <w:t>– we call it Positively Outrageous Service. Our Customers simply call it Southwest hospitality.”</w:t>
      </w:r>
    </w:p>
    <w:p>
      <w:pPr>
        <w:pStyle w:val="BodyText"/>
        <w:spacing w:before="88"/>
        <w:ind w:left="307" w:firstLine="2606"/>
      </w:pPr>
      <w:r>
        <w:rPr>
          <w:color w:val="808080"/>
        </w:rPr>
        <w:t>— Colleen C. Barrett,  Executive Vice President — Customers</w:t>
      </w:r>
    </w:p>
    <w:p>
      <w:pPr>
        <w:pStyle w:val="BodyText"/>
        <w:spacing w:before="3"/>
        <w:rPr>
          <w:sz w:val="15"/>
        </w:rPr>
      </w:pPr>
      <w:r>
        <w:rPr/>
        <w:pict>
          <v:line style="position:absolute;mso-position-horizontal-relative:page;mso-position-vertical-relative:paragraph;z-index:3616;mso-wrap-distance-left:0;mso-wrap-distance-right:0" from="72pt,11.122898pt" to="540pt,11.122898pt" stroked="true" strokeweight=".72pt" strokecolor="#000080">
            <v:stroke dashstyle="dot"/>
            <w10:wrap type="topAndBottom"/>
          </v:line>
        </w:pict>
      </w:r>
    </w:p>
    <w:p>
      <w:pPr>
        <w:pStyle w:val="BodyText"/>
        <w:spacing w:line="312" w:lineRule="auto" w:before="184"/>
        <w:ind w:left="120" w:right="115" w:firstLine="187"/>
        <w:jc w:val="both"/>
      </w:pPr>
      <w:r>
        <w:rPr/>
        <w:t>It’s not enough to charge low fares and produce the lowest operating costs. In a service business such as ours, safe, high quality Customer Service is required. According to U.S. Department of </w:t>
      </w:r>
      <w:r>
        <w:rPr>
          <w:spacing w:val="3"/>
        </w:rPr>
        <w:t>Transportation </w:t>
      </w:r>
      <w:r>
        <w:rPr/>
        <w:t>statistics, </w:t>
      </w:r>
      <w:r>
        <w:rPr>
          <w:spacing w:val="-3"/>
        </w:rPr>
        <w:t>we </w:t>
      </w:r>
      <w:r>
        <w:rPr/>
        <w:t>consistently </w:t>
      </w:r>
      <w:r>
        <w:rPr>
          <w:spacing w:val="2"/>
        </w:rPr>
        <w:t>rank </w:t>
      </w:r>
      <w:r>
        <w:rPr/>
        <w:t>first of all the </w:t>
      </w:r>
      <w:r>
        <w:rPr>
          <w:spacing w:val="-3"/>
        </w:rPr>
        <w:t>major </w:t>
      </w:r>
      <w:r>
        <w:rPr/>
        <w:t>U.S. airlines in overall Customer Satisfaction. </w:t>
      </w:r>
      <w:r>
        <w:rPr>
          <w:spacing w:val="-3"/>
        </w:rPr>
        <w:t>And </w:t>
      </w:r>
      <w:r>
        <w:rPr/>
        <w:t>Money  magazine </w:t>
      </w:r>
      <w:r>
        <w:rPr>
          <w:spacing w:val="2"/>
        </w:rPr>
        <w:t>ranked </w:t>
      </w:r>
      <w:r>
        <w:rPr/>
        <w:t>Southwest number one in its November 1997 survey on airline service. Of course, it’s People who deliver service and that’s where our Customer Service commitment begins. </w:t>
      </w:r>
      <w:r>
        <w:rPr>
          <w:spacing w:val="6"/>
        </w:rPr>
        <w:t>We </w:t>
      </w:r>
      <w:r>
        <w:rPr/>
        <w:t>go to great lengths to hire great People with the right attitude. Once </w:t>
      </w:r>
      <w:r>
        <w:rPr>
          <w:spacing w:val="2"/>
        </w:rPr>
        <w:t>hired, </w:t>
      </w:r>
      <w:r>
        <w:rPr>
          <w:spacing w:val="-3"/>
        </w:rPr>
        <w:t>we </w:t>
      </w:r>
      <w:r>
        <w:rPr/>
        <w:t>provide a unique and supportive work environment, which encourages our Employees to be creative and have fun. As a result, our People tend to go out of their way to ensure our Customers have an enjoyable flight and are treated like</w:t>
      </w:r>
      <w:r>
        <w:rPr>
          <w:spacing w:val="17"/>
        </w:rPr>
        <w:t> </w:t>
      </w:r>
      <w:r>
        <w:rPr/>
        <w:t>guests.</w:t>
      </w:r>
    </w:p>
    <w:p>
      <w:pPr>
        <w:pStyle w:val="BodyText"/>
        <w:spacing w:before="6"/>
        <w:rPr>
          <w:sz w:val="31"/>
        </w:rPr>
      </w:pPr>
    </w:p>
    <w:p>
      <w:pPr>
        <w:pStyle w:val="BodyText"/>
        <w:spacing w:line="312" w:lineRule="auto"/>
        <w:ind w:left="120" w:right="116" w:firstLine="187"/>
        <w:jc w:val="both"/>
      </w:pPr>
      <w:r>
        <w:rPr/>
        <w:t>Next to low fares, operating a dependable and reliable schedule is the most important aspect of flying to Customers. </w:t>
      </w:r>
      <w:r>
        <w:rPr>
          <w:spacing w:val="3"/>
        </w:rPr>
        <w:t>Through </w:t>
      </w:r>
      <w:r>
        <w:rPr/>
        <w:t>a combination of efficient </w:t>
      </w:r>
      <w:r>
        <w:rPr>
          <w:spacing w:val="2"/>
        </w:rPr>
        <w:t>aircraft </w:t>
      </w:r>
      <w:r>
        <w:rPr/>
        <w:t>scheduling, careful selection of </w:t>
      </w:r>
      <w:r>
        <w:rPr>
          <w:spacing w:val="2"/>
        </w:rPr>
        <w:t>airports, </w:t>
      </w:r>
      <w:r>
        <w:rPr/>
        <w:t>and our highly productive, hardworking, and motivated People, </w:t>
      </w:r>
      <w:r>
        <w:rPr>
          <w:spacing w:val="-3"/>
        </w:rPr>
        <w:t>we </w:t>
      </w:r>
      <w:r>
        <w:rPr/>
        <w:t>consistently operate an “ontime airline.” As important, </w:t>
      </w:r>
      <w:r>
        <w:rPr>
          <w:spacing w:val="-3"/>
        </w:rPr>
        <w:t>we </w:t>
      </w:r>
      <w:r>
        <w:rPr/>
        <w:t>have one of the best </w:t>
      </w:r>
      <w:r>
        <w:rPr>
          <w:spacing w:val="2"/>
        </w:rPr>
        <w:t>records </w:t>
      </w:r>
      <w:r>
        <w:rPr/>
        <w:t>in our industry with </w:t>
      </w:r>
      <w:r>
        <w:rPr>
          <w:spacing w:val="2"/>
        </w:rPr>
        <w:t>respect </w:t>
      </w:r>
      <w:r>
        <w:rPr/>
        <w:t>to the fewest number of canceled flights. </w:t>
      </w:r>
      <w:r>
        <w:rPr>
          <w:spacing w:val="6"/>
        </w:rPr>
        <w:t>We </w:t>
      </w:r>
      <w:r>
        <w:rPr/>
        <w:t>have an all-jet fleet of Boeing 737 </w:t>
      </w:r>
      <w:r>
        <w:rPr>
          <w:spacing w:val="2"/>
        </w:rPr>
        <w:t>aircraft, </w:t>
      </w:r>
      <w:r>
        <w:rPr/>
        <w:t>which is one of the youngest in the world. To accommodate our Customers’ hectic schedules and minimize the total trip time, </w:t>
      </w:r>
      <w:r>
        <w:rPr>
          <w:spacing w:val="-3"/>
        </w:rPr>
        <w:t>we </w:t>
      </w:r>
      <w:r>
        <w:rPr>
          <w:spacing w:val="60"/>
        </w:rPr>
        <w:t> </w:t>
      </w:r>
      <w:r>
        <w:rPr/>
        <w:t>offer quick and simple ticketing and boarding procedures. Our inflight beverage service is fast and friendly, perfectly suited for our market niche. </w:t>
      </w:r>
      <w:r>
        <w:rPr>
          <w:spacing w:val="2"/>
        </w:rPr>
        <w:t>The </w:t>
      </w:r>
      <w:r>
        <w:rPr/>
        <w:t>seating configuration is </w:t>
      </w:r>
      <w:r>
        <w:rPr>
          <w:spacing w:val="2"/>
        </w:rPr>
        <w:t>all </w:t>
      </w:r>
      <w:r>
        <w:rPr/>
        <w:t>coach with comfortable seats and ample</w:t>
      </w:r>
      <w:r>
        <w:rPr>
          <w:spacing w:val="-5"/>
        </w:rPr>
        <w:t> </w:t>
      </w:r>
      <w:r>
        <w:rPr/>
        <w:t>room.</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7"/>
        <w:jc w:val="both"/>
      </w:pPr>
      <w:r>
        <w:rPr>
          <w:spacing w:val="6"/>
        </w:rPr>
        <w:t>We </w:t>
      </w:r>
      <w:r>
        <w:rPr/>
        <w:t>offer the most generous frequent flyer program in the U.S. airline industry. After purchasing and flying only eight roundtrips on Southwest, Customers receive a  roundtrip ticket, good for travel anywhere on Southwest’s system for up to a year.  That’s why </w:t>
      </w:r>
      <w:r>
        <w:rPr>
          <w:spacing w:val="-3"/>
        </w:rPr>
        <w:t>we </w:t>
      </w:r>
      <w:r>
        <w:rPr/>
        <w:t>call our program Rapid Rewards. Rapid Rewards Customers can also receive flight credits through purchases with our travel partners (Alamo, Hertz, Budget, American Express, Diners Club, and MCI), as well as through the use of the Southwest Airlines Visa</w:t>
      </w:r>
      <w:r>
        <w:rPr>
          <w:spacing w:val="13"/>
        </w:rPr>
        <w:t> </w:t>
      </w:r>
      <w:r>
        <w:rPr/>
        <w:t>card.</w:t>
      </w:r>
    </w:p>
    <w:p>
      <w:pPr>
        <w:pStyle w:val="BodyText"/>
        <w:spacing w:before="10"/>
        <w:rPr>
          <w:sz w:val="20"/>
        </w:rPr>
      </w:pPr>
      <w:r>
        <w:rPr/>
        <w:pict>
          <v:group style="position:absolute;margin-left:71.875pt;margin-top:13.957969pt;width:280.850pt;height:164.2pt;mso-position-horizontal-relative:page;mso-position-vertical-relative:paragraph;z-index:3976;mso-wrap-distance-left:0;mso-wrap-distance-right:0" coordorigin="1438,279" coordsize="5617,3284">
            <v:rect style="position:absolute;left:2098;top:1093;width:197;height:2006" filled="true" fillcolor="#bfbfff" stroked="false">
              <v:fill type="solid"/>
            </v:rect>
            <v:rect style="position:absolute;left:2098;top:1093;width:197;height:2006" filled="false" stroked="true" strokeweight=".48pt" strokecolor="#000000">
              <v:stroke dashstyle="solid"/>
            </v:rect>
            <v:rect style="position:absolute;left:2587;top:1184;width:197;height:1915" filled="true" fillcolor="#bfbfff" stroked="false">
              <v:fill type="solid"/>
            </v:rect>
            <v:rect style="position:absolute;left:2587;top:1184;width:197;height:1915" filled="false" stroked="true" strokeweight=".48pt" strokecolor="#000000">
              <v:stroke dashstyle="solid"/>
            </v:rect>
            <v:rect style="position:absolute;left:3086;top:1251;width:202;height:1848" filled="true" fillcolor="#bfbfff" stroked="false">
              <v:fill type="solid"/>
            </v:rect>
            <v:rect style="position:absolute;left:3086;top:1251;width:202;height:1848" filled="false" stroked="true" strokeweight=".48pt" strokecolor="#000000">
              <v:stroke dashstyle="solid"/>
            </v:rect>
            <v:rect style="position:absolute;left:3576;top:1338;width:202;height:1762" filled="true" fillcolor="#bfbfff" stroked="false">
              <v:fill type="solid"/>
            </v:rect>
            <v:rect style="position:absolute;left:3576;top:1338;width:202;height:1762" filled="false" stroked="true" strokeweight=".48pt" strokecolor="#000000">
              <v:stroke dashstyle="solid"/>
            </v:rect>
            <v:rect style="position:absolute;left:4075;top:1405;width:202;height:1694" filled="true" fillcolor="#bfbfff" stroked="false">
              <v:fill type="solid"/>
            </v:rect>
            <v:rect style="position:absolute;left:4075;top:1405;width:202;height:1694" filled="false" stroked="true" strokeweight=".48pt" strokecolor="#000000">
              <v:stroke dashstyle="solid"/>
            </v:rect>
            <v:rect style="position:absolute;left:4565;top:1539;width:202;height:1560" filled="true" fillcolor="#bfbfff" stroked="false">
              <v:fill type="solid"/>
            </v:rect>
            <v:rect style="position:absolute;left:4565;top:1539;width:202;height:1560" filled="false" stroked="true" strokeweight=".48pt" strokecolor="#000000">
              <v:stroke dashstyle="solid"/>
            </v:rect>
            <v:rect style="position:absolute;left:5054;top:1986;width:202;height:1114" filled="true" fillcolor="#bfbfff" stroked="false">
              <v:fill type="solid"/>
            </v:rect>
            <v:rect style="position:absolute;left:5054;top:1986;width:202;height:1114" filled="false" stroked="true" strokeweight=".48pt" strokecolor="#000000">
              <v:stroke dashstyle="solid"/>
            </v:rect>
            <v:rect style="position:absolute;left:5554;top:2206;width:202;height:893" filled="true" fillcolor="#bfbfff" stroked="false">
              <v:fill type="solid"/>
            </v:rect>
            <v:rect style="position:absolute;left:5554;top:2206;width:202;height:893" filled="false" stroked="true" strokeweight=".48pt" strokecolor="#000000">
              <v:stroke dashstyle="solid"/>
            </v:rect>
            <v:rect style="position:absolute;left:6043;top:2384;width:202;height:715" filled="true" fillcolor="#bfbfff" stroked="false">
              <v:fill type="solid"/>
            </v:rect>
            <v:rect style="position:absolute;left:6043;top:2384;width:202;height:715" filled="false" stroked="true" strokeweight=".48pt" strokecolor="#000000">
              <v:stroke dashstyle="solid"/>
            </v:rect>
            <v:rect style="position:absolute;left:6542;top:2653;width:202;height:446" filled="true" fillcolor="#bfbfff" stroked="false">
              <v:fill type="solid"/>
            </v:rect>
            <v:rect style="position:absolute;left:6542;top:2653;width:202;height:446" filled="false" stroked="true" strokeweight=".48pt" strokecolor="#000000">
              <v:stroke dashstyle="solid"/>
            </v:rect>
            <v:line style="position:absolute" from="1954,560" to="1954,3099" stroked="true" strokeweight=".24pt" strokecolor="#000000">
              <v:stroke dashstyle="solid"/>
            </v:line>
            <v:line style="position:absolute" from="1920,3099" to="1987,3099" stroked="true" strokeweight=".24pt" strokecolor="#000000">
              <v:stroke dashstyle="solid"/>
            </v:line>
            <v:line style="position:absolute" from="1920,1827" to="1987,1827" stroked="true" strokeweight=".24pt" strokecolor="#000000">
              <v:stroke dashstyle="solid"/>
            </v:line>
            <v:line style="position:absolute" from="1920,560" to="1987,560" stroked="true" strokeweight=".24pt" strokecolor="#000000">
              <v:stroke dashstyle="solid"/>
            </v:line>
            <v:line style="position:absolute" from="1954,3099" to="6888,3099" stroked="true" strokeweight=".24pt" strokecolor="#000000">
              <v:stroke dashstyle="solid"/>
            </v:line>
            <v:line style="position:absolute" from="1954,3133" to="1954,3066" stroked="true" strokeweight=".24pt" strokecolor="#000000">
              <v:stroke dashstyle="solid"/>
            </v:line>
            <v:line style="position:absolute" from="2443,3133" to="2443,3066" stroked="true" strokeweight=".24pt" strokecolor="#000000">
              <v:stroke dashstyle="solid"/>
            </v:line>
            <v:line style="position:absolute" from="2942,3133" to="2942,3066" stroked="true" strokeweight=".24pt" strokecolor="#000000">
              <v:stroke dashstyle="solid"/>
            </v:line>
            <v:line style="position:absolute" from="3432,3133" to="3432,3066" stroked="true" strokeweight=".24pt" strokecolor="#000000">
              <v:stroke dashstyle="solid"/>
            </v:line>
            <v:line style="position:absolute" from="3931,3133" to="3931,3066" stroked="true" strokeweight=".24pt" strokecolor="#000000">
              <v:stroke dashstyle="solid"/>
            </v:line>
            <v:line style="position:absolute" from="4421,3133" to="4421,3066" stroked="true" strokeweight=".24pt" strokecolor="#000000">
              <v:stroke dashstyle="solid"/>
            </v:line>
            <v:line style="position:absolute" from="4910,3133" to="4910,3066" stroked="true" strokeweight=".24pt" strokecolor="#000000">
              <v:stroke dashstyle="solid"/>
            </v:line>
            <v:line style="position:absolute" from="5410,3133" to="5410,3066" stroked="true" strokeweight=".24pt" strokecolor="#000000">
              <v:stroke dashstyle="solid"/>
            </v:line>
            <v:line style="position:absolute" from="5899,3133" to="5899,3066" stroked="true" strokeweight=".24pt" strokecolor="#000000">
              <v:stroke dashstyle="solid"/>
            </v:line>
            <v:line style="position:absolute" from="6398,3133" to="6398,3066" stroked="true" strokeweight=".24pt" strokecolor="#000000">
              <v:stroke dashstyle="solid"/>
            </v:line>
            <v:line style="position:absolute" from="6888,3133" to="6888,3066" stroked="true" strokeweight=".24pt" strokecolor="#000000">
              <v:stroke dashstyle="solid"/>
            </v:line>
            <v:rect style="position:absolute;left:1440;top:282;width:5611;height:3278" filled="false" stroked="true" strokeweight=".24pt" strokecolor="#000000">
              <v:stroke dashstyle="solid"/>
            </v:rect>
            <v:shape style="position:absolute;left:1627;top:488;width:241;height:137" type="#_x0000_t202" filled="false" stroked="false">
              <v:textbox inset="0,0,0,0">
                <w:txbxContent>
                  <w:p>
                    <w:pPr>
                      <w:spacing w:line="136" w:lineRule="exact" w:before="0"/>
                      <w:ind w:left="0" w:right="0" w:firstLine="0"/>
                      <w:jc w:val="left"/>
                      <w:rPr>
                        <w:b/>
                        <w:sz w:val="12"/>
                      </w:rPr>
                    </w:pPr>
                    <w:r>
                      <w:rPr>
                        <w:b/>
                        <w:sz w:val="12"/>
                      </w:rPr>
                      <w:t>85%</w:t>
                    </w:r>
                  </w:p>
                </w:txbxContent>
              </v:textbox>
              <w10:wrap type="none"/>
            </v:shape>
            <v:shape style="position:absolute;left:2021;top:876;width:337;height:137" type="#_x0000_t202" filled="false" stroked="false">
              <v:textbox inset="0,0,0,0">
                <w:txbxContent>
                  <w:p>
                    <w:pPr>
                      <w:spacing w:line="136" w:lineRule="exact" w:before="0"/>
                      <w:ind w:left="0" w:right="0" w:firstLine="0"/>
                      <w:jc w:val="left"/>
                      <w:rPr>
                        <w:b/>
                        <w:sz w:val="12"/>
                      </w:rPr>
                    </w:pPr>
                    <w:r>
                      <w:rPr>
                        <w:b/>
                        <w:spacing w:val="-5"/>
                        <w:sz w:val="12"/>
                      </w:rPr>
                      <w:t>80.8%</w:t>
                    </w:r>
                  </w:p>
                </w:txbxContent>
              </v:textbox>
              <w10:wrap type="none"/>
            </v:shape>
            <v:shape style="position:absolute;left:2506;top:963;width:342;height:137" type="#_x0000_t202" filled="false" stroked="false">
              <v:textbox inset="0,0,0,0">
                <w:txbxContent>
                  <w:p>
                    <w:pPr>
                      <w:spacing w:line="136" w:lineRule="exact" w:before="0"/>
                      <w:ind w:left="0" w:right="0" w:firstLine="0"/>
                      <w:jc w:val="left"/>
                      <w:rPr>
                        <w:b/>
                        <w:sz w:val="12"/>
                      </w:rPr>
                    </w:pPr>
                    <w:r>
                      <w:rPr>
                        <w:b/>
                        <w:sz w:val="12"/>
                      </w:rPr>
                      <w:t>80.1%</w:t>
                    </w:r>
                  </w:p>
                </w:txbxContent>
              </v:textbox>
              <w10:wrap type="none"/>
            </v:shape>
            <v:shape style="position:absolute;left:3019;top:1030;width:342;height:137" type="#_x0000_t202" filled="false" stroked="false">
              <v:textbox inset="0,0,0,0">
                <w:txbxContent>
                  <w:p>
                    <w:pPr>
                      <w:spacing w:line="136" w:lineRule="exact" w:before="0"/>
                      <w:ind w:left="0" w:right="0" w:firstLine="0"/>
                      <w:jc w:val="left"/>
                      <w:rPr>
                        <w:b/>
                        <w:sz w:val="12"/>
                      </w:rPr>
                    </w:pPr>
                    <w:r>
                      <w:rPr>
                        <w:b/>
                        <w:sz w:val="12"/>
                      </w:rPr>
                      <w:t>79.6%</w:t>
                    </w:r>
                  </w:p>
                </w:txbxContent>
              </v:textbox>
              <w10:wrap type="none"/>
            </v:shape>
            <v:shape style="position:absolute;left:3509;top:1121;width:342;height:137" type="#_x0000_t202" filled="false" stroked="false">
              <v:textbox inset="0,0,0,0">
                <w:txbxContent>
                  <w:p>
                    <w:pPr>
                      <w:spacing w:line="136" w:lineRule="exact" w:before="0"/>
                      <w:ind w:left="0" w:right="0" w:firstLine="0"/>
                      <w:jc w:val="left"/>
                      <w:rPr>
                        <w:b/>
                        <w:sz w:val="12"/>
                      </w:rPr>
                    </w:pPr>
                    <w:r>
                      <w:rPr>
                        <w:b/>
                        <w:sz w:val="12"/>
                      </w:rPr>
                      <w:t>78.9%</w:t>
                    </w:r>
                  </w:p>
                </w:txbxContent>
              </v:textbox>
              <w10:wrap type="none"/>
            </v:shape>
            <v:shape style="position:absolute;left:3998;top:1188;width:342;height:137" type="#_x0000_t202" filled="false" stroked="false">
              <v:textbox inset="0,0,0,0">
                <w:txbxContent>
                  <w:p>
                    <w:pPr>
                      <w:spacing w:line="136" w:lineRule="exact" w:before="0"/>
                      <w:ind w:left="0" w:right="0" w:firstLine="0"/>
                      <w:jc w:val="left"/>
                      <w:rPr>
                        <w:b/>
                        <w:sz w:val="12"/>
                      </w:rPr>
                    </w:pPr>
                    <w:r>
                      <w:rPr>
                        <w:b/>
                        <w:sz w:val="12"/>
                      </w:rPr>
                      <w:t>78.3%</w:t>
                    </w:r>
                  </w:p>
                </w:txbxContent>
              </v:textbox>
              <w10:wrap type="none"/>
            </v:shape>
            <v:shape style="position:absolute;left:4488;top:1323;width:337;height:137" type="#_x0000_t202" filled="false" stroked="false">
              <v:textbox inset="0,0,0,0">
                <w:txbxContent>
                  <w:p>
                    <w:pPr>
                      <w:spacing w:line="136" w:lineRule="exact" w:before="0"/>
                      <w:ind w:left="0" w:right="0" w:firstLine="0"/>
                      <w:jc w:val="left"/>
                      <w:rPr>
                        <w:b/>
                        <w:sz w:val="12"/>
                      </w:rPr>
                    </w:pPr>
                    <w:r>
                      <w:rPr>
                        <w:b/>
                        <w:spacing w:val="-5"/>
                        <w:sz w:val="12"/>
                      </w:rPr>
                      <w:t>77.3%</w:t>
                    </w:r>
                  </w:p>
                </w:txbxContent>
              </v:textbox>
              <w10:wrap type="none"/>
            </v:shape>
            <v:shape style="position:absolute;left:1627;top:1755;width:241;height:137" type="#_x0000_t202" filled="false" stroked="false">
              <v:textbox inset="0,0,0,0">
                <w:txbxContent>
                  <w:p>
                    <w:pPr>
                      <w:spacing w:line="136" w:lineRule="exact" w:before="0"/>
                      <w:ind w:left="0" w:right="0" w:firstLine="0"/>
                      <w:jc w:val="left"/>
                      <w:rPr>
                        <w:b/>
                        <w:sz w:val="12"/>
                      </w:rPr>
                    </w:pPr>
                    <w:r>
                      <w:rPr>
                        <w:b/>
                        <w:sz w:val="12"/>
                      </w:rPr>
                      <w:t>75%</w:t>
                    </w:r>
                  </w:p>
                </w:txbxContent>
              </v:textbox>
              <w10:wrap type="none"/>
            </v:shape>
            <v:shape style="position:absolute;left:4978;top:1764;width:337;height:137" type="#_x0000_t202" filled="false" stroked="false">
              <v:textbox inset="0,0,0,0">
                <w:txbxContent>
                  <w:p>
                    <w:pPr>
                      <w:spacing w:line="136" w:lineRule="exact" w:before="0"/>
                      <w:ind w:left="0" w:right="0" w:firstLine="0"/>
                      <w:jc w:val="left"/>
                      <w:rPr>
                        <w:b/>
                        <w:sz w:val="12"/>
                      </w:rPr>
                    </w:pPr>
                    <w:r>
                      <w:rPr>
                        <w:b/>
                        <w:spacing w:val="-5"/>
                        <w:sz w:val="12"/>
                      </w:rPr>
                      <w:t>73.8%</w:t>
                    </w:r>
                  </w:p>
                </w:txbxContent>
              </v:textbox>
              <w10:wrap type="none"/>
            </v:shape>
            <v:shape style="position:absolute;left:5486;top:1990;width:342;height:137" type="#_x0000_t202" filled="false" stroked="false">
              <v:textbox inset="0,0,0,0">
                <w:txbxContent>
                  <w:p>
                    <w:pPr>
                      <w:spacing w:line="136" w:lineRule="exact" w:before="0"/>
                      <w:ind w:left="0" w:right="0" w:firstLine="0"/>
                      <w:jc w:val="left"/>
                      <w:rPr>
                        <w:b/>
                        <w:sz w:val="12"/>
                      </w:rPr>
                    </w:pPr>
                    <w:r>
                      <w:rPr>
                        <w:b/>
                        <w:sz w:val="12"/>
                      </w:rPr>
                      <w:t>72.0%</w:t>
                    </w:r>
                  </w:p>
                </w:txbxContent>
              </v:textbox>
              <w10:wrap type="none"/>
            </v:shape>
            <v:shape style="position:absolute;left:5976;top:2168;width:342;height:137" type="#_x0000_t202" filled="false" stroked="false">
              <v:textbox inset="0,0,0,0">
                <w:txbxContent>
                  <w:p>
                    <w:pPr>
                      <w:spacing w:line="136" w:lineRule="exact" w:before="0"/>
                      <w:ind w:left="0" w:right="0" w:firstLine="0"/>
                      <w:jc w:val="left"/>
                      <w:rPr>
                        <w:b/>
                        <w:sz w:val="12"/>
                      </w:rPr>
                    </w:pPr>
                    <w:r>
                      <w:rPr>
                        <w:b/>
                        <w:sz w:val="12"/>
                      </w:rPr>
                      <w:t>70.6%</w:t>
                    </w:r>
                  </w:p>
                </w:txbxContent>
              </v:textbox>
              <w10:wrap type="none"/>
            </v:shape>
            <v:shape style="position:absolute;left:6466;top:2436;width:342;height:137" type="#_x0000_t202" filled="false" stroked="false">
              <v:textbox inset="0,0,0,0">
                <w:txbxContent>
                  <w:p>
                    <w:pPr>
                      <w:spacing w:line="136" w:lineRule="exact" w:before="0"/>
                      <w:ind w:left="0" w:right="0" w:firstLine="0"/>
                      <w:jc w:val="left"/>
                      <w:rPr>
                        <w:b/>
                        <w:sz w:val="12"/>
                      </w:rPr>
                    </w:pPr>
                    <w:r>
                      <w:rPr>
                        <w:b/>
                        <w:sz w:val="12"/>
                      </w:rPr>
                      <w:t>68.5%</w:t>
                    </w:r>
                  </w:p>
                </w:txbxContent>
              </v:textbox>
              <w10:wrap type="none"/>
            </v:shape>
            <v:shape style="position:absolute;left:1627;top:3022;width:241;height:137" type="#_x0000_t202" filled="false" stroked="false">
              <v:textbox inset="0,0,0,0">
                <w:txbxContent>
                  <w:p>
                    <w:pPr>
                      <w:spacing w:line="136" w:lineRule="exact" w:before="0"/>
                      <w:ind w:left="0" w:right="0" w:firstLine="0"/>
                      <w:jc w:val="left"/>
                      <w:rPr>
                        <w:b/>
                        <w:sz w:val="12"/>
                      </w:rPr>
                    </w:pPr>
                    <w:r>
                      <w:rPr>
                        <w:b/>
                        <w:sz w:val="12"/>
                      </w:rPr>
                      <w:t>65%</w:t>
                    </w:r>
                  </w:p>
                </w:txbxContent>
              </v:textbox>
              <w10:wrap type="none"/>
            </v:shape>
            <v:shape style="position:absolute;left:2074;top:3204;width:4729;height:137" type="#_x0000_t202" filled="false" stroked="false">
              <v:textbox inset="0,0,0,0">
                <w:txbxContent>
                  <w:p>
                    <w:pPr>
                      <w:tabs>
                        <w:tab w:pos="489" w:val="left" w:leader="none"/>
                        <w:tab w:pos="988" w:val="left" w:leader="none"/>
                        <w:tab w:pos="1569" w:val="left" w:leader="none"/>
                        <w:tab w:pos="1968" w:val="left" w:leader="none"/>
                        <w:tab w:pos="2491" w:val="left" w:leader="none"/>
                        <w:tab w:pos="2971" w:val="left" w:leader="none"/>
                        <w:tab w:pos="3460" w:val="left" w:leader="none"/>
                      </w:tabs>
                      <w:spacing w:line="136" w:lineRule="exact" w:before="0"/>
                      <w:ind w:left="0" w:right="0" w:firstLine="0"/>
                      <w:jc w:val="left"/>
                      <w:rPr>
                        <w:b/>
                        <w:sz w:val="12"/>
                      </w:rPr>
                    </w:pPr>
                    <w:r>
                      <w:rPr>
                        <w:b/>
                        <w:sz w:val="12"/>
                      </w:rPr>
                      <w:t>LUV</w:t>
                      <w:tab/>
                    </w:r>
                    <w:r>
                      <w:rPr>
                        <w:b/>
                        <w:spacing w:val="2"/>
                        <w:sz w:val="12"/>
                      </w:rPr>
                      <w:t>AMR</w:t>
                      <w:tab/>
                    </w:r>
                    <w:r>
                      <w:rPr>
                        <w:b/>
                        <w:spacing w:val="-3"/>
                        <w:sz w:val="12"/>
                      </w:rPr>
                      <w:t>DAL</w:t>
                      <w:tab/>
                    </w:r>
                    <w:r>
                      <w:rPr>
                        <w:b/>
                        <w:sz w:val="12"/>
                      </w:rPr>
                      <w:t>U</w:t>
                      <w:tab/>
                      <w:t>TWA</w:t>
                      <w:tab/>
                      <w:t>CAI</w:t>
                      <w:tab/>
                    </w:r>
                    <w:r>
                      <w:rPr>
                        <w:b/>
                        <w:spacing w:val="-4"/>
                        <w:sz w:val="12"/>
                      </w:rPr>
                      <w:t>UAL</w:t>
                      <w:tab/>
                    </w:r>
                    <w:r>
                      <w:rPr>
                        <w:b/>
                        <w:sz w:val="12"/>
                      </w:rPr>
                      <w:t>ALK      </w:t>
                    </w:r>
                    <w:r>
                      <w:rPr>
                        <w:b/>
                        <w:spacing w:val="-3"/>
                        <w:sz w:val="12"/>
                      </w:rPr>
                      <w:t>NWAC   </w:t>
                    </w:r>
                    <w:r>
                      <w:rPr>
                        <w:b/>
                        <w:spacing w:val="27"/>
                        <w:sz w:val="12"/>
                      </w:rPr>
                      <w:t> </w:t>
                    </w:r>
                    <w:r>
                      <w:rPr>
                        <w:b/>
                        <w:spacing w:val="-2"/>
                        <w:sz w:val="12"/>
                      </w:rPr>
                      <w:t>AWA</w:t>
                    </w:r>
                  </w:p>
                </w:txbxContent>
              </v:textbox>
              <w10:wrap type="none"/>
            </v:shape>
            <w10:wrap type="topAndBottom"/>
          </v:group>
        </w:pict>
      </w:r>
    </w:p>
    <w:p>
      <w:pPr>
        <w:spacing w:before="93"/>
        <w:ind w:left="119" w:right="0" w:firstLine="0"/>
        <w:jc w:val="left"/>
        <w:rPr>
          <w:b/>
          <w:i/>
          <w:sz w:val="18"/>
        </w:rPr>
      </w:pPr>
      <w:r>
        <w:rPr>
          <w:b/>
          <w:color w:val="000080"/>
          <w:sz w:val="24"/>
        </w:rPr>
        <w:t>Ontime Performance </w:t>
      </w:r>
      <w:r>
        <w:rPr>
          <w:b/>
          <w:i/>
          <w:color w:val="000080"/>
          <w:sz w:val="18"/>
        </w:rPr>
        <w:t>(for the year ended December 31, 1998)</w:t>
      </w:r>
    </w:p>
    <w:p>
      <w:pPr>
        <w:pStyle w:val="BodyText"/>
        <w:spacing w:before="2"/>
        <w:rPr>
          <w:b/>
          <w:i/>
          <w:sz w:val="28"/>
        </w:rPr>
      </w:pPr>
      <w:r>
        <w:rPr/>
        <w:pict>
          <v:group style="position:absolute;margin-left:71.875pt;margin-top:18.172878pt;width:280.850pt;height:164.2pt;mso-position-horizontal-relative:page;mso-position-vertical-relative:paragraph;z-index:4312;mso-wrap-distance-left:0;mso-wrap-distance-right:0" coordorigin="1438,363" coordsize="5617,3284">
            <v:rect style="position:absolute;left:2309;top:678;width:389;height:2506" filled="true" fillcolor="#bfbfff" stroked="false">
              <v:fill type="solid"/>
            </v:rect>
            <v:rect style="position:absolute;left:2309;top:678;width:389;height:2506" filled="false" stroked="true" strokeweight=".48pt" strokecolor="#000000">
              <v:stroke dashstyle="solid"/>
            </v:rect>
            <v:rect style="position:absolute;left:3288;top:678;width:389;height:2506" filled="true" fillcolor="#bfbfff" stroked="false">
              <v:fill type="solid"/>
            </v:rect>
            <v:rect style="position:absolute;left:3288;top:678;width:389;height:2506" filled="false" stroked="true" strokeweight=".48pt" strokecolor="#000000">
              <v:stroke dashstyle="solid"/>
            </v:rect>
            <v:rect style="position:absolute;left:4253;top:678;width:389;height:2506" filled="true" fillcolor="#bfbfff" stroked="false">
              <v:fill type="solid"/>
            </v:rect>
            <v:rect style="position:absolute;left:4253;top:678;width:389;height:2506" filled="false" stroked="true" strokeweight=".48pt" strokecolor="#000000">
              <v:stroke dashstyle="solid"/>
            </v:rect>
            <v:rect style="position:absolute;left:5232;top:678;width:389;height:2506" filled="true" fillcolor="#bfbfff" stroked="false">
              <v:fill type="solid"/>
            </v:rect>
            <v:rect style="position:absolute;left:5232;top:678;width:389;height:2506" filled="false" stroked="true" strokeweight=".48pt" strokecolor="#000000">
              <v:stroke dashstyle="solid"/>
            </v:rect>
            <v:rect style="position:absolute;left:6202;top:678;width:389;height:2506" filled="true" fillcolor="#bfbfff" stroked="false">
              <v:fill type="solid"/>
            </v:rect>
            <v:rect style="position:absolute;left:6202;top:678;width:389;height:2506" filled="false" stroked="true" strokeweight=".48pt" strokecolor="#000000">
              <v:stroke dashstyle="solid"/>
            </v:rect>
            <v:line style="position:absolute" from="2021,644" to="2021,3184" stroked="true" strokeweight=".24pt" strokecolor="#000000">
              <v:stroke dashstyle="solid"/>
            </v:line>
            <v:line style="position:absolute" from="1987,3184" to="2050,3184" stroked="true" strokeweight=".24pt" strokecolor="#000000">
              <v:stroke dashstyle="solid"/>
            </v:line>
            <v:line style="position:absolute" from="1987,1912" to="2050,1912" stroked="true" strokeweight=".24pt" strokecolor="#000000">
              <v:stroke dashstyle="solid"/>
            </v:line>
            <v:line style="position:absolute" from="1987,644" to="2050,644" stroked="true" strokeweight=".24pt" strokecolor="#000000">
              <v:stroke dashstyle="solid"/>
            </v:line>
            <v:line style="position:absolute" from="2021,3184" to="6888,3184" stroked="true" strokeweight=".24pt" strokecolor="#000000">
              <v:stroke dashstyle="solid"/>
            </v:line>
            <v:line style="position:absolute" from="2021,3217" to="2021,3150" stroked="true" strokeweight=".24pt" strokecolor="#000000">
              <v:stroke dashstyle="solid"/>
            </v:line>
            <v:line style="position:absolute" from="2995,3217" to="2995,3150" stroked="true" strokeweight=".24pt" strokecolor="#000000">
              <v:stroke dashstyle="solid"/>
            </v:line>
            <v:line style="position:absolute" from="3965,3217" to="3965,3150" stroked="true" strokeweight=".24pt" strokecolor="#000000">
              <v:stroke dashstyle="solid"/>
            </v:line>
            <v:line style="position:absolute" from="4944,3217" to="4944,3150" stroked="true" strokeweight=".24pt" strokecolor="#000000">
              <v:stroke dashstyle="solid"/>
            </v:line>
            <v:line style="position:absolute" from="5909,3217" to="5909,3150" stroked="true" strokeweight=".24pt" strokecolor="#000000">
              <v:stroke dashstyle="solid"/>
            </v:line>
            <v:line style="position:absolute" from="6888,3217" to="6888,3150" stroked="true" strokeweight=".24pt" strokecolor="#000000">
              <v:stroke dashstyle="solid"/>
            </v:line>
            <v:rect style="position:absolute;left:1440;top:366;width:5611;height:3278" filled="false" stroked="true" strokeweight=".24pt" strokecolor="#000000">
              <v:stroke dashstyle="solid"/>
            </v:rect>
            <v:shape style="position:absolute;left:2294;top:462;width:409;height:137" type="#_x0000_t202" filled="false" stroked="false">
              <v:textbox inset="0,0,0,0">
                <w:txbxContent>
                  <w:p>
                    <w:pPr>
                      <w:spacing w:line="136" w:lineRule="exact" w:before="0"/>
                      <w:ind w:left="0" w:right="0" w:firstLine="0"/>
                      <w:jc w:val="left"/>
                      <w:rPr>
                        <w:b/>
                        <w:sz w:val="12"/>
                      </w:rPr>
                    </w:pPr>
                    <w:r>
                      <w:rPr>
                        <w:b/>
                        <w:sz w:val="12"/>
                      </w:rPr>
                      <w:t>98.90%</w:t>
                    </w:r>
                  </w:p>
                </w:txbxContent>
              </v:textbox>
              <w10:wrap type="none"/>
            </v:shape>
            <v:shape style="position:absolute;left:3274;top:462;width:409;height:137" type="#_x0000_t202" filled="false" stroked="false">
              <v:textbox inset="0,0,0,0">
                <w:txbxContent>
                  <w:p>
                    <w:pPr>
                      <w:spacing w:line="136" w:lineRule="exact" w:before="0"/>
                      <w:ind w:left="0" w:right="0" w:firstLine="0"/>
                      <w:jc w:val="left"/>
                      <w:rPr>
                        <w:b/>
                        <w:sz w:val="12"/>
                      </w:rPr>
                    </w:pPr>
                    <w:r>
                      <w:rPr>
                        <w:b/>
                        <w:sz w:val="12"/>
                      </w:rPr>
                      <w:t>98.60%</w:t>
                    </w:r>
                  </w:p>
                </w:txbxContent>
              </v:textbox>
              <w10:wrap type="none"/>
            </v:shape>
            <v:shape style="position:absolute;left:4243;top:462;width:404;height:137" type="#_x0000_t202" filled="false" stroked="false">
              <v:textbox inset="0,0,0,0">
                <w:txbxContent>
                  <w:p>
                    <w:pPr>
                      <w:spacing w:line="136" w:lineRule="exact" w:before="0"/>
                      <w:ind w:left="0" w:right="0" w:firstLine="0"/>
                      <w:jc w:val="left"/>
                      <w:rPr>
                        <w:b/>
                        <w:sz w:val="12"/>
                      </w:rPr>
                    </w:pPr>
                    <w:r>
                      <w:rPr>
                        <w:b/>
                        <w:spacing w:val="-5"/>
                        <w:sz w:val="12"/>
                      </w:rPr>
                      <w:t>98.60%</w:t>
                    </w:r>
                  </w:p>
                </w:txbxContent>
              </v:textbox>
              <w10:wrap type="none"/>
            </v:shape>
            <v:shape style="position:absolute;left:5222;top:462;width:404;height:137" type="#_x0000_t202" filled="false" stroked="false">
              <v:textbox inset="0,0,0,0">
                <w:txbxContent>
                  <w:p>
                    <w:pPr>
                      <w:spacing w:line="136" w:lineRule="exact" w:before="0"/>
                      <w:ind w:left="0" w:right="0" w:firstLine="0"/>
                      <w:jc w:val="left"/>
                      <w:rPr>
                        <w:b/>
                        <w:sz w:val="12"/>
                      </w:rPr>
                    </w:pPr>
                    <w:r>
                      <w:rPr>
                        <w:b/>
                        <w:spacing w:val="-5"/>
                        <w:sz w:val="12"/>
                      </w:rPr>
                      <w:t>98.70%</w:t>
                    </w:r>
                  </w:p>
                </w:txbxContent>
              </v:textbox>
              <w10:wrap type="none"/>
            </v:shape>
            <v:shape style="position:absolute;left:6187;top:462;width:409;height:137" type="#_x0000_t202" filled="false" stroked="false">
              <v:textbox inset="0,0,0,0">
                <w:txbxContent>
                  <w:p>
                    <w:pPr>
                      <w:spacing w:line="136" w:lineRule="exact" w:before="0"/>
                      <w:ind w:left="0" w:right="0" w:firstLine="0"/>
                      <w:jc w:val="left"/>
                      <w:rPr>
                        <w:b/>
                        <w:sz w:val="12"/>
                      </w:rPr>
                    </w:pPr>
                    <w:r>
                      <w:rPr>
                        <w:b/>
                        <w:sz w:val="12"/>
                      </w:rPr>
                      <w:t>98.70%</w:t>
                    </w:r>
                  </w:p>
                </w:txbxContent>
              </v:textbox>
              <w10:wrap type="none"/>
            </v:shape>
            <v:shape style="position:absolute;left:1627;top:572;width:308;height:137" type="#_x0000_t202" filled="false" stroked="false">
              <v:textbox inset="0,0,0,0">
                <w:txbxContent>
                  <w:p>
                    <w:pPr>
                      <w:spacing w:line="136" w:lineRule="exact" w:before="0"/>
                      <w:ind w:left="0" w:right="0" w:firstLine="0"/>
                      <w:jc w:val="left"/>
                      <w:rPr>
                        <w:b/>
                        <w:sz w:val="12"/>
                      </w:rPr>
                    </w:pPr>
                    <w:r>
                      <w:rPr>
                        <w:b/>
                        <w:color w:val="FF0000"/>
                        <w:sz w:val="12"/>
                      </w:rPr>
                      <w:t>100%</w:t>
                    </w:r>
                  </w:p>
                </w:txbxContent>
              </v:textbox>
              <w10:wrap type="none"/>
            </v:shape>
            <v:shape style="position:absolute;left:1694;top:1839;width:241;height:137" type="#_x0000_t202" filled="false" stroked="false">
              <v:textbox inset="0,0,0,0">
                <w:txbxContent>
                  <w:p>
                    <w:pPr>
                      <w:spacing w:line="136" w:lineRule="exact" w:before="0"/>
                      <w:ind w:left="0" w:right="0" w:firstLine="0"/>
                      <w:jc w:val="left"/>
                      <w:rPr>
                        <w:b/>
                        <w:sz w:val="12"/>
                      </w:rPr>
                    </w:pPr>
                    <w:r>
                      <w:rPr>
                        <w:b/>
                        <w:color w:val="FF0000"/>
                        <w:sz w:val="12"/>
                      </w:rPr>
                      <w:t>50%</w:t>
                    </w:r>
                  </w:p>
                </w:txbxContent>
              </v:textbox>
              <w10:wrap type="none"/>
            </v:shape>
            <v:shape style="position:absolute;left:1762;top:3106;width:174;height:137" type="#_x0000_t202" filled="false" stroked="false">
              <v:textbox inset="0,0,0,0">
                <w:txbxContent>
                  <w:p>
                    <w:pPr>
                      <w:spacing w:line="136" w:lineRule="exact" w:before="0"/>
                      <w:ind w:left="0" w:right="0" w:firstLine="0"/>
                      <w:jc w:val="left"/>
                      <w:rPr>
                        <w:b/>
                        <w:sz w:val="12"/>
                      </w:rPr>
                    </w:pPr>
                    <w:r>
                      <w:rPr>
                        <w:b/>
                        <w:color w:val="FF0000"/>
                        <w:sz w:val="12"/>
                      </w:rPr>
                      <w:t>0%</w:t>
                    </w:r>
                  </w:p>
                </w:txbxContent>
              </v:textbox>
              <w10:wrap type="none"/>
            </v:shape>
            <v:shape style="position:absolute;left:2443;top:3289;width:150;height:137" type="#_x0000_t202" filled="false" stroked="false">
              <v:textbox inset="0,0,0,0">
                <w:txbxContent>
                  <w:p>
                    <w:pPr>
                      <w:spacing w:line="136" w:lineRule="exact" w:before="0"/>
                      <w:ind w:left="0" w:right="0" w:firstLine="0"/>
                      <w:jc w:val="left"/>
                      <w:rPr>
                        <w:b/>
                        <w:sz w:val="12"/>
                      </w:rPr>
                    </w:pPr>
                    <w:r>
                      <w:rPr>
                        <w:b/>
                        <w:color w:val="FF0000"/>
                        <w:sz w:val="12"/>
                      </w:rPr>
                      <w:t>94</w:t>
                    </w:r>
                  </w:p>
                </w:txbxContent>
              </v:textbox>
              <w10:wrap type="none"/>
            </v:shape>
            <v:shape style="position:absolute;left:3408;top:3289;width:154;height:137" type="#_x0000_t202" filled="false" stroked="false">
              <v:textbox inset="0,0,0,0">
                <w:txbxContent>
                  <w:p>
                    <w:pPr>
                      <w:spacing w:line="136" w:lineRule="exact" w:before="0"/>
                      <w:ind w:left="0" w:right="0" w:firstLine="0"/>
                      <w:jc w:val="left"/>
                      <w:rPr>
                        <w:b/>
                        <w:sz w:val="12"/>
                      </w:rPr>
                    </w:pPr>
                    <w:r>
                      <w:rPr>
                        <w:b/>
                        <w:color w:val="FF0000"/>
                        <w:sz w:val="12"/>
                      </w:rPr>
                      <w:t>95</w:t>
                    </w:r>
                  </w:p>
                </w:txbxContent>
              </v:textbox>
              <w10:wrap type="none"/>
            </v:shape>
            <v:shape style="position:absolute;left:4387;top:3289;width:154;height:137" type="#_x0000_t202" filled="false" stroked="false">
              <v:textbox inset="0,0,0,0">
                <w:txbxContent>
                  <w:p>
                    <w:pPr>
                      <w:spacing w:line="136" w:lineRule="exact" w:before="0"/>
                      <w:ind w:left="0" w:right="0" w:firstLine="0"/>
                      <w:jc w:val="left"/>
                      <w:rPr>
                        <w:b/>
                        <w:sz w:val="12"/>
                      </w:rPr>
                    </w:pPr>
                    <w:r>
                      <w:rPr>
                        <w:b/>
                        <w:color w:val="FF0000"/>
                        <w:sz w:val="12"/>
                      </w:rPr>
                      <w:t>96</w:t>
                    </w:r>
                  </w:p>
                </w:txbxContent>
              </v:textbox>
              <w10:wrap type="none"/>
            </v:shape>
            <v:shape style="position:absolute;left:5366;top:3289;width:154;height:137" type="#_x0000_t202" filled="false" stroked="false">
              <v:textbox inset="0,0,0,0">
                <w:txbxContent>
                  <w:p>
                    <w:pPr>
                      <w:spacing w:line="136" w:lineRule="exact" w:before="0"/>
                      <w:ind w:left="0" w:right="0" w:firstLine="0"/>
                      <w:jc w:val="left"/>
                      <w:rPr>
                        <w:b/>
                        <w:sz w:val="12"/>
                      </w:rPr>
                    </w:pPr>
                    <w:r>
                      <w:rPr>
                        <w:b/>
                        <w:color w:val="FF0000"/>
                        <w:sz w:val="12"/>
                      </w:rPr>
                      <w:t>97</w:t>
                    </w:r>
                  </w:p>
                </w:txbxContent>
              </v:textbox>
              <w10:wrap type="none"/>
            </v:shape>
            <v:shape style="position:absolute;left:6331;top:3289;width:154;height:137" type="#_x0000_t202" filled="false" stroked="false">
              <v:textbox inset="0,0,0,0">
                <w:txbxContent>
                  <w:p>
                    <w:pPr>
                      <w:spacing w:line="136" w:lineRule="exact" w:before="0"/>
                      <w:ind w:left="0" w:right="0" w:firstLine="0"/>
                      <w:jc w:val="left"/>
                      <w:rPr>
                        <w:b/>
                        <w:sz w:val="12"/>
                      </w:rPr>
                    </w:pPr>
                    <w:r>
                      <w:rPr>
                        <w:b/>
                        <w:color w:val="FF0000"/>
                        <w:sz w:val="12"/>
                      </w:rPr>
                      <w:t>98</w:t>
                    </w:r>
                  </w:p>
                </w:txbxContent>
              </v:textbox>
              <w10:wrap type="none"/>
            </v:shape>
            <w10:wrap type="topAndBottom"/>
          </v:group>
        </w:pict>
      </w:r>
    </w:p>
    <w:p>
      <w:pPr>
        <w:spacing w:before="93"/>
        <w:ind w:left="119" w:right="0" w:firstLine="0"/>
        <w:jc w:val="left"/>
        <w:rPr>
          <w:b/>
          <w:i/>
          <w:sz w:val="18"/>
        </w:rPr>
      </w:pPr>
      <w:r>
        <w:rPr>
          <w:b/>
          <w:color w:val="000080"/>
          <w:sz w:val="24"/>
        </w:rPr>
        <w:t>Completion Factor </w:t>
      </w:r>
      <w:r>
        <w:rPr>
          <w:b/>
          <w:i/>
          <w:color w:val="000080"/>
          <w:sz w:val="18"/>
        </w:rPr>
        <w:t>(completed flights versus scheduled flights)</w:t>
      </w:r>
    </w:p>
    <w:p>
      <w:pPr>
        <w:spacing w:after="0"/>
        <w:jc w:val="left"/>
        <w:rPr>
          <w:sz w:val="18"/>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1"/>
        </w:rPr>
      </w:pPr>
    </w:p>
    <w:p>
      <w:pPr>
        <w:pStyle w:val="BodyText"/>
        <w:ind w:left="112"/>
        <w:rPr>
          <w:rFonts w:ascii="Times New Roman"/>
          <w:sz w:val="20"/>
        </w:rPr>
      </w:pPr>
      <w:r>
        <w:rPr>
          <w:rFonts w:ascii="Times New Roman"/>
          <w:sz w:val="20"/>
        </w:rPr>
        <w:pict>
          <v:group style="width:468.75pt;height:185.35pt;mso-position-horizontal-relative:char;mso-position-vertical-relative:line" coordorigin="0,0" coordsize="9375,3707">
            <v:rect style="position:absolute;left:8;top:8;width:9360;height:77" filled="true" fillcolor="#b3b3df" stroked="false">
              <v:fill type="solid"/>
            </v:rect>
            <v:rect style="position:absolute;left:8;top:84;width:9360;height:77" filled="true" fillcolor="#b3b3df" stroked="false">
              <v:fill type="solid"/>
            </v:rect>
            <v:rect style="position:absolute;left:8;top:161;width:9360;height:77" filled="true" fillcolor="#b3b3e1" stroked="false">
              <v:fill type="solid"/>
            </v:rect>
            <v:rect style="position:absolute;left:8;top:238;width:9360;height:77" filled="true" fillcolor="#b4b4e1" stroked="false">
              <v:fill type="solid"/>
            </v:rect>
            <v:rect style="position:absolute;left:8;top:315;width:9360;height:77" filled="true" fillcolor="#b4b4e2" stroked="false">
              <v:fill type="solid"/>
            </v:rect>
            <v:rect style="position:absolute;left:8;top:392;width:9360;height:77" filled="true" fillcolor="#b5b5e3" stroked="false">
              <v:fill type="solid"/>
            </v:rect>
            <v:rect style="position:absolute;left:8;top:468;width:9360;height:77" filled="true" fillcolor="#b6b6e4" stroked="false">
              <v:fill type="solid"/>
            </v:rect>
            <v:rect style="position:absolute;left:8;top:545;width:9360;height:77" filled="true" fillcolor="#b8b8e6" stroked="false">
              <v:fill type="solid"/>
            </v:rect>
            <v:rect style="position:absolute;left:8;top:622;width:9360;height:77" filled="true" fillcolor="#b9b9e7" stroked="false">
              <v:fill type="solid"/>
            </v:rect>
            <v:rect style="position:absolute;left:8;top:699;width:9360;height:77" filled="true" fillcolor="#babae9" stroked="false">
              <v:fill type="solid"/>
            </v:rect>
            <v:rect style="position:absolute;left:8;top:776;width:9360;height:77" filled="true" fillcolor="#bdbdec" stroked="false">
              <v:fill type="solid"/>
            </v:rect>
            <v:rect style="position:absolute;left:8;top:852;width:9360;height:77" filled="true" fillcolor="#bebeed" stroked="false">
              <v:fill type="solid"/>
            </v:rect>
            <v:rect style="position:absolute;left:8;top:929;width:9360;height:77" filled="true" fillcolor="#bfbff1" stroked="false">
              <v:fill type="solid"/>
            </v:rect>
            <v:rect style="position:absolute;left:8;top:1006;width:9360;height:77" filled="true" fillcolor="#c2c2f2" stroked="false">
              <v:fill type="solid"/>
            </v:rect>
            <v:rect style="position:absolute;left:8;top:1083;width:9360;height:77" filled="true" fillcolor="#c3c3f5" stroked="false">
              <v:fill type="solid"/>
            </v:rect>
            <v:rect style="position:absolute;left:8;top:1159;width:9360;height:77" filled="true" fillcolor="#c4c4f6" stroked="false">
              <v:fill type="solid"/>
            </v:rect>
            <v:rect style="position:absolute;left:8;top:1236;width:9360;height:77" filled="true" fillcolor="#c6c6f7" stroked="false">
              <v:fill type="solid"/>
            </v:rect>
            <v:rect style="position:absolute;left:8;top:1313;width:9360;height:77" filled="true" fillcolor="#c7c7fa" stroked="false">
              <v:fill type="solid"/>
            </v:rect>
            <v:rect style="position:absolute;left:8;top:1390;width:9360;height:77" filled="true" fillcolor="#c8c8fa" stroked="false">
              <v:fill type="solid"/>
            </v:rect>
            <v:rect style="position:absolute;left:8;top:1467;width:9360;height:77" filled="true" fillcolor="#c8c8fb" stroked="false">
              <v:fill type="solid"/>
            </v:rect>
            <v:rect style="position:absolute;left:8;top:1544;width:9360;height:77" filled="true" fillcolor="#cacafd" stroked="false">
              <v:fill type="solid"/>
            </v:rect>
            <v:rect style="position:absolute;left:8;top:1620;width:9360;height:77" filled="true" fillcolor="#cbcbfd" stroked="false">
              <v:fill type="solid"/>
            </v:rect>
            <v:rect style="position:absolute;left:8;top:1697;width:9360;height:77" filled="true" fillcolor="#cbcbfe" stroked="false">
              <v:fill type="solid"/>
            </v:rect>
            <v:rect style="position:absolute;left:8;top:1774;width:9360;height:77" filled="true" fillcolor="#cbcbfe" stroked="false">
              <v:fill type="solid"/>
            </v:rect>
            <v:rect style="position:absolute;left:8;top:1851;width:9360;height:82" filled="true" fillcolor="#cbcbfe" stroked="false">
              <v:fill type="solid"/>
            </v:rect>
            <v:rect style="position:absolute;left:8;top:1932;width:9360;height:77" filled="true" fillcolor="#cbcbfe" stroked="false">
              <v:fill type="solid"/>
            </v:rect>
            <v:rect style="position:absolute;left:8;top:2009;width:9360;height:77" filled="true" fillcolor="#cbcbfd" stroked="false">
              <v:fill type="solid"/>
            </v:rect>
            <v:rect style="position:absolute;left:8;top:2086;width:9360;height:77" filled="true" fillcolor="#cacafd" stroked="false">
              <v:fill type="solid"/>
            </v:rect>
            <v:rect style="position:absolute;left:8;top:2163;width:9360;height:77" filled="true" fillcolor="#c8c8fb" stroked="false">
              <v:fill type="solid"/>
            </v:rect>
            <v:rect style="position:absolute;left:8;top:2239;width:9360;height:77" filled="true" fillcolor="#c8c8fa" stroked="false">
              <v:fill type="solid"/>
            </v:rect>
            <v:rect style="position:absolute;left:8;top:2316;width:9360;height:77" filled="true" fillcolor="#c7c7fa" stroked="false">
              <v:fill type="solid"/>
            </v:rect>
            <v:rect style="position:absolute;left:8;top:2393;width:9360;height:77" filled="true" fillcolor="#c6c6f7" stroked="false">
              <v:fill type="solid"/>
            </v:rect>
            <v:rect style="position:absolute;left:8;top:2470;width:9360;height:77" filled="true" fillcolor="#c4c4f6" stroked="false">
              <v:fill type="solid"/>
            </v:rect>
            <v:rect style="position:absolute;left:8;top:2547;width:9360;height:77" filled="true" fillcolor="#c3c3f5" stroked="false">
              <v:fill type="solid"/>
            </v:rect>
            <v:rect style="position:absolute;left:8;top:2624;width:9360;height:77" filled="true" fillcolor="#c2c2f2" stroked="false">
              <v:fill type="solid"/>
            </v:rect>
            <v:rect style="position:absolute;left:8;top:2700;width:9360;height:77" filled="true" fillcolor="#bfbff1" stroked="false">
              <v:fill type="solid"/>
            </v:rect>
            <v:rect style="position:absolute;left:8;top:2777;width:9360;height:77" filled="true" fillcolor="#bebeed" stroked="false">
              <v:fill type="solid"/>
            </v:rect>
            <v:rect style="position:absolute;left:8;top:2854;width:9360;height:77" filled="true" fillcolor="#bdbdec" stroked="false">
              <v:fill type="solid"/>
            </v:rect>
            <v:rect style="position:absolute;left:8;top:2931;width:9360;height:77" filled="true" fillcolor="#babae9" stroked="false">
              <v:fill type="solid"/>
            </v:rect>
            <v:rect style="position:absolute;left:8;top:3008;width:9360;height:77" filled="true" fillcolor="#b9b9e7" stroked="false">
              <v:fill type="solid"/>
            </v:rect>
            <v:rect style="position:absolute;left:8;top:3084;width:9360;height:77" filled="true" fillcolor="#b8b8e6" stroked="false">
              <v:fill type="solid"/>
            </v:rect>
            <v:rect style="position:absolute;left:8;top:3161;width:9360;height:77" filled="true" fillcolor="#b6b6e4" stroked="false">
              <v:fill type="solid"/>
            </v:rect>
            <v:rect style="position:absolute;left:8;top:3238;width:9360;height:77" filled="true" fillcolor="#b5b5e3" stroked="false">
              <v:fill type="solid"/>
            </v:rect>
            <v:rect style="position:absolute;left:8;top:3315;width:9360;height:77" filled="true" fillcolor="#b4b4e2" stroked="false">
              <v:fill type="solid"/>
            </v:rect>
            <v:rect style="position:absolute;left:8;top:3391;width:9360;height:77" filled="true" fillcolor="#b4b4e1" stroked="false">
              <v:fill type="solid"/>
            </v:rect>
            <v:rect style="position:absolute;left:8;top:3468;width:9360;height:77" filled="true" fillcolor="#b3b3e1" stroked="false">
              <v:fill type="solid"/>
            </v:rect>
            <v:rect style="position:absolute;left:8;top:3545;width:9360;height:77" filled="true" fillcolor="#b3b3df" stroked="false">
              <v:fill type="solid"/>
            </v:rect>
            <v:rect style="position:absolute;left:8;top:3622;width:9360;height:77" filled="true" fillcolor="#b3b3df" stroked="false">
              <v:fill type="solid"/>
            </v:rect>
            <v:rect style="position:absolute;left:8;top:8;width:9360;height:3691" filled="false" stroked="true" strokeweight=".72pt" strokecolor="#000000">
              <v:stroke dashstyle="solid"/>
            </v:rect>
            <v:shape style="position:absolute;left:8;top:8;width:9360;height:3692" type="#_x0000_t202" filled="false" stroked="false">
              <v:textbox inset="0,0,0,0">
                <w:txbxContent>
                  <w:p>
                    <w:pPr>
                      <w:spacing w:line="268" w:lineRule="auto" w:before="116"/>
                      <w:ind w:left="335" w:right="165" w:hanging="183"/>
                      <w:jc w:val="both"/>
                      <w:rPr>
                        <w:b/>
                        <w:i/>
                        <w:sz w:val="28"/>
                      </w:rPr>
                    </w:pPr>
                    <w:r>
                      <w:rPr>
                        <w:b/>
                        <w:i/>
                        <w:spacing w:val="12"/>
                        <w:sz w:val="28"/>
                      </w:rPr>
                      <w:t>Ask </w:t>
                    </w:r>
                    <w:r>
                      <w:rPr>
                        <w:b/>
                        <w:i/>
                        <w:spacing w:val="15"/>
                        <w:sz w:val="28"/>
                      </w:rPr>
                      <w:t>Thanh Giang Nguyen </w:t>
                    </w:r>
                    <w:r>
                      <w:rPr>
                        <w:b/>
                        <w:i/>
                        <w:spacing w:val="14"/>
                        <w:sz w:val="28"/>
                      </w:rPr>
                      <w:t>what </w:t>
                    </w:r>
                    <w:r>
                      <w:rPr>
                        <w:b/>
                        <w:i/>
                        <w:spacing w:val="16"/>
                        <w:sz w:val="28"/>
                      </w:rPr>
                      <w:t>freedom means </w:t>
                    </w:r>
                    <w:r>
                      <w:rPr>
                        <w:b/>
                        <w:i/>
                        <w:spacing w:val="9"/>
                        <w:sz w:val="28"/>
                      </w:rPr>
                      <w:t>to </w:t>
                    </w:r>
                    <w:r>
                      <w:rPr>
                        <w:b/>
                        <w:i/>
                        <w:spacing w:val="14"/>
                        <w:sz w:val="28"/>
                      </w:rPr>
                      <w:t>her, </w:t>
                    </w:r>
                    <w:r>
                      <w:rPr>
                        <w:b/>
                        <w:i/>
                        <w:spacing w:val="12"/>
                        <w:sz w:val="28"/>
                      </w:rPr>
                      <w:t>and </w:t>
                    </w:r>
                    <w:r>
                      <w:rPr>
                        <w:b/>
                        <w:i/>
                        <w:spacing w:val="15"/>
                        <w:sz w:val="28"/>
                      </w:rPr>
                      <w:t>she’ll </w:t>
                    </w:r>
                    <w:r>
                      <w:rPr>
                        <w:b/>
                        <w:i/>
                        <w:spacing w:val="14"/>
                        <w:sz w:val="28"/>
                      </w:rPr>
                      <w:t>tell </w:t>
                    </w:r>
                    <w:r>
                      <w:rPr>
                        <w:b/>
                        <w:i/>
                        <w:spacing w:val="12"/>
                        <w:sz w:val="28"/>
                      </w:rPr>
                      <w:t>you </w:t>
                    </w:r>
                    <w:r>
                      <w:rPr>
                        <w:b/>
                        <w:i/>
                        <w:spacing w:val="9"/>
                        <w:sz w:val="28"/>
                      </w:rPr>
                      <w:t>it </w:t>
                    </w:r>
                    <w:r>
                      <w:rPr>
                        <w:b/>
                        <w:i/>
                        <w:spacing w:val="16"/>
                        <w:sz w:val="28"/>
                      </w:rPr>
                      <w:t>means </w:t>
                    </w:r>
                    <w:r>
                      <w:rPr>
                        <w:b/>
                        <w:i/>
                        <w:spacing w:val="15"/>
                        <w:sz w:val="28"/>
                      </w:rPr>
                      <w:t>being </w:t>
                    </w:r>
                    <w:r>
                      <w:rPr>
                        <w:b/>
                        <w:i/>
                        <w:spacing w:val="14"/>
                        <w:sz w:val="28"/>
                      </w:rPr>
                      <w:t>able </w:t>
                    </w:r>
                    <w:r>
                      <w:rPr>
                        <w:b/>
                        <w:i/>
                        <w:spacing w:val="9"/>
                        <w:sz w:val="28"/>
                      </w:rPr>
                      <w:t>to </w:t>
                    </w:r>
                    <w:r>
                      <w:rPr>
                        <w:b/>
                        <w:i/>
                        <w:spacing w:val="14"/>
                        <w:sz w:val="28"/>
                      </w:rPr>
                      <w:t>keep </w:t>
                    </w:r>
                    <w:r>
                      <w:rPr>
                        <w:b/>
                        <w:i/>
                        <w:sz w:val="28"/>
                      </w:rPr>
                      <w:t>a  </w:t>
                    </w:r>
                    <w:r>
                      <w:rPr>
                        <w:b/>
                        <w:i/>
                        <w:spacing w:val="16"/>
                        <w:sz w:val="28"/>
                      </w:rPr>
                      <w:t>promise. </w:t>
                    </w:r>
                    <w:r>
                      <w:rPr>
                        <w:b/>
                        <w:i/>
                        <w:spacing w:val="14"/>
                        <w:sz w:val="28"/>
                      </w:rPr>
                      <w:t>Even </w:t>
                    </w:r>
                    <w:r>
                      <w:rPr>
                        <w:b/>
                        <w:i/>
                        <w:spacing w:val="9"/>
                        <w:sz w:val="28"/>
                      </w:rPr>
                      <w:t>if it </w:t>
                    </w:r>
                    <w:r>
                      <w:rPr>
                        <w:b/>
                        <w:i/>
                        <w:spacing w:val="14"/>
                        <w:sz w:val="28"/>
                      </w:rPr>
                      <w:t>takes </w:t>
                    </w:r>
                    <w:r>
                      <w:rPr>
                        <w:b/>
                        <w:i/>
                        <w:spacing w:val="9"/>
                        <w:sz w:val="28"/>
                      </w:rPr>
                      <w:t>11 </w:t>
                    </w:r>
                    <w:r>
                      <w:rPr>
                        <w:b/>
                        <w:i/>
                        <w:spacing w:val="14"/>
                        <w:sz w:val="28"/>
                      </w:rPr>
                      <w:t>years </w:t>
                    </w:r>
                    <w:r>
                      <w:rPr>
                        <w:b/>
                        <w:i/>
                        <w:spacing w:val="9"/>
                        <w:sz w:val="28"/>
                      </w:rPr>
                      <w:t>to </w:t>
                    </w:r>
                    <w:r>
                      <w:rPr>
                        <w:b/>
                        <w:i/>
                        <w:spacing w:val="12"/>
                        <w:sz w:val="28"/>
                      </w:rPr>
                      <w:t>pay </w:t>
                    </w:r>
                    <w:r>
                      <w:rPr>
                        <w:b/>
                        <w:i/>
                        <w:spacing w:val="9"/>
                        <w:sz w:val="28"/>
                      </w:rPr>
                      <w:t>it </w:t>
                    </w:r>
                    <w:r>
                      <w:rPr>
                        <w:b/>
                        <w:i/>
                        <w:spacing w:val="13"/>
                        <w:sz w:val="28"/>
                      </w:rPr>
                      <w:t>off. </w:t>
                    </w:r>
                    <w:r>
                      <w:rPr>
                        <w:b/>
                        <w:i/>
                        <w:spacing w:val="15"/>
                        <w:sz w:val="28"/>
                      </w:rPr>
                      <w:t>See, </w:t>
                    </w:r>
                    <w:r>
                      <w:rPr>
                        <w:b/>
                        <w:i/>
                        <w:spacing w:val="13"/>
                        <w:sz w:val="28"/>
                      </w:rPr>
                      <w:t>when </w:t>
                    </w:r>
                    <w:r>
                      <w:rPr>
                        <w:b/>
                        <w:i/>
                        <w:spacing w:val="14"/>
                        <w:sz w:val="28"/>
                      </w:rPr>
                      <w:t>Thanh </w:t>
                    </w:r>
                    <w:r>
                      <w:rPr>
                        <w:b/>
                        <w:i/>
                        <w:spacing w:val="12"/>
                        <w:sz w:val="28"/>
                      </w:rPr>
                      <w:t>was </w:t>
                    </w:r>
                    <w:r>
                      <w:rPr>
                        <w:b/>
                        <w:i/>
                        <w:spacing w:val="18"/>
                        <w:sz w:val="28"/>
                      </w:rPr>
                      <w:t>13, </w:t>
                    </w:r>
                    <w:r>
                      <w:rPr>
                        <w:b/>
                        <w:i/>
                        <w:spacing w:val="12"/>
                        <w:sz w:val="28"/>
                      </w:rPr>
                      <w:t>she </w:t>
                    </w:r>
                    <w:r>
                      <w:rPr>
                        <w:b/>
                        <w:i/>
                        <w:spacing w:val="16"/>
                        <w:sz w:val="28"/>
                      </w:rPr>
                      <w:t>promised </w:t>
                    </w:r>
                    <w:r>
                      <w:rPr>
                        <w:b/>
                        <w:i/>
                        <w:spacing w:val="12"/>
                        <w:sz w:val="28"/>
                      </w:rPr>
                      <w:t>her pen pal </w:t>
                    </w:r>
                    <w:r>
                      <w:rPr>
                        <w:b/>
                        <w:i/>
                        <w:spacing w:val="15"/>
                        <w:sz w:val="28"/>
                      </w:rPr>
                      <w:t>Heidi </w:t>
                    </w:r>
                    <w:r>
                      <w:rPr>
                        <w:b/>
                        <w:i/>
                        <w:spacing w:val="14"/>
                        <w:sz w:val="28"/>
                      </w:rPr>
                      <w:t>that </w:t>
                    </w:r>
                    <w:r>
                      <w:rPr>
                        <w:b/>
                        <w:i/>
                        <w:spacing w:val="15"/>
                        <w:sz w:val="28"/>
                      </w:rPr>
                      <w:t>she’d </w:t>
                    </w:r>
                    <w:r>
                      <w:rPr>
                        <w:b/>
                        <w:i/>
                        <w:spacing w:val="9"/>
                        <w:sz w:val="28"/>
                      </w:rPr>
                      <w:t>be </w:t>
                    </w:r>
                    <w:r>
                      <w:rPr>
                        <w:b/>
                        <w:i/>
                        <w:sz w:val="28"/>
                      </w:rPr>
                      <w:t>a </w:t>
                    </w:r>
                    <w:r>
                      <w:rPr>
                        <w:b/>
                        <w:i/>
                        <w:spacing w:val="17"/>
                        <w:sz w:val="28"/>
                      </w:rPr>
                      <w:t>bridesmaid </w:t>
                    </w:r>
                    <w:r>
                      <w:rPr>
                        <w:b/>
                        <w:i/>
                        <w:spacing w:val="9"/>
                        <w:sz w:val="28"/>
                      </w:rPr>
                      <w:t>in </w:t>
                    </w:r>
                    <w:r>
                      <w:rPr>
                        <w:b/>
                        <w:i/>
                        <w:spacing w:val="12"/>
                        <w:sz w:val="28"/>
                      </w:rPr>
                      <w:t>her </w:t>
                    </w:r>
                    <w:r>
                      <w:rPr>
                        <w:b/>
                        <w:i/>
                        <w:spacing w:val="16"/>
                        <w:sz w:val="28"/>
                      </w:rPr>
                      <w:t>wedding. </w:t>
                    </w:r>
                    <w:r>
                      <w:rPr>
                        <w:b/>
                        <w:i/>
                        <w:sz w:val="28"/>
                      </w:rPr>
                      <w:t>“ </w:t>
                    </w:r>
                    <w:r>
                      <w:rPr>
                        <w:b/>
                        <w:i/>
                        <w:spacing w:val="13"/>
                        <w:sz w:val="28"/>
                      </w:rPr>
                      <w:t>Some day.” </w:t>
                    </w:r>
                    <w:r>
                      <w:rPr>
                        <w:b/>
                        <w:i/>
                        <w:spacing w:val="11"/>
                        <w:sz w:val="28"/>
                      </w:rPr>
                      <w:t>But </w:t>
                    </w:r>
                    <w:r>
                      <w:rPr>
                        <w:b/>
                        <w:i/>
                        <w:spacing w:val="12"/>
                        <w:sz w:val="28"/>
                      </w:rPr>
                      <w:t>when that </w:t>
                    </w:r>
                    <w:r>
                      <w:rPr>
                        <w:b/>
                        <w:i/>
                        <w:spacing w:val="11"/>
                        <w:sz w:val="28"/>
                      </w:rPr>
                      <w:t>day </w:t>
                    </w:r>
                    <w:r>
                      <w:rPr>
                        <w:b/>
                        <w:i/>
                        <w:spacing w:val="17"/>
                        <w:sz w:val="28"/>
                      </w:rPr>
                      <w:t>finally </w:t>
                    </w:r>
                    <w:r>
                      <w:rPr>
                        <w:b/>
                        <w:i/>
                        <w:spacing w:val="15"/>
                        <w:sz w:val="28"/>
                      </w:rPr>
                      <w:t>came, </w:t>
                    </w:r>
                    <w:r>
                      <w:rPr>
                        <w:b/>
                        <w:i/>
                        <w:spacing w:val="9"/>
                        <w:sz w:val="28"/>
                      </w:rPr>
                      <w:t>it </w:t>
                    </w:r>
                    <w:r>
                      <w:rPr>
                        <w:b/>
                        <w:i/>
                        <w:spacing w:val="15"/>
                        <w:sz w:val="28"/>
                      </w:rPr>
                      <w:t>looked </w:t>
                    </w:r>
                    <w:r>
                      <w:rPr>
                        <w:b/>
                        <w:i/>
                        <w:spacing w:val="14"/>
                        <w:sz w:val="28"/>
                      </w:rPr>
                      <w:t>like </w:t>
                    </w:r>
                    <w:r>
                      <w:rPr>
                        <w:b/>
                        <w:i/>
                        <w:spacing w:val="12"/>
                        <w:sz w:val="28"/>
                      </w:rPr>
                      <w:t>the </w:t>
                    </w:r>
                    <w:r>
                      <w:rPr>
                        <w:b/>
                        <w:i/>
                        <w:spacing w:val="14"/>
                        <w:sz w:val="28"/>
                      </w:rPr>
                      <w:t>trip </w:t>
                    </w:r>
                    <w:r>
                      <w:rPr>
                        <w:b/>
                        <w:i/>
                        <w:spacing w:val="16"/>
                        <w:sz w:val="28"/>
                      </w:rPr>
                      <w:t>might </w:t>
                    </w:r>
                    <w:r>
                      <w:rPr>
                        <w:b/>
                        <w:i/>
                        <w:spacing w:val="9"/>
                        <w:sz w:val="28"/>
                      </w:rPr>
                      <w:t>be </w:t>
                    </w:r>
                    <w:r>
                      <w:rPr>
                        <w:b/>
                        <w:i/>
                        <w:sz w:val="28"/>
                      </w:rPr>
                      <w:t>a  </w:t>
                    </w:r>
                    <w:r>
                      <w:rPr>
                        <w:b/>
                        <w:i/>
                        <w:spacing w:val="15"/>
                        <w:sz w:val="28"/>
                      </w:rPr>
                      <w:t>little  </w:t>
                    </w:r>
                    <w:r>
                      <w:rPr>
                        <w:b/>
                        <w:i/>
                        <w:spacing w:val="12"/>
                        <w:sz w:val="28"/>
                      </w:rPr>
                      <w:t>out  </w:t>
                    </w:r>
                    <w:r>
                      <w:rPr>
                        <w:b/>
                        <w:i/>
                        <w:spacing w:val="9"/>
                        <w:sz w:val="28"/>
                      </w:rPr>
                      <w:t>of  </w:t>
                    </w:r>
                    <w:r>
                      <w:rPr>
                        <w:b/>
                        <w:i/>
                        <w:spacing w:val="12"/>
                        <w:sz w:val="28"/>
                      </w:rPr>
                      <w:t>her </w:t>
                    </w:r>
                    <w:r>
                      <w:rPr>
                        <w:b/>
                        <w:i/>
                        <w:spacing w:val="14"/>
                        <w:sz w:val="28"/>
                      </w:rPr>
                      <w:t>price </w:t>
                    </w:r>
                    <w:r>
                      <w:rPr>
                        <w:b/>
                        <w:i/>
                        <w:spacing w:val="16"/>
                        <w:sz w:val="28"/>
                      </w:rPr>
                      <w:t>range. </w:t>
                    </w:r>
                    <w:r>
                      <w:rPr>
                        <w:b/>
                        <w:i/>
                        <w:spacing w:val="15"/>
                        <w:sz w:val="28"/>
                      </w:rPr>
                      <w:t>Until </w:t>
                    </w:r>
                    <w:r>
                      <w:rPr>
                        <w:b/>
                        <w:i/>
                        <w:spacing w:val="12"/>
                        <w:sz w:val="28"/>
                      </w:rPr>
                      <w:t>she </w:t>
                    </w:r>
                    <w:r>
                      <w:rPr>
                        <w:b/>
                        <w:i/>
                        <w:spacing w:val="15"/>
                        <w:sz w:val="28"/>
                      </w:rPr>
                      <w:t>called </w:t>
                    </w:r>
                    <w:r>
                      <w:rPr>
                        <w:b/>
                        <w:i/>
                        <w:spacing w:val="12"/>
                        <w:sz w:val="28"/>
                      </w:rPr>
                      <w:t>us. And </w:t>
                    </w:r>
                    <w:r>
                      <w:rPr>
                        <w:b/>
                        <w:i/>
                        <w:spacing w:val="13"/>
                        <w:sz w:val="28"/>
                      </w:rPr>
                      <w:t>soon met </w:t>
                    </w:r>
                    <w:r>
                      <w:rPr>
                        <w:b/>
                        <w:i/>
                        <w:spacing w:val="12"/>
                        <w:sz w:val="28"/>
                      </w:rPr>
                      <w:t>her  </w:t>
                    </w:r>
                    <w:r>
                      <w:rPr>
                        <w:b/>
                        <w:i/>
                        <w:spacing w:val="18"/>
                        <w:sz w:val="28"/>
                      </w:rPr>
                      <w:t>very </w:t>
                    </w:r>
                    <w:r>
                      <w:rPr>
                        <w:b/>
                        <w:i/>
                        <w:spacing w:val="14"/>
                        <w:sz w:val="28"/>
                      </w:rPr>
                      <w:t>best </w:t>
                    </w:r>
                    <w:r>
                      <w:rPr>
                        <w:b/>
                        <w:i/>
                        <w:spacing w:val="15"/>
                        <w:sz w:val="28"/>
                      </w:rPr>
                      <w:t>friend </w:t>
                    </w:r>
                    <w:r>
                      <w:rPr>
                        <w:b/>
                        <w:i/>
                        <w:spacing w:val="12"/>
                        <w:sz w:val="28"/>
                      </w:rPr>
                      <w:t>for the </w:t>
                    </w:r>
                    <w:r>
                      <w:rPr>
                        <w:b/>
                        <w:i/>
                        <w:spacing w:val="14"/>
                        <w:sz w:val="28"/>
                      </w:rPr>
                      <w:t>very </w:t>
                    </w:r>
                    <w:r>
                      <w:rPr>
                        <w:b/>
                        <w:i/>
                        <w:spacing w:val="15"/>
                        <w:sz w:val="28"/>
                      </w:rPr>
                      <w:t>first time. </w:t>
                    </w:r>
                    <w:r>
                      <w:rPr>
                        <w:b/>
                        <w:i/>
                        <w:spacing w:val="12"/>
                        <w:sz w:val="28"/>
                      </w:rPr>
                      <w:t>Now </w:t>
                    </w:r>
                    <w:r>
                      <w:rPr>
                        <w:b/>
                        <w:i/>
                        <w:spacing w:val="15"/>
                        <w:sz w:val="28"/>
                      </w:rPr>
                      <w:t>Thanh </w:t>
                    </w:r>
                    <w:r>
                      <w:rPr>
                        <w:b/>
                        <w:i/>
                        <w:spacing w:val="16"/>
                        <w:sz w:val="28"/>
                      </w:rPr>
                      <w:t>promises </w:t>
                    </w:r>
                    <w:r>
                      <w:rPr>
                        <w:b/>
                        <w:i/>
                        <w:spacing w:val="9"/>
                        <w:sz w:val="28"/>
                      </w:rPr>
                      <w:t>to </w:t>
                    </w:r>
                    <w:r>
                      <w:rPr>
                        <w:b/>
                        <w:i/>
                        <w:spacing w:val="14"/>
                        <w:sz w:val="28"/>
                      </w:rPr>
                      <w:t>stay </w:t>
                    </w:r>
                    <w:r>
                      <w:rPr>
                        <w:b/>
                        <w:i/>
                        <w:spacing w:val="15"/>
                        <w:sz w:val="28"/>
                      </w:rPr>
                      <w:t>loyal </w:t>
                    </w:r>
                    <w:r>
                      <w:rPr>
                        <w:b/>
                        <w:i/>
                        <w:spacing w:val="9"/>
                        <w:sz w:val="28"/>
                      </w:rPr>
                      <w:t>to </w:t>
                    </w:r>
                    <w:r>
                      <w:rPr>
                        <w:b/>
                        <w:i/>
                        <w:spacing w:val="18"/>
                        <w:sz w:val="28"/>
                      </w:rPr>
                      <w:t>Southwest. </w:t>
                    </w:r>
                    <w:r>
                      <w:rPr>
                        <w:b/>
                        <w:i/>
                        <w:spacing w:val="15"/>
                        <w:sz w:val="28"/>
                      </w:rPr>
                      <w:t>With </w:t>
                    </w:r>
                    <w:r>
                      <w:rPr>
                        <w:b/>
                        <w:i/>
                        <w:spacing w:val="12"/>
                        <w:sz w:val="28"/>
                      </w:rPr>
                      <w:t>her </w:t>
                    </w:r>
                    <w:r>
                      <w:rPr>
                        <w:b/>
                        <w:i/>
                        <w:spacing w:val="15"/>
                        <w:sz w:val="28"/>
                      </w:rPr>
                      <w:t>track </w:t>
                    </w:r>
                    <w:r>
                      <w:rPr>
                        <w:b/>
                        <w:i/>
                        <w:spacing w:val="18"/>
                        <w:sz w:val="28"/>
                      </w:rPr>
                      <w:t>record, </w:t>
                    </w:r>
                    <w:r>
                      <w:rPr>
                        <w:b/>
                        <w:i/>
                        <w:spacing w:val="9"/>
                        <w:sz w:val="28"/>
                      </w:rPr>
                      <w:t>we </w:t>
                    </w:r>
                    <w:r>
                      <w:rPr>
                        <w:b/>
                        <w:i/>
                        <w:spacing w:val="15"/>
                        <w:sz w:val="28"/>
                      </w:rPr>
                      <w:t>don’t </w:t>
                    </w:r>
                    <w:r>
                      <w:rPr>
                        <w:b/>
                        <w:i/>
                        <w:spacing w:val="12"/>
                        <w:sz w:val="28"/>
                      </w:rPr>
                      <w:t>doubt</w:t>
                    </w:r>
                    <w:r>
                      <w:rPr>
                        <w:b/>
                        <w:i/>
                        <w:spacing w:val="18"/>
                        <w:sz w:val="28"/>
                      </w:rPr>
                      <w:t> </w:t>
                    </w:r>
                    <w:r>
                      <w:rPr>
                        <w:b/>
                        <w:i/>
                        <w:spacing w:val="16"/>
                        <w:sz w:val="28"/>
                      </w:rPr>
                      <w:t>it.</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tabs>
          <w:tab w:pos="6206" w:val="left" w:leader="none"/>
        </w:tabs>
        <w:spacing w:line="442" w:lineRule="exact" w:before="107"/>
        <w:ind w:left="302" w:right="207" w:hanging="183"/>
        <w:jc w:val="left"/>
        <w:rPr>
          <w:sz w:val="32"/>
        </w:rPr>
      </w:pPr>
      <w:r>
        <w:rPr>
          <w:color w:val="808080"/>
          <w:spacing w:val="7"/>
          <w:sz w:val="40"/>
        </w:rPr>
        <w:t>“We </w:t>
      </w:r>
      <w:r>
        <w:rPr>
          <w:color w:val="808080"/>
          <w:sz w:val="40"/>
        </w:rPr>
        <w:t>give our People</w:t>
      </w:r>
      <w:r>
        <w:rPr>
          <w:color w:val="808080"/>
          <w:spacing w:val="-38"/>
          <w:sz w:val="40"/>
        </w:rPr>
        <w:t> </w:t>
      </w:r>
      <w:r>
        <w:rPr>
          <w:color w:val="808080"/>
          <w:sz w:val="40"/>
        </w:rPr>
        <w:t>the</w:t>
      </w:r>
      <w:r>
        <w:rPr>
          <w:color w:val="808080"/>
          <w:spacing w:val="-9"/>
          <w:sz w:val="40"/>
        </w:rPr>
        <w:t> </w:t>
      </w:r>
      <w:r>
        <w:rPr>
          <w:color w:val="808080"/>
          <w:sz w:val="40"/>
        </w:rPr>
        <w:t>freedom</w:t>
        <w:tab/>
        <w:t>to</w:t>
      </w:r>
      <w:r>
        <w:rPr>
          <w:color w:val="808080"/>
          <w:spacing w:val="-15"/>
          <w:sz w:val="40"/>
        </w:rPr>
        <w:t> </w:t>
      </w:r>
      <w:r>
        <w:rPr>
          <w:color w:val="808080"/>
          <w:sz w:val="40"/>
        </w:rPr>
        <w:t>build</w:t>
      </w:r>
      <w:r>
        <w:rPr>
          <w:color w:val="808080"/>
          <w:spacing w:val="-14"/>
          <w:sz w:val="40"/>
        </w:rPr>
        <w:t> </w:t>
      </w:r>
      <w:r>
        <w:rPr>
          <w:color w:val="808080"/>
          <w:sz w:val="40"/>
        </w:rPr>
        <w:t>schedules</w:t>
      </w:r>
      <w:r>
        <w:rPr>
          <w:color w:val="808080"/>
          <w:spacing w:val="-2"/>
          <w:w w:val="99"/>
          <w:sz w:val="40"/>
        </w:rPr>
        <w:t> </w:t>
      </w:r>
      <w:r>
        <w:rPr>
          <w:color w:val="808080"/>
          <w:sz w:val="40"/>
        </w:rPr>
        <w:t>that ensure our </w:t>
      </w:r>
      <w:r>
        <w:rPr>
          <w:color w:val="808080"/>
          <w:spacing w:val="-3"/>
          <w:sz w:val="40"/>
        </w:rPr>
        <w:t>Customers </w:t>
      </w:r>
      <w:r>
        <w:rPr>
          <w:color w:val="808080"/>
          <w:sz w:val="40"/>
        </w:rPr>
        <w:t>have the flexibility to fly </w:t>
      </w:r>
      <w:r>
        <w:rPr>
          <w:color w:val="808080"/>
          <w:spacing w:val="-3"/>
          <w:sz w:val="40"/>
        </w:rPr>
        <w:t>where </w:t>
      </w:r>
      <w:r>
        <w:rPr>
          <w:color w:val="808080"/>
          <w:sz w:val="40"/>
        </w:rPr>
        <w:t>they </w:t>
      </w:r>
      <w:r>
        <w:rPr>
          <w:color w:val="808080"/>
          <w:spacing w:val="-3"/>
          <w:sz w:val="40"/>
        </w:rPr>
        <w:t>want </w:t>
      </w:r>
      <w:r>
        <w:rPr>
          <w:color w:val="808080"/>
          <w:sz w:val="40"/>
        </w:rPr>
        <w:t>to fly</w:t>
      </w:r>
      <w:r>
        <w:rPr>
          <w:color w:val="808080"/>
          <w:sz w:val="32"/>
        </w:rPr>
        <w:t>, when they want to fly</w:t>
      </w:r>
      <w:r>
        <w:rPr>
          <w:color w:val="808080"/>
          <w:spacing w:val="-30"/>
          <w:sz w:val="32"/>
        </w:rPr>
        <w:t> </w:t>
      </w:r>
      <w:r>
        <w:rPr>
          <w:color w:val="808080"/>
          <w:sz w:val="32"/>
        </w:rPr>
        <w:t>there.”</w:t>
      </w:r>
    </w:p>
    <w:p>
      <w:pPr>
        <w:pStyle w:val="BodyText"/>
        <w:spacing w:before="79"/>
        <w:ind w:left="307" w:firstLine="1478"/>
      </w:pPr>
      <w:r>
        <w:rPr>
          <w:color w:val="808080"/>
        </w:rPr>
        <w:t>— Gary A. Barron,  Executive Vice President — Chief Operations Officer</w:t>
      </w:r>
    </w:p>
    <w:p>
      <w:pPr>
        <w:pStyle w:val="BodyText"/>
        <w:spacing w:before="3"/>
        <w:rPr>
          <w:sz w:val="12"/>
        </w:rPr>
      </w:pPr>
      <w:r>
        <w:rPr/>
        <w:pict>
          <v:line style="position:absolute;mso-position-horizontal-relative:page;mso-position-vertical-relative:paragraph;z-index:4384;mso-wrap-distance-left:0;mso-wrap-distance-right:0" from="72pt,9.420977pt" to="540pt,9.420977pt" stroked="true" strokeweight=".72pt" strokecolor="#000080">
            <v:stroke dashstyle="dot"/>
            <w10:wrap type="topAndBottom"/>
          </v:line>
        </w:pict>
      </w:r>
    </w:p>
    <w:p>
      <w:pPr>
        <w:pStyle w:val="BodyText"/>
        <w:spacing w:line="312" w:lineRule="auto" w:before="218"/>
        <w:ind w:left="120" w:right="115" w:firstLine="187"/>
        <w:jc w:val="both"/>
      </w:pPr>
      <w:r>
        <w:rPr/>
        <w:t>Southwest offers lots of daily flights to the cities </w:t>
      </w:r>
      <w:r>
        <w:rPr>
          <w:spacing w:val="-3"/>
        </w:rPr>
        <w:t>we </w:t>
      </w:r>
      <w:r>
        <w:rPr/>
        <w:t>serve. That’s the “high frequency” part of our shorthaul, low-fare, high-frequency strategy. It helps keep our asset  utilization high and, therefore, our unit cost low. </w:t>
      </w:r>
      <w:r>
        <w:rPr>
          <w:spacing w:val="-3"/>
        </w:rPr>
        <w:t>But, </w:t>
      </w:r>
      <w:r>
        <w:rPr/>
        <w:t>more importantly, it offers convenience, especially to our business Customers. Our operation was built to meet  the needs of the shorthaul business</w:t>
      </w:r>
      <w:r>
        <w:rPr>
          <w:spacing w:val="21"/>
        </w:rPr>
        <w:t> </w:t>
      </w:r>
      <w:r>
        <w:rPr/>
        <w:t>traveler.</w:t>
      </w:r>
    </w:p>
    <w:p>
      <w:pPr>
        <w:pStyle w:val="BodyText"/>
        <w:spacing w:before="6"/>
        <w:rPr>
          <w:sz w:val="31"/>
        </w:rPr>
      </w:pPr>
    </w:p>
    <w:p>
      <w:pPr>
        <w:pStyle w:val="BodyText"/>
        <w:spacing w:line="312" w:lineRule="auto"/>
        <w:ind w:left="120" w:right="118" w:firstLine="187"/>
        <w:jc w:val="both"/>
      </w:pPr>
      <w:r>
        <w:rPr/>
        <w:t>Currently, we operate over 2,300 daily flights, or almost 45 departures per airport. In fact, we have seven airports with over 100 flights per day. This is very different from our major hub-and-spoke airline competitors, which offer lots of flights from just a few hub cities. We offer numerous flights almost everywhere we serve.</w:t>
      </w:r>
    </w:p>
    <w:p>
      <w:pPr>
        <w:pStyle w:val="BodyText"/>
        <w:spacing w:before="6"/>
        <w:rPr>
          <w:sz w:val="31"/>
        </w:rPr>
      </w:pPr>
    </w:p>
    <w:p>
      <w:pPr>
        <w:pStyle w:val="BodyText"/>
        <w:spacing w:line="312" w:lineRule="auto"/>
        <w:ind w:left="120" w:right="117" w:firstLine="187"/>
        <w:jc w:val="both"/>
      </w:pPr>
      <w:r>
        <w:rPr/>
        <w:t>With our shorthaul and efficiency focus, we schedule our aircraft on a point-to-point, rather than hub-and-spoke, basis. Consequently, approximately 75 percent of our Customers fly nonstop, in sharp contrast to the rest of the industry where many passengers connect.</w:t>
      </w:r>
    </w:p>
    <w:p>
      <w:pPr>
        <w:pStyle w:val="BodyText"/>
        <w:spacing w:before="6"/>
        <w:rPr>
          <w:sz w:val="31"/>
        </w:rPr>
      </w:pPr>
    </w:p>
    <w:p>
      <w:pPr>
        <w:pStyle w:val="BodyText"/>
        <w:spacing w:line="312" w:lineRule="auto"/>
        <w:ind w:left="120" w:right="115" w:firstLine="187"/>
        <w:jc w:val="both"/>
      </w:pPr>
      <w:r>
        <w:rPr/>
        <w:t>Southwest’s point-to-point </w:t>
      </w:r>
      <w:r>
        <w:rPr>
          <w:spacing w:val="2"/>
        </w:rPr>
        <w:t>route </w:t>
      </w:r>
      <w:r>
        <w:rPr/>
        <w:t>system, as compared to hub-and-spoke, provides our Customers with extensive nonstop routings that minimize connections, delays, and travel time. </w:t>
      </w:r>
      <w:r>
        <w:rPr>
          <w:spacing w:val="-4"/>
        </w:rPr>
        <w:t>Because</w:t>
      </w:r>
      <w:r>
        <w:rPr>
          <w:spacing w:val="58"/>
        </w:rPr>
        <w:t> </w:t>
      </w:r>
      <w:r>
        <w:rPr/>
        <w:t>of our high frequencies and high productivity, our airport turnaround time is minimal and leads the industry at approximately 20 minutes. </w:t>
      </w:r>
      <w:r>
        <w:rPr>
          <w:spacing w:val="-3"/>
        </w:rPr>
        <w:t>So, </w:t>
      </w:r>
      <w:r>
        <w:rPr/>
        <w:t>for the 25 percent of our Customers who don’t fly us nonstop, ground time and, therefore, total trip time is</w:t>
      </w:r>
      <w:r>
        <w:rPr>
          <w:spacing w:val="7"/>
        </w:rPr>
        <w:t> </w:t>
      </w:r>
      <w:r>
        <w:rPr/>
        <w:t>minimized.</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0" w:firstLine="187"/>
        <w:jc w:val="both"/>
      </w:pPr>
      <w:r>
        <w:rPr/>
        <w:t>Our scheduling philosophy is based on our ability to generate a substantial amount of traffic with our everyday low fares. By creating more demand, </w:t>
      </w:r>
      <w:r>
        <w:rPr>
          <w:spacing w:val="-3"/>
        </w:rPr>
        <w:t>we </w:t>
      </w:r>
      <w:r>
        <w:rPr/>
        <w:t>can offer lots of convenient flights from the cities </w:t>
      </w:r>
      <w:r>
        <w:rPr>
          <w:spacing w:val="-3"/>
        </w:rPr>
        <w:t>we </w:t>
      </w:r>
      <w:r>
        <w:rPr/>
        <w:t>serve. To further increase our operating efficiency, </w:t>
      </w:r>
      <w:r>
        <w:rPr>
          <w:spacing w:val="-3"/>
        </w:rPr>
        <w:t>we </w:t>
      </w:r>
      <w:r>
        <w:rPr/>
        <w:t>try to avoid congested </w:t>
      </w:r>
      <w:r>
        <w:rPr>
          <w:spacing w:val="2"/>
        </w:rPr>
        <w:t>airports, </w:t>
      </w:r>
      <w:r>
        <w:rPr/>
        <w:t>especially our competitors’ hubs. </w:t>
      </w:r>
      <w:r>
        <w:rPr>
          <w:spacing w:val="6"/>
        </w:rPr>
        <w:t>We </w:t>
      </w:r>
      <w:r>
        <w:rPr/>
        <w:t>seek convenient satellite or downtown </w:t>
      </w:r>
      <w:r>
        <w:rPr>
          <w:spacing w:val="2"/>
        </w:rPr>
        <w:t>airports </w:t>
      </w:r>
      <w:r>
        <w:rPr/>
        <w:t>such as Dallas Love </w:t>
      </w:r>
      <w:r>
        <w:rPr>
          <w:spacing w:val="3"/>
        </w:rPr>
        <w:t>Field, </w:t>
      </w:r>
      <w:r>
        <w:rPr/>
        <w:t>Houston Hobby, Chicago Midway, Oakland, Providence, </w:t>
      </w:r>
      <w:r>
        <w:rPr>
          <w:spacing w:val="2"/>
        </w:rPr>
        <w:t>Ft. </w:t>
      </w:r>
      <w:r>
        <w:rPr/>
        <w:t>Lauderdale, </w:t>
      </w:r>
      <w:r>
        <w:rPr>
          <w:spacing w:val="-4"/>
        </w:rPr>
        <w:t>Burbank,</w:t>
      </w:r>
      <w:r>
        <w:rPr>
          <w:spacing w:val="58"/>
        </w:rPr>
        <w:t> </w:t>
      </w:r>
      <w:r>
        <w:rPr/>
        <w:t>Baltimore, and Manchester, which also </w:t>
      </w:r>
      <w:r>
        <w:rPr>
          <w:spacing w:val="2"/>
        </w:rPr>
        <w:t>reduces </w:t>
      </w:r>
      <w:r>
        <w:rPr/>
        <w:t>total trip time and transportation expenses to and from the </w:t>
      </w:r>
      <w:r>
        <w:rPr>
          <w:spacing w:val="2"/>
        </w:rPr>
        <w:t>airport. </w:t>
      </w:r>
      <w:r>
        <w:rPr/>
        <w:t>By avoiding congested hub </w:t>
      </w:r>
      <w:r>
        <w:rPr>
          <w:spacing w:val="2"/>
        </w:rPr>
        <w:t>airports, </w:t>
      </w:r>
      <w:r>
        <w:rPr>
          <w:spacing w:val="-3"/>
        </w:rPr>
        <w:t>we </w:t>
      </w:r>
      <w:r>
        <w:rPr/>
        <w:t>also enhance our ability to sustain high ontime performance.</w:t>
      </w:r>
    </w:p>
    <w:p>
      <w:pPr>
        <w:pStyle w:val="BodyText"/>
        <w:spacing w:before="10"/>
        <w:rPr>
          <w:sz w:val="20"/>
        </w:rPr>
      </w:pPr>
      <w:r>
        <w:rPr/>
        <w:pict>
          <v:group style="position:absolute;margin-left:71.875pt;margin-top:13.957969pt;width:288.05pt;height:151.7pt;mso-position-horizontal-relative:page;mso-position-vertical-relative:paragraph;z-index:4696;mso-wrap-distance-left:0;mso-wrap-distance-right:0" coordorigin="1438,279" coordsize="5761,3034">
            <v:rect style="position:absolute;left:2318;top:1107;width:394;height:1733" filled="true" fillcolor="#a0dfdf" stroked="false">
              <v:fill type="solid"/>
            </v:rect>
            <v:rect style="position:absolute;left:2318;top:1107;width:394;height:1733" filled="false" stroked="true" strokeweight=".48pt" strokecolor="#000000">
              <v:stroke dashstyle="solid"/>
            </v:rect>
            <v:rect style="position:absolute;left:3322;top:1318;width:394;height:1522" filled="true" fillcolor="#a0dfdf" stroked="false">
              <v:fill type="solid"/>
            </v:rect>
            <v:rect style="position:absolute;left:3322;top:1318;width:394;height:1522" filled="false" stroked="true" strokeweight=".48pt" strokecolor="#000000">
              <v:stroke dashstyle="solid"/>
            </v:rect>
            <v:rect style="position:absolute;left:4325;top:1194;width:394;height:1646" filled="true" fillcolor="#a0dfdf" stroked="false">
              <v:fill type="solid"/>
            </v:rect>
            <v:rect style="position:absolute;left:4325;top:1194;width:394;height:1646" filled="false" stroked="true" strokeweight=".48pt" strokecolor="#000000">
              <v:stroke dashstyle="solid"/>
            </v:rect>
            <v:rect style="position:absolute;left:5318;top:1050;width:394;height:1790" filled="true" fillcolor="#a0dfdf" stroked="false">
              <v:fill type="solid"/>
            </v:rect>
            <v:rect style="position:absolute;left:5318;top:1050;width:394;height:1790" filled="false" stroked="true" strokeweight=".48pt" strokecolor="#000000">
              <v:stroke dashstyle="solid"/>
            </v:rect>
            <v:rect style="position:absolute;left:6322;top:1141;width:394;height:1699" filled="true" fillcolor="#a0dfdf" stroked="false">
              <v:fill type="solid"/>
            </v:rect>
            <v:rect style="position:absolute;left:6322;top:1141;width:394;height:1699" filled="false" stroked="true" strokeweight=".48pt" strokecolor="#000000">
              <v:stroke dashstyle="solid"/>
            </v:rect>
            <v:line style="position:absolute" from="2026,565" to="2026,2840" stroked="true" strokeweight=".24pt" strokecolor="#000000">
              <v:stroke dashstyle="solid"/>
            </v:line>
            <v:line style="position:absolute" from="1992,2840" to="2059,2840" stroked="true" strokeweight=".24pt" strokecolor="#000000">
              <v:stroke dashstyle="solid"/>
            </v:line>
            <v:line style="position:absolute" from="1992,2456" to="2059,2456" stroked="true" strokeweight=".24pt" strokecolor="#000000">
              <v:stroke dashstyle="solid"/>
            </v:line>
            <v:line style="position:absolute" from="1992,2062" to="2059,2062" stroked="true" strokeweight=".24pt" strokecolor="#000000">
              <v:stroke dashstyle="solid"/>
            </v:line>
            <v:line style="position:absolute" from="1992,1678" to="2059,1678" stroked="true" strokeweight=".24pt" strokecolor="#000000">
              <v:stroke dashstyle="solid"/>
            </v:line>
            <v:line style="position:absolute" from="1992,1294" to="2059,1294" stroked="true" strokeweight=".24pt" strokecolor="#000000">
              <v:stroke dashstyle="solid"/>
            </v:line>
            <v:line style="position:absolute" from="1992,901" to="2059,901" stroked="true" strokeweight=".24pt" strokecolor="#000000">
              <v:stroke dashstyle="solid"/>
            </v:line>
            <v:line style="position:absolute" from="2026,2840" to="7032,2840" stroked="true" strokeweight=".24pt" strokecolor="#000000">
              <v:stroke dashstyle="solid"/>
            </v:line>
            <v:line style="position:absolute" from="2026,2874" to="2026,2806" stroked="true" strokeweight=".24pt" strokecolor="#000000">
              <v:stroke dashstyle="solid"/>
            </v:line>
            <v:line style="position:absolute" from="3029,2874" to="3029,2806" stroked="true" strokeweight=".24pt" strokecolor="#000000">
              <v:stroke dashstyle="solid"/>
            </v:line>
            <v:line style="position:absolute" from="4032,2874" to="4032,2806" stroked="true" strokeweight=".24pt" strokecolor="#000000">
              <v:stroke dashstyle="solid"/>
            </v:line>
            <v:line style="position:absolute" from="5026,2874" to="5026,2806" stroked="true" strokeweight=".24pt" strokecolor="#000000">
              <v:stroke dashstyle="solid"/>
            </v:line>
            <v:line style="position:absolute" from="6029,2874" to="6029,2806" stroked="true" strokeweight=".24pt" strokecolor="#000000">
              <v:stroke dashstyle="solid"/>
            </v:line>
            <v:line style="position:absolute" from="7032,2874" to="7032,2806" stroked="true" strokeweight=".24pt" strokecolor="#000000">
              <v:stroke dashstyle="solid"/>
            </v:line>
            <v:rect style="position:absolute;left:1440;top:282;width:5755;height:3029" filled="false" stroked="true" strokeweight=".24pt" strokecolor="#000000">
              <v:stroke dashstyle="solid"/>
            </v:rect>
            <v:shape style="position:absolute;left:1632;top:827;width:321;height:139" type="#_x0000_t202" filled="false" stroked="false">
              <v:textbox inset="0,0,0,0">
                <w:txbxContent>
                  <w:p>
                    <w:pPr>
                      <w:spacing w:line="138" w:lineRule="exact" w:before="0"/>
                      <w:ind w:left="0" w:right="0" w:firstLine="0"/>
                      <w:jc w:val="left"/>
                      <w:rPr>
                        <w:b/>
                        <w:sz w:val="12"/>
                      </w:rPr>
                    </w:pPr>
                    <w:r>
                      <w:rPr>
                        <w:b/>
                        <w:color w:val="FF0000"/>
                        <w:spacing w:val="-4"/>
                        <w:w w:val="105"/>
                        <w:sz w:val="12"/>
                      </w:rPr>
                      <w:t>11:16</w:t>
                    </w:r>
                  </w:p>
                </w:txbxContent>
              </v:textbox>
              <w10:wrap type="none"/>
            </v:shape>
            <v:shape style="position:absolute;left:2366;top:885;width:321;height:139" type="#_x0000_t202" filled="false" stroked="false">
              <v:textbox inset="0,0,0,0">
                <w:txbxContent>
                  <w:p>
                    <w:pPr>
                      <w:spacing w:line="138" w:lineRule="exact" w:before="0"/>
                      <w:ind w:left="0" w:right="0" w:firstLine="0"/>
                      <w:jc w:val="left"/>
                      <w:rPr>
                        <w:b/>
                        <w:sz w:val="12"/>
                      </w:rPr>
                    </w:pPr>
                    <w:r>
                      <w:rPr>
                        <w:b/>
                        <w:spacing w:val="-4"/>
                        <w:w w:val="105"/>
                        <w:sz w:val="12"/>
                      </w:rPr>
                      <w:t>11:10</w:t>
                    </w:r>
                  </w:p>
                </w:txbxContent>
              </v:textbox>
              <w10:wrap type="none"/>
            </v:shape>
            <v:shape style="position:absolute;left:5362;top:827;width:326;height:139" type="#_x0000_t202" filled="false" stroked="false">
              <v:textbox inset="0,0,0,0">
                <w:txbxContent>
                  <w:p>
                    <w:pPr>
                      <w:spacing w:line="138" w:lineRule="exact" w:before="0"/>
                      <w:ind w:left="0" w:right="0" w:firstLine="0"/>
                      <w:jc w:val="left"/>
                      <w:rPr>
                        <w:b/>
                        <w:sz w:val="12"/>
                      </w:rPr>
                    </w:pPr>
                    <w:r>
                      <w:rPr>
                        <w:b/>
                        <w:w w:val="105"/>
                        <w:sz w:val="12"/>
                      </w:rPr>
                      <w:t>11:12</w:t>
                    </w:r>
                  </w:p>
                </w:txbxContent>
              </v:textbox>
              <w10:wrap type="none"/>
            </v:shape>
            <v:shape style="position:absolute;left:4373;top:971;width:321;height:139" type="#_x0000_t202" filled="false" stroked="false">
              <v:textbox inset="0,0,0,0">
                <w:txbxContent>
                  <w:p>
                    <w:pPr>
                      <w:spacing w:line="138" w:lineRule="exact" w:before="0"/>
                      <w:ind w:left="0" w:right="0" w:firstLine="0"/>
                      <w:jc w:val="left"/>
                      <w:rPr>
                        <w:b/>
                        <w:sz w:val="12"/>
                      </w:rPr>
                    </w:pPr>
                    <w:r>
                      <w:rPr>
                        <w:b/>
                        <w:spacing w:val="-4"/>
                        <w:w w:val="105"/>
                        <w:sz w:val="12"/>
                      </w:rPr>
                      <w:t>11:07</w:t>
                    </w:r>
                  </w:p>
                </w:txbxContent>
              </v:textbox>
              <w10:wrap type="none"/>
            </v:shape>
            <v:shape style="position:absolute;left:6365;top:918;width:326;height:139" type="#_x0000_t202" filled="false" stroked="false">
              <v:textbox inset="0,0,0,0">
                <w:txbxContent>
                  <w:p>
                    <w:pPr>
                      <w:spacing w:line="138" w:lineRule="exact" w:before="0"/>
                      <w:ind w:left="0" w:right="0" w:firstLine="0"/>
                      <w:jc w:val="left"/>
                      <w:rPr>
                        <w:b/>
                        <w:sz w:val="12"/>
                      </w:rPr>
                    </w:pPr>
                    <w:r>
                      <w:rPr>
                        <w:b/>
                        <w:w w:val="105"/>
                        <w:sz w:val="12"/>
                      </w:rPr>
                      <w:t>11:09</w:t>
                    </w:r>
                  </w:p>
                </w:txbxContent>
              </v:textbox>
              <w10:wrap type="none"/>
            </v:shape>
            <v:shape style="position:absolute;left:3370;top:1096;width:321;height:139" type="#_x0000_t202" filled="false" stroked="false">
              <v:textbox inset="0,0,0,0">
                <w:txbxContent>
                  <w:p>
                    <w:pPr>
                      <w:spacing w:line="138" w:lineRule="exact" w:before="0"/>
                      <w:ind w:left="0" w:right="0" w:firstLine="0"/>
                      <w:jc w:val="left"/>
                      <w:rPr>
                        <w:b/>
                        <w:sz w:val="12"/>
                      </w:rPr>
                    </w:pPr>
                    <w:r>
                      <w:rPr>
                        <w:b/>
                        <w:spacing w:val="-4"/>
                        <w:w w:val="105"/>
                        <w:sz w:val="12"/>
                      </w:rPr>
                      <w:t>11:03</w:t>
                    </w:r>
                  </w:p>
                </w:txbxContent>
              </v:textbox>
              <w10:wrap type="none"/>
            </v:shape>
            <v:shape style="position:absolute;left:1632;top:1221;width:321;height:1685" type="#_x0000_t202" filled="false" stroked="false">
              <v:textbox inset="0,0,0,0">
                <w:txbxContent>
                  <w:p>
                    <w:pPr>
                      <w:spacing w:line="138" w:lineRule="exact" w:before="0"/>
                      <w:ind w:left="0" w:right="0" w:firstLine="0"/>
                      <w:jc w:val="left"/>
                      <w:rPr>
                        <w:b/>
                        <w:sz w:val="12"/>
                      </w:rPr>
                    </w:pPr>
                    <w:r>
                      <w:rPr>
                        <w:b/>
                        <w:color w:val="FF0000"/>
                        <w:spacing w:val="-4"/>
                        <w:w w:val="105"/>
                        <w:sz w:val="12"/>
                      </w:rPr>
                      <w:t>11:03</w:t>
                    </w:r>
                  </w:p>
                  <w:p>
                    <w:pPr>
                      <w:spacing w:line="240" w:lineRule="auto" w:before="0"/>
                      <w:rPr>
                        <w:sz w:val="14"/>
                      </w:rPr>
                    </w:pPr>
                  </w:p>
                  <w:p>
                    <w:pPr>
                      <w:spacing w:before="85"/>
                      <w:ind w:left="0" w:right="0" w:firstLine="0"/>
                      <w:jc w:val="left"/>
                      <w:rPr>
                        <w:b/>
                        <w:sz w:val="12"/>
                      </w:rPr>
                    </w:pPr>
                    <w:r>
                      <w:rPr>
                        <w:b/>
                        <w:color w:val="FF0000"/>
                        <w:spacing w:val="-4"/>
                        <w:w w:val="105"/>
                        <w:sz w:val="12"/>
                      </w:rPr>
                      <w:t>10:50</w:t>
                    </w:r>
                  </w:p>
                  <w:p>
                    <w:pPr>
                      <w:spacing w:line="240" w:lineRule="auto" w:before="0"/>
                      <w:rPr>
                        <w:sz w:val="14"/>
                      </w:rPr>
                    </w:pPr>
                  </w:p>
                  <w:p>
                    <w:pPr>
                      <w:spacing w:before="85"/>
                      <w:ind w:left="0" w:right="0" w:firstLine="0"/>
                      <w:jc w:val="left"/>
                      <w:rPr>
                        <w:b/>
                        <w:sz w:val="12"/>
                      </w:rPr>
                    </w:pPr>
                    <w:r>
                      <w:rPr>
                        <w:b/>
                        <w:color w:val="FF0000"/>
                        <w:spacing w:val="-4"/>
                        <w:w w:val="105"/>
                        <w:sz w:val="12"/>
                      </w:rPr>
                      <w:t>10:37</w:t>
                    </w:r>
                  </w:p>
                  <w:p>
                    <w:pPr>
                      <w:spacing w:line="240" w:lineRule="auto" w:before="0"/>
                      <w:rPr>
                        <w:sz w:val="14"/>
                      </w:rPr>
                    </w:pPr>
                  </w:p>
                  <w:p>
                    <w:pPr>
                      <w:spacing w:before="94"/>
                      <w:ind w:left="0" w:right="0" w:firstLine="0"/>
                      <w:jc w:val="left"/>
                      <w:rPr>
                        <w:b/>
                        <w:sz w:val="12"/>
                      </w:rPr>
                    </w:pPr>
                    <w:r>
                      <w:rPr>
                        <w:b/>
                        <w:color w:val="FF0000"/>
                        <w:spacing w:val="-4"/>
                        <w:w w:val="105"/>
                        <w:sz w:val="12"/>
                      </w:rPr>
                      <w:t>10:24</w:t>
                    </w:r>
                  </w:p>
                  <w:p>
                    <w:pPr>
                      <w:spacing w:line="240" w:lineRule="auto" w:before="0"/>
                      <w:rPr>
                        <w:sz w:val="14"/>
                      </w:rPr>
                    </w:pPr>
                  </w:p>
                  <w:p>
                    <w:pPr>
                      <w:spacing w:before="84"/>
                      <w:ind w:left="0" w:right="0" w:firstLine="0"/>
                      <w:jc w:val="left"/>
                      <w:rPr>
                        <w:b/>
                        <w:sz w:val="12"/>
                      </w:rPr>
                    </w:pPr>
                    <w:r>
                      <w:rPr>
                        <w:b/>
                        <w:color w:val="FF0000"/>
                        <w:spacing w:val="-4"/>
                        <w:w w:val="105"/>
                        <w:sz w:val="12"/>
                      </w:rPr>
                      <w:t>10:12</w:t>
                    </w:r>
                  </w:p>
                </w:txbxContent>
              </v:textbox>
              <w10:wrap type="none"/>
            </v:shape>
            <v:shape style="position:absolute;left:2453;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94</w:t>
                    </w:r>
                  </w:p>
                </w:txbxContent>
              </v:textbox>
              <w10:wrap type="none"/>
            </v:shape>
            <v:shape style="position:absolute;left:3456;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95</w:t>
                    </w:r>
                  </w:p>
                </w:txbxContent>
              </v:textbox>
              <w10:wrap type="none"/>
            </v:shape>
            <v:shape style="position:absolute;left:4459;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96</w:t>
                    </w:r>
                  </w:p>
                </w:txbxContent>
              </v:textbox>
              <w10:wrap type="none"/>
            </v:shape>
            <v:shape style="position:absolute;left:5462;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97</w:t>
                    </w:r>
                  </w:p>
                </w:txbxContent>
              </v:textbox>
              <w10:wrap type="none"/>
            </v:shape>
            <v:shape style="position:absolute;left:6466;top:2944;width:154;height:139" type="#_x0000_t202" filled="false" stroked="false">
              <v:textbox inset="0,0,0,0">
                <w:txbxContent>
                  <w:p>
                    <w:pPr>
                      <w:spacing w:line="138" w:lineRule="exact" w:before="0"/>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i/>
          <w:sz w:val="18"/>
        </w:rPr>
      </w:pPr>
      <w:r>
        <w:rPr>
          <w:b/>
          <w:color w:val="000080"/>
          <w:sz w:val="24"/>
        </w:rPr>
        <w:t>Aircraft Utilization </w:t>
      </w:r>
      <w:r>
        <w:rPr>
          <w:b/>
          <w:i/>
          <w:color w:val="000080"/>
          <w:sz w:val="18"/>
        </w:rPr>
        <w:t>(hours and minutes per day)</w:t>
      </w:r>
    </w:p>
    <w:p>
      <w:pPr>
        <w:pStyle w:val="BodyText"/>
        <w:spacing w:before="2"/>
        <w:rPr>
          <w:b/>
          <w:i/>
          <w:sz w:val="28"/>
        </w:rPr>
      </w:pPr>
      <w:r>
        <w:rPr/>
        <w:pict>
          <v:group style="position:absolute;margin-left:71.875pt;margin-top:18.172901pt;width:288.05pt;height:168.25pt;mso-position-horizontal-relative:page;mso-position-vertical-relative:paragraph;z-index:5056;mso-wrap-distance-left:0;mso-wrap-distance-right:0" coordorigin="1438,363" coordsize="5761,3365">
            <v:rect style="position:absolute;left:2328;top:1801;width:403;height:1450" filled="true" fillcolor="#a0dfdf" stroked="false">
              <v:fill type="solid"/>
            </v:rect>
            <v:rect style="position:absolute;left:2328;top:1801;width:403;height:1450" filled="false" stroked="true" strokeweight=".48pt" strokecolor="#000000">
              <v:stroke dashstyle="solid"/>
            </v:rect>
            <v:rect style="position:absolute;left:3331;top:1542;width:403;height:1709" filled="true" fillcolor="#a0dfdf" stroked="false">
              <v:fill type="solid"/>
            </v:rect>
            <v:rect style="position:absolute;left:3331;top:1542;width:403;height:1709" filled="false" stroked="true" strokeweight=".48pt" strokecolor="#000000">
              <v:stroke dashstyle="solid"/>
            </v:rect>
            <v:rect style="position:absolute;left:4325;top:1403;width:398;height:1848" filled="true" fillcolor="#a0dfdf" stroked="false">
              <v:fill type="solid"/>
            </v:rect>
            <v:rect style="position:absolute;left:4325;top:1403;width:398;height:1848" filled="false" stroked="true" strokeweight=".48pt" strokecolor="#000000">
              <v:stroke dashstyle="solid"/>
            </v:rect>
            <v:rect style="position:absolute;left:5328;top:1292;width:398;height:1958" filled="true" fillcolor="#a0dfdf" stroked="false">
              <v:fill type="solid"/>
            </v:rect>
            <v:rect style="position:absolute;left:5328;top:1292;width:398;height:1958" filled="false" stroked="true" strokeweight=".48pt" strokecolor="#000000">
              <v:stroke dashstyle="solid"/>
            </v:rect>
            <v:rect style="position:absolute;left:6322;top:1235;width:398;height:2016" filled="true" fillcolor="#a0dfdf" stroked="false">
              <v:fill type="solid"/>
            </v:rect>
            <v:rect style="position:absolute;left:6322;top:1235;width:398;height:2016" filled="false" stroked="true" strokeweight=".48pt" strokecolor="#000000">
              <v:stroke dashstyle="solid"/>
            </v:rect>
            <v:line style="position:absolute" from="2035,649" to="2035,3251" stroked="true" strokeweight=".24pt" strokecolor="#000000">
              <v:stroke dashstyle="solid"/>
            </v:line>
            <v:line style="position:absolute" from="1997,3251" to="2069,3251" stroked="true" strokeweight=".24pt" strokecolor="#000000">
              <v:stroke dashstyle="solid"/>
            </v:line>
            <v:line style="position:absolute" from="1997,2387" to="2069,2387" stroked="true" strokeweight=".24pt" strokecolor="#000000">
              <v:stroke dashstyle="solid"/>
            </v:line>
            <v:line style="position:absolute" from="1997,1518" to="2069,1518" stroked="true" strokeweight=".24pt" strokecolor="#000000">
              <v:stroke dashstyle="solid"/>
            </v:line>
            <v:line style="position:absolute" from="1997,649" to="2069,649" stroked="true" strokeweight=".24pt" strokecolor="#000000">
              <v:stroke dashstyle="solid"/>
            </v:line>
            <v:line style="position:absolute" from="2035,3251" to="7027,3251" stroked="true" strokeweight=".24pt" strokecolor="#000000">
              <v:stroke dashstyle="solid"/>
            </v:line>
            <v:line style="position:absolute" from="2035,3284" to="2035,3217" stroked="true" strokeweight=".24pt" strokecolor="#000000">
              <v:stroke dashstyle="solid"/>
            </v:line>
            <v:line style="position:absolute" from="3038,3284" to="3038,3217" stroked="true" strokeweight=".24pt" strokecolor="#000000">
              <v:stroke dashstyle="solid"/>
            </v:line>
            <v:line style="position:absolute" from="4027,3284" to="4027,3217" stroked="true" strokeweight=".24pt" strokecolor="#000000">
              <v:stroke dashstyle="solid"/>
            </v:line>
            <v:line style="position:absolute" from="5035,3284" to="5035,3217" stroked="true" strokeweight=".24pt" strokecolor="#000000">
              <v:stroke dashstyle="solid"/>
            </v:line>
            <v:line style="position:absolute" from="6024,3284" to="602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327;height:141" type="#_x0000_t202" filled="false" stroked="false">
              <v:textbox inset="0,0,0,0">
                <w:txbxContent>
                  <w:p>
                    <w:pPr>
                      <w:spacing w:before="1"/>
                      <w:ind w:left="0" w:right="0" w:firstLine="0"/>
                      <w:jc w:val="left"/>
                      <w:rPr>
                        <w:b/>
                        <w:sz w:val="12"/>
                      </w:rPr>
                    </w:pPr>
                    <w:r>
                      <w:rPr>
                        <w:b/>
                        <w:color w:val="FF0000"/>
                        <w:w w:val="105"/>
                        <w:sz w:val="12"/>
                      </w:rPr>
                      <w:t>3,000</w:t>
                    </w:r>
                  </w:p>
                </w:txbxContent>
              </v:textbox>
              <w10:wrap type="none"/>
            </v:shape>
            <v:shape style="position:absolute;left:5376;top:1064;width:327;height:141" type="#_x0000_t202" filled="false" stroked="false">
              <v:textbox inset="0,0,0,0">
                <w:txbxContent>
                  <w:p>
                    <w:pPr>
                      <w:spacing w:before="1"/>
                      <w:ind w:left="0" w:right="0" w:firstLine="0"/>
                      <w:jc w:val="left"/>
                      <w:rPr>
                        <w:b/>
                        <w:sz w:val="12"/>
                      </w:rPr>
                    </w:pPr>
                    <w:r>
                      <w:rPr>
                        <w:b/>
                        <w:w w:val="105"/>
                        <w:sz w:val="12"/>
                      </w:rPr>
                      <w:t>2,268</w:t>
                    </w:r>
                  </w:p>
                </w:txbxContent>
              </v:textbox>
              <w10:wrap type="none"/>
            </v:shape>
            <v:shape style="position:absolute;left:6370;top:1006;width:322;height:141" type="#_x0000_t202" filled="false" stroked="false">
              <v:textbox inset="0,0,0,0">
                <w:txbxContent>
                  <w:p>
                    <w:pPr>
                      <w:spacing w:before="1"/>
                      <w:ind w:left="0" w:right="0" w:firstLine="0"/>
                      <w:jc w:val="left"/>
                      <w:rPr>
                        <w:b/>
                        <w:sz w:val="12"/>
                      </w:rPr>
                    </w:pPr>
                    <w:r>
                      <w:rPr>
                        <w:b/>
                        <w:w w:val="105"/>
                        <w:sz w:val="12"/>
                      </w:rPr>
                      <w:t>2,334</w:t>
                    </w:r>
                  </w:p>
                </w:txbxContent>
              </v:textbox>
              <w10:wrap type="none"/>
            </v:shape>
            <v:shape style="position:absolute;left:4373;top:1179;width:327;height:141" type="#_x0000_t202" filled="false" stroked="false">
              <v:textbox inset="0,0,0,0">
                <w:txbxContent>
                  <w:p>
                    <w:pPr>
                      <w:spacing w:before="1"/>
                      <w:ind w:left="0" w:right="0" w:firstLine="0"/>
                      <w:jc w:val="left"/>
                      <w:rPr>
                        <w:b/>
                        <w:sz w:val="12"/>
                      </w:rPr>
                    </w:pPr>
                    <w:r>
                      <w:rPr>
                        <w:b/>
                        <w:w w:val="105"/>
                        <w:sz w:val="12"/>
                      </w:rPr>
                      <w:t>2,136</w:t>
                    </w:r>
                  </w:p>
                </w:txbxContent>
              </v:textbox>
              <w10:wrap type="none"/>
            </v:shape>
            <v:shape style="position:absolute;left:3379;top:1313;width:327;height:141" type="#_x0000_t202" filled="false" stroked="false">
              <v:textbox inset="0,0,0,0">
                <w:txbxContent>
                  <w:p>
                    <w:pPr>
                      <w:spacing w:before="1"/>
                      <w:ind w:left="0" w:right="0" w:firstLine="0"/>
                      <w:jc w:val="left"/>
                      <w:rPr>
                        <w:b/>
                        <w:sz w:val="12"/>
                      </w:rPr>
                    </w:pPr>
                    <w:r>
                      <w:rPr>
                        <w:b/>
                        <w:w w:val="105"/>
                        <w:sz w:val="12"/>
                      </w:rPr>
                      <w:t>1,970</w:t>
                    </w:r>
                  </w:p>
                </w:txbxContent>
              </v:textbox>
              <w10:wrap type="none"/>
            </v:shape>
            <v:shape style="position:absolute;left:1632;top:1438;width:327;height:141" type="#_x0000_t202" filled="false" stroked="false">
              <v:textbox inset="0,0,0,0">
                <w:txbxContent>
                  <w:p>
                    <w:pPr>
                      <w:spacing w:before="1"/>
                      <w:ind w:left="0" w:right="0" w:firstLine="0"/>
                      <w:jc w:val="left"/>
                      <w:rPr>
                        <w:b/>
                        <w:sz w:val="12"/>
                      </w:rPr>
                    </w:pPr>
                    <w:r>
                      <w:rPr>
                        <w:b/>
                        <w:color w:val="FF0000"/>
                        <w:w w:val="105"/>
                        <w:sz w:val="12"/>
                      </w:rPr>
                      <w:t>2,000</w:t>
                    </w:r>
                  </w:p>
                </w:txbxContent>
              </v:textbox>
              <w10:wrap type="none"/>
            </v:shape>
            <v:shape style="position:absolute;left:2376;top:1577;width:327;height:141" type="#_x0000_t202" filled="false" stroked="false">
              <v:textbox inset="0,0,0,0">
                <w:txbxContent>
                  <w:p>
                    <w:pPr>
                      <w:spacing w:before="1"/>
                      <w:ind w:left="0" w:right="0" w:firstLine="0"/>
                      <w:jc w:val="left"/>
                      <w:rPr>
                        <w:b/>
                        <w:sz w:val="12"/>
                      </w:rPr>
                    </w:pPr>
                    <w:r>
                      <w:rPr>
                        <w:b/>
                        <w:w w:val="105"/>
                        <w:sz w:val="12"/>
                      </w:rPr>
                      <w:t>1,669</w:t>
                    </w:r>
                  </w:p>
                </w:txbxContent>
              </v:textbox>
              <w10:wrap type="none"/>
            </v:shape>
            <v:shape style="position:absolute;left:1632;top:2307;width:327;height:141" type="#_x0000_t202" filled="false" stroked="false">
              <v:textbox inset="0,0,0,0">
                <w:txbxContent>
                  <w:p>
                    <w:pPr>
                      <w:spacing w:before="1"/>
                      <w:ind w:left="0" w:right="0" w:firstLine="0"/>
                      <w:jc w:val="left"/>
                      <w:rPr>
                        <w:b/>
                        <w:sz w:val="12"/>
                      </w:rPr>
                    </w:pPr>
                    <w:r>
                      <w:rPr>
                        <w:b/>
                        <w:color w:val="FF0000"/>
                        <w:w w:val="105"/>
                        <w:sz w:val="12"/>
                      </w:rPr>
                      <w:t>1,000</w:t>
                    </w:r>
                  </w:p>
                </w:txbxContent>
              </v:textbox>
              <w10:wrap type="none"/>
            </v:shape>
            <v:shape style="position:absolute;left:1872;top:3176;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467;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461;top:3358;width:154;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64;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67;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61;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pStyle w:val="Heading4"/>
        <w:spacing w:before="93"/>
        <w:ind w:left="119"/>
      </w:pPr>
      <w:r>
        <w:rPr>
          <w:color w:val="000080"/>
        </w:rPr>
        <w:t>Average Daily Departures</w:t>
      </w:r>
    </w:p>
    <w:p>
      <w:pPr>
        <w:spacing w:after="0"/>
        <w:sectPr>
          <w:pgSz w:w="12240" w:h="15840"/>
          <w:pgMar w:header="1448" w:footer="344" w:top="1700" w:bottom="540" w:left="1320" w:right="1320"/>
        </w:sectPr>
      </w:pPr>
    </w:p>
    <w:p>
      <w:pPr>
        <w:pStyle w:val="BodyText"/>
        <w:rPr>
          <w:rFonts w:ascii="Times New Roman"/>
          <w:sz w:val="20"/>
        </w:rPr>
      </w:pPr>
    </w:p>
    <w:p>
      <w:pPr>
        <w:pStyle w:val="BodyText"/>
        <w:spacing w:before="3"/>
        <w:rPr>
          <w:rFonts w:ascii="Times New Roman"/>
          <w:sz w:val="26"/>
        </w:rPr>
      </w:pPr>
    </w:p>
    <w:p>
      <w:pPr>
        <w:pStyle w:val="BodyText"/>
        <w:ind w:left="112"/>
        <w:rPr>
          <w:rFonts w:ascii="Times New Roman"/>
          <w:sz w:val="20"/>
        </w:rPr>
      </w:pPr>
      <w:r>
        <w:rPr>
          <w:rFonts w:ascii="Times New Roman"/>
          <w:sz w:val="20"/>
        </w:rPr>
        <w:pict>
          <v:group style="width:461.55pt;height:190.85pt;mso-position-horizontal-relative:char;mso-position-vertical-relative:line" coordorigin="0,0" coordsize="9231,3817">
            <v:rect style="position:absolute;left:8;top:8;width:9216;height:77" filled="true" fillcolor="#afd9d9" stroked="false">
              <v:fill type="solid"/>
            </v:rect>
            <v:rect style="position:absolute;left:8;top:84;width:9216;height:82" filled="true" fillcolor="#afd9d9" stroked="false">
              <v:fill type="solid"/>
            </v:rect>
            <v:rect style="position:absolute;left:8;top:166;width:9216;height:77" filled="true" fillcolor="#b0dada" stroked="false">
              <v:fill type="solid"/>
            </v:rect>
            <v:rect style="position:absolute;left:8;top:243;width:9216;height:82" filled="true" fillcolor="#b0dbdb" stroked="false">
              <v:fill type="solid"/>
            </v:rect>
            <v:rect style="position:absolute;left:8;top:324;width:9216;height:77" filled="true" fillcolor="#b0dddd" stroked="false">
              <v:fill type="solid"/>
            </v:rect>
            <v:rect style="position:absolute;left:8;top:401;width:9216;height:82" filled="true" fillcolor="#b1dede" stroked="false">
              <v:fill type="solid"/>
            </v:rect>
            <v:rect style="position:absolute;left:8;top:483;width:9216;height:77" filled="true" fillcolor="#b4dfdf" stroked="false">
              <v:fill type="solid"/>
            </v:rect>
            <v:rect style="position:absolute;left:8;top:560;width:9216;height:82" filled="true" fillcolor="#b4e2e2" stroked="false">
              <v:fill type="solid"/>
            </v:rect>
            <v:rect style="position:absolute;left:8;top:641;width:9216;height:77" filled="true" fillcolor="#b6e3e3" stroked="false">
              <v:fill type="solid"/>
            </v:rect>
            <v:rect style="position:absolute;left:8;top:718;width:9216;height:82" filled="true" fillcolor="#b9e6e6" stroked="false">
              <v:fill type="solid"/>
            </v:rect>
            <v:rect style="position:absolute;left:8;top:799;width:9216;height:77" filled="true" fillcolor="#b9e8e8" stroked="false">
              <v:fill type="solid"/>
            </v:rect>
            <v:rect style="position:absolute;left:8;top:876;width:9216;height:82" filled="true" fillcolor="#bdebeb" stroked="false">
              <v:fill type="solid"/>
            </v:rect>
            <v:rect style="position:absolute;left:8;top:958;width:9216;height:77" filled="true" fillcolor="#beeded" stroked="false">
              <v:fill type="solid"/>
            </v:rect>
            <v:rect style="position:absolute;left:8;top:1035;width:9216;height:82" filled="true" fillcolor="#bff0f0" stroked="false">
              <v:fill type="solid"/>
            </v:rect>
            <v:rect style="position:absolute;left:8;top:1116;width:9216;height:77" filled="true" fillcolor="#c2f2f2" stroked="false">
              <v:fill type="solid"/>
            </v:rect>
            <v:rect style="position:absolute;left:8;top:1193;width:9216;height:82" filled="true" fillcolor="#c3f5f5" stroked="false">
              <v:fill type="solid"/>
            </v:rect>
            <v:rect style="position:absolute;left:8;top:1275;width:9216;height:77" filled="true" fillcolor="#c6f6f6" stroked="false">
              <v:fill type="solid"/>
            </v:rect>
            <v:rect style="position:absolute;left:8;top:1351;width:9216;height:82" filled="true" fillcolor="#c7f9f9" stroked="false">
              <v:fill type="solid"/>
            </v:rect>
            <v:rect style="position:absolute;left:8;top:1433;width:9216;height:77" filled="true" fillcolor="#c7fafa" stroked="false">
              <v:fill type="solid"/>
            </v:rect>
            <v:rect style="position:absolute;left:8;top:1510;width:9216;height:82" filled="true" fillcolor="#c8fafa" stroked="false">
              <v:fill type="solid"/>
            </v:rect>
            <v:rect style="position:absolute;left:8;top:1591;width:9216;height:77" filled="true" fillcolor="#cafdfd" stroked="false">
              <v:fill type="solid"/>
            </v:rect>
            <v:rect style="position:absolute;left:8;top:1668;width:9216;height:82" filled="true" fillcolor="#cbfdfd" stroked="false">
              <v:fill type="solid"/>
            </v:rect>
            <v:rect style="position:absolute;left:8;top:1750;width:9216;height:77" filled="true" fillcolor="#cbfefe" stroked="false">
              <v:fill type="solid"/>
            </v:rect>
            <v:rect style="position:absolute;left:8;top:1827;width:9216;height:82" filled="true" fillcolor="#cbfefe" stroked="false">
              <v:fill type="solid"/>
            </v:rect>
            <v:rect style="position:absolute;left:8;top:1908;width:9216;height:77" filled="true" fillcolor="#cbfefe" stroked="false">
              <v:fill type="solid"/>
            </v:rect>
            <v:rect style="position:absolute;left:8;top:1985;width:9216;height:82" filled="true" fillcolor="#cbfefe" stroked="false">
              <v:fill type="solid"/>
            </v:rect>
            <v:rect style="position:absolute;left:8;top:2067;width:9216;height:77" filled="true" fillcolor="#cbfdfd" stroked="false">
              <v:fill type="solid"/>
            </v:rect>
            <v:rect style="position:absolute;left:8;top:2144;width:9216;height:82" filled="true" fillcolor="#cafdfd" stroked="false">
              <v:fill type="solid"/>
            </v:rect>
            <v:rect style="position:absolute;left:8;top:2225;width:9216;height:77" filled="true" fillcolor="#c8fbfb" stroked="false">
              <v:fill type="solid"/>
            </v:rect>
            <v:rect style="position:absolute;left:8;top:2302;width:9216;height:82" filled="true" fillcolor="#c7fafa" stroked="false">
              <v:fill type="solid"/>
            </v:rect>
            <v:rect style="position:absolute;left:8;top:2384;width:9216;height:77" filled="true" fillcolor="#c7f9f9" stroked="false">
              <v:fill type="solid"/>
            </v:rect>
            <v:rect style="position:absolute;left:8;top:2460;width:9216;height:82" filled="true" fillcolor="#c6f6f6" stroked="false">
              <v:fill type="solid"/>
            </v:rect>
            <v:rect style="position:absolute;left:8;top:2542;width:9216;height:77" filled="true" fillcolor="#c3f5f5" stroked="false">
              <v:fill type="solid"/>
            </v:rect>
            <v:rect style="position:absolute;left:8;top:2619;width:9216;height:82" filled="true" fillcolor="#c2f2f2" stroked="false">
              <v:fill type="solid"/>
            </v:rect>
            <v:rect style="position:absolute;left:8;top:2700;width:9216;height:77" filled="true" fillcolor="#c1f1f1" stroked="false">
              <v:fill type="solid"/>
            </v:rect>
            <v:rect style="position:absolute;left:8;top:2777;width:9216;height:82" filled="true" fillcolor="#beeded" stroked="false">
              <v:fill type="solid"/>
            </v:rect>
            <v:rect style="position:absolute;left:8;top:2859;width:9216;height:77" filled="true" fillcolor="#bdebeb" stroked="false">
              <v:fill type="solid"/>
            </v:rect>
            <v:rect style="position:absolute;left:8;top:2935;width:9216;height:82" filled="true" fillcolor="#bae8e8" stroked="false">
              <v:fill type="solid"/>
            </v:rect>
            <v:rect style="position:absolute;left:8;top:3017;width:9216;height:77" filled="true" fillcolor="#b9e6e6" stroked="false">
              <v:fill type="solid"/>
            </v:rect>
            <v:rect style="position:absolute;left:8;top:3094;width:9216;height:82" filled="true" fillcolor="#b6e3e3" stroked="false">
              <v:fill type="solid"/>
            </v:rect>
            <v:rect style="position:absolute;left:8;top:3175;width:9216;height:77" filled="true" fillcolor="#b4e2e2" stroked="false">
              <v:fill type="solid"/>
            </v:rect>
            <v:rect style="position:absolute;left:8;top:3252;width:9216;height:82" filled="true" fillcolor="#b4dfdf" stroked="false">
              <v:fill type="solid"/>
            </v:rect>
            <v:rect style="position:absolute;left:8;top:3334;width:9216;height:77" filled="true" fillcolor="#b1dede" stroked="false">
              <v:fill type="solid"/>
            </v:rect>
            <v:rect style="position:absolute;left:8;top:3411;width:9216;height:82" filled="true" fillcolor="#b0dddd" stroked="false">
              <v:fill type="solid"/>
            </v:rect>
            <v:rect style="position:absolute;left:8;top:3492;width:9216;height:77" filled="true" fillcolor="#b0dbdb" stroked="false">
              <v:fill type="solid"/>
            </v:rect>
            <v:rect style="position:absolute;left:8;top:3569;width:9216;height:82" filled="true" fillcolor="#b0dada" stroked="false">
              <v:fill type="solid"/>
            </v:rect>
            <v:rect style="position:absolute;left:8;top:3651;width:9216;height:77" filled="true" fillcolor="#afd9d9" stroked="false">
              <v:fill type="solid"/>
            </v:rect>
            <v:rect style="position:absolute;left:8;top:3728;width:9216;height:82" filled="true" fillcolor="#afd9d9" stroked="false">
              <v:fill type="solid"/>
            </v:rect>
            <v:rect style="position:absolute;left:8;top:8;width:9216;height:3802" filled="false" stroked="true" strokeweight=".72pt" strokecolor="#000000">
              <v:stroke dashstyle="solid"/>
            </v:rect>
            <v:shape style="position:absolute;left:8;top:8;width:9216;height:3802" type="#_x0000_t202" filled="false" stroked="false">
              <v:textbox inset="0,0,0,0">
                <w:txbxContent>
                  <w:p>
                    <w:pPr>
                      <w:spacing w:line="268" w:lineRule="auto" w:before="111"/>
                      <w:ind w:left="340" w:right="164" w:hanging="188"/>
                      <w:jc w:val="both"/>
                      <w:rPr>
                        <w:b/>
                        <w:i/>
                        <w:sz w:val="28"/>
                      </w:rPr>
                    </w:pPr>
                    <w:r>
                      <w:rPr>
                        <w:b/>
                        <w:i/>
                        <w:spacing w:val="14"/>
                        <w:sz w:val="28"/>
                      </w:rPr>
                      <w:t>Talk </w:t>
                    </w:r>
                    <w:r>
                      <w:rPr>
                        <w:b/>
                        <w:i/>
                        <w:spacing w:val="9"/>
                        <w:sz w:val="28"/>
                      </w:rPr>
                      <w:t>to </w:t>
                    </w:r>
                    <w:r>
                      <w:rPr>
                        <w:b/>
                        <w:i/>
                        <w:spacing w:val="16"/>
                        <w:sz w:val="28"/>
                      </w:rPr>
                      <w:t>Laurence Parent </w:t>
                    </w:r>
                    <w:r>
                      <w:rPr>
                        <w:b/>
                        <w:i/>
                        <w:spacing w:val="15"/>
                        <w:sz w:val="28"/>
                      </w:rPr>
                      <w:t>about </w:t>
                    </w:r>
                    <w:r>
                      <w:rPr>
                        <w:b/>
                        <w:i/>
                        <w:spacing w:val="16"/>
                        <w:sz w:val="28"/>
                      </w:rPr>
                      <w:t>freedom </w:t>
                    </w:r>
                    <w:r>
                      <w:rPr>
                        <w:b/>
                        <w:i/>
                        <w:spacing w:val="12"/>
                        <w:sz w:val="28"/>
                      </w:rPr>
                      <w:t>and </w:t>
                    </w:r>
                    <w:r>
                      <w:rPr>
                        <w:b/>
                        <w:i/>
                        <w:spacing w:val="15"/>
                        <w:sz w:val="28"/>
                      </w:rPr>
                      <w:t>he’ll </w:t>
                    </w:r>
                    <w:r>
                      <w:rPr>
                        <w:b/>
                        <w:i/>
                        <w:spacing w:val="14"/>
                        <w:sz w:val="28"/>
                      </w:rPr>
                      <w:t>tell </w:t>
                    </w:r>
                    <w:r>
                      <w:rPr>
                        <w:b/>
                        <w:i/>
                        <w:spacing w:val="12"/>
                        <w:sz w:val="28"/>
                      </w:rPr>
                      <w:t>you </w:t>
                    </w:r>
                    <w:r>
                      <w:rPr>
                        <w:b/>
                        <w:i/>
                        <w:spacing w:val="9"/>
                        <w:sz w:val="28"/>
                      </w:rPr>
                      <w:t>it </w:t>
                    </w:r>
                    <w:r>
                      <w:rPr>
                        <w:b/>
                        <w:i/>
                        <w:spacing w:val="16"/>
                        <w:sz w:val="28"/>
                      </w:rPr>
                      <w:t>means </w:t>
                    </w:r>
                    <w:r>
                      <w:rPr>
                        <w:b/>
                        <w:i/>
                        <w:spacing w:val="12"/>
                        <w:sz w:val="28"/>
                      </w:rPr>
                      <w:t>not </w:t>
                    </w:r>
                    <w:r>
                      <w:rPr>
                        <w:b/>
                        <w:i/>
                        <w:spacing w:val="15"/>
                        <w:sz w:val="28"/>
                      </w:rPr>
                      <w:t>having </w:t>
                    </w:r>
                    <w:r>
                      <w:rPr>
                        <w:b/>
                        <w:i/>
                        <w:spacing w:val="9"/>
                        <w:sz w:val="28"/>
                      </w:rPr>
                      <w:t>to </w:t>
                    </w:r>
                    <w:r>
                      <w:rPr>
                        <w:b/>
                        <w:i/>
                        <w:spacing w:val="13"/>
                        <w:sz w:val="28"/>
                      </w:rPr>
                      <w:t>plan </w:t>
                    </w:r>
                    <w:r>
                      <w:rPr>
                        <w:b/>
                        <w:i/>
                        <w:spacing w:val="15"/>
                        <w:sz w:val="28"/>
                      </w:rPr>
                      <w:t>ahead. </w:t>
                    </w:r>
                    <w:r>
                      <w:rPr>
                        <w:b/>
                        <w:i/>
                        <w:spacing w:val="16"/>
                        <w:sz w:val="28"/>
                      </w:rPr>
                      <w:t>Which </w:t>
                    </w:r>
                    <w:r>
                      <w:rPr>
                        <w:b/>
                        <w:i/>
                        <w:spacing w:val="9"/>
                        <w:sz w:val="28"/>
                      </w:rPr>
                      <w:t>is </w:t>
                    </w:r>
                    <w:r>
                      <w:rPr>
                        <w:b/>
                        <w:i/>
                        <w:spacing w:val="18"/>
                        <w:sz w:val="28"/>
                      </w:rPr>
                      <w:t>especially </w:t>
                    </w:r>
                    <w:r>
                      <w:rPr>
                        <w:b/>
                        <w:i/>
                        <w:spacing w:val="16"/>
                        <w:sz w:val="28"/>
                      </w:rPr>
                      <w:t>important </w:t>
                    </w:r>
                    <w:r>
                      <w:rPr>
                        <w:b/>
                        <w:i/>
                        <w:spacing w:val="13"/>
                        <w:sz w:val="28"/>
                      </w:rPr>
                      <w:t>when </w:t>
                    </w:r>
                    <w:r>
                      <w:rPr>
                        <w:b/>
                        <w:i/>
                        <w:spacing w:val="15"/>
                        <w:sz w:val="28"/>
                      </w:rPr>
                      <w:t>dealing </w:t>
                    </w:r>
                    <w:r>
                      <w:rPr>
                        <w:b/>
                        <w:i/>
                        <w:spacing w:val="13"/>
                        <w:sz w:val="28"/>
                      </w:rPr>
                      <w:t>with </w:t>
                    </w:r>
                    <w:r>
                      <w:rPr>
                        <w:b/>
                        <w:i/>
                        <w:spacing w:val="14"/>
                        <w:sz w:val="28"/>
                      </w:rPr>
                      <w:t>Texas  </w:t>
                    </w:r>
                    <w:r>
                      <w:rPr>
                        <w:b/>
                        <w:i/>
                        <w:spacing w:val="15"/>
                        <w:sz w:val="28"/>
                      </w:rPr>
                      <w:t>weather.  </w:t>
                    </w:r>
                    <w:r>
                      <w:rPr>
                        <w:b/>
                        <w:i/>
                        <w:spacing w:val="19"/>
                        <w:sz w:val="28"/>
                      </w:rPr>
                      <w:t>See, </w:t>
                    </w:r>
                    <w:r>
                      <w:rPr>
                        <w:b/>
                        <w:i/>
                        <w:spacing w:val="15"/>
                        <w:sz w:val="28"/>
                      </w:rPr>
                      <w:t>Laurence </w:t>
                    </w:r>
                    <w:r>
                      <w:rPr>
                        <w:b/>
                        <w:i/>
                        <w:spacing w:val="9"/>
                        <w:sz w:val="28"/>
                      </w:rPr>
                      <w:t>is </w:t>
                    </w:r>
                    <w:r>
                      <w:rPr>
                        <w:b/>
                        <w:i/>
                        <w:sz w:val="28"/>
                      </w:rPr>
                      <w:t>a </w:t>
                    </w:r>
                    <w:r>
                      <w:rPr>
                        <w:b/>
                        <w:i/>
                        <w:spacing w:val="16"/>
                        <w:sz w:val="28"/>
                      </w:rPr>
                      <w:t>photographer, </w:t>
                    </w:r>
                    <w:r>
                      <w:rPr>
                        <w:b/>
                        <w:i/>
                        <w:spacing w:val="12"/>
                        <w:sz w:val="28"/>
                      </w:rPr>
                      <w:t>and </w:t>
                    </w:r>
                    <w:r>
                      <w:rPr>
                        <w:b/>
                        <w:i/>
                        <w:spacing w:val="9"/>
                        <w:sz w:val="28"/>
                      </w:rPr>
                      <w:t>he </w:t>
                    </w:r>
                    <w:r>
                      <w:rPr>
                        <w:b/>
                        <w:i/>
                        <w:spacing w:val="16"/>
                        <w:sz w:val="28"/>
                      </w:rPr>
                      <w:t>sometimes </w:t>
                    </w:r>
                    <w:r>
                      <w:rPr>
                        <w:b/>
                        <w:i/>
                        <w:spacing w:val="13"/>
                        <w:sz w:val="28"/>
                      </w:rPr>
                      <w:t>gets </w:t>
                    </w:r>
                    <w:r>
                      <w:rPr>
                        <w:b/>
                        <w:i/>
                        <w:spacing w:val="18"/>
                        <w:sz w:val="28"/>
                      </w:rPr>
                      <w:t>some </w:t>
                    </w:r>
                    <w:r>
                      <w:rPr>
                        <w:b/>
                        <w:i/>
                        <w:spacing w:val="15"/>
                        <w:sz w:val="28"/>
                      </w:rPr>
                      <w:t>crazy </w:t>
                    </w:r>
                    <w:r>
                      <w:rPr>
                        <w:b/>
                        <w:i/>
                        <w:spacing w:val="17"/>
                        <w:sz w:val="28"/>
                      </w:rPr>
                      <w:t>assignments. </w:t>
                    </w:r>
                    <w:r>
                      <w:rPr>
                        <w:b/>
                        <w:i/>
                        <w:spacing w:val="14"/>
                        <w:sz w:val="28"/>
                      </w:rPr>
                      <w:t>Like </w:t>
                    </w:r>
                    <w:r>
                      <w:rPr>
                        <w:b/>
                        <w:i/>
                        <w:spacing w:val="16"/>
                        <w:sz w:val="28"/>
                      </w:rPr>
                      <w:t>shooting </w:t>
                    </w:r>
                    <w:r>
                      <w:rPr>
                        <w:b/>
                        <w:i/>
                        <w:spacing w:val="14"/>
                        <w:sz w:val="28"/>
                      </w:rPr>
                      <w:t>snow </w:t>
                    </w:r>
                    <w:r>
                      <w:rPr>
                        <w:b/>
                        <w:i/>
                        <w:spacing w:val="9"/>
                        <w:sz w:val="28"/>
                      </w:rPr>
                      <w:t>in </w:t>
                    </w:r>
                    <w:r>
                      <w:rPr>
                        <w:b/>
                        <w:i/>
                        <w:spacing w:val="15"/>
                        <w:sz w:val="28"/>
                      </w:rPr>
                      <w:t>Texas.  </w:t>
                    </w:r>
                    <w:r>
                      <w:rPr>
                        <w:b/>
                        <w:i/>
                        <w:spacing w:val="10"/>
                        <w:sz w:val="28"/>
                      </w:rPr>
                      <w:t>So  </w:t>
                    </w:r>
                    <w:r>
                      <w:rPr>
                        <w:b/>
                        <w:i/>
                        <w:spacing w:val="13"/>
                        <w:sz w:val="28"/>
                      </w:rPr>
                      <w:t>when </w:t>
                    </w:r>
                    <w:r>
                      <w:rPr>
                        <w:b/>
                        <w:i/>
                        <w:spacing w:val="9"/>
                        <w:sz w:val="28"/>
                      </w:rPr>
                      <w:t>he </w:t>
                    </w:r>
                    <w:r>
                      <w:rPr>
                        <w:b/>
                        <w:i/>
                        <w:spacing w:val="12"/>
                        <w:sz w:val="28"/>
                      </w:rPr>
                      <w:t>got the </w:t>
                    </w:r>
                    <w:r>
                      <w:rPr>
                        <w:b/>
                        <w:i/>
                        <w:spacing w:val="13"/>
                        <w:sz w:val="28"/>
                      </w:rPr>
                      <w:t>call that </w:t>
                    </w:r>
                    <w:r>
                      <w:rPr>
                        <w:b/>
                        <w:i/>
                        <w:spacing w:val="14"/>
                        <w:sz w:val="28"/>
                      </w:rPr>
                      <w:t>there </w:t>
                    </w:r>
                    <w:r>
                      <w:rPr>
                        <w:b/>
                        <w:i/>
                        <w:spacing w:val="12"/>
                        <w:sz w:val="28"/>
                      </w:rPr>
                      <w:t>was </w:t>
                    </w:r>
                    <w:r>
                      <w:rPr>
                        <w:b/>
                        <w:i/>
                        <w:spacing w:val="9"/>
                        <w:sz w:val="28"/>
                      </w:rPr>
                      <w:t>an </w:t>
                    </w:r>
                    <w:r>
                      <w:rPr>
                        <w:b/>
                        <w:i/>
                        <w:spacing w:val="13"/>
                        <w:sz w:val="28"/>
                      </w:rPr>
                      <w:t>inch </w:t>
                    </w:r>
                    <w:r>
                      <w:rPr>
                        <w:b/>
                        <w:i/>
                        <w:spacing w:val="9"/>
                        <w:sz w:val="28"/>
                      </w:rPr>
                      <w:t>or </w:t>
                    </w:r>
                    <w:r>
                      <w:rPr>
                        <w:b/>
                        <w:i/>
                        <w:spacing w:val="12"/>
                        <w:sz w:val="28"/>
                      </w:rPr>
                      <w:t>two </w:t>
                    </w:r>
                    <w:r>
                      <w:rPr>
                        <w:b/>
                        <w:i/>
                        <w:spacing w:val="9"/>
                        <w:sz w:val="28"/>
                      </w:rPr>
                      <w:t>in </w:t>
                    </w:r>
                    <w:r>
                      <w:rPr>
                        <w:b/>
                        <w:i/>
                        <w:spacing w:val="18"/>
                        <w:sz w:val="28"/>
                      </w:rPr>
                      <w:t>the </w:t>
                    </w:r>
                    <w:r>
                      <w:rPr>
                        <w:b/>
                        <w:i/>
                        <w:spacing w:val="16"/>
                        <w:sz w:val="28"/>
                      </w:rPr>
                      <w:t>Guadalupe </w:t>
                    </w:r>
                    <w:r>
                      <w:rPr>
                        <w:b/>
                        <w:i/>
                        <w:spacing w:val="19"/>
                        <w:sz w:val="28"/>
                      </w:rPr>
                      <w:t>Mountains, </w:t>
                    </w:r>
                    <w:r>
                      <w:rPr>
                        <w:b/>
                        <w:i/>
                        <w:spacing w:val="9"/>
                        <w:sz w:val="28"/>
                      </w:rPr>
                      <w:t>he </w:t>
                    </w:r>
                    <w:r>
                      <w:rPr>
                        <w:b/>
                        <w:i/>
                        <w:spacing w:val="15"/>
                        <w:sz w:val="28"/>
                      </w:rPr>
                      <w:t>called </w:t>
                    </w:r>
                    <w:r>
                      <w:rPr>
                        <w:b/>
                        <w:i/>
                        <w:spacing w:val="18"/>
                        <w:sz w:val="28"/>
                      </w:rPr>
                      <w:t>Southwest. </w:t>
                    </w:r>
                    <w:r>
                      <w:rPr>
                        <w:b/>
                        <w:i/>
                        <w:spacing w:val="13"/>
                        <w:sz w:val="28"/>
                      </w:rPr>
                      <w:t>Good </w:t>
                    </w:r>
                    <w:r>
                      <w:rPr>
                        <w:b/>
                        <w:i/>
                        <w:spacing w:val="18"/>
                        <w:sz w:val="28"/>
                      </w:rPr>
                      <w:t>thing, </w:t>
                    </w:r>
                    <w:r>
                      <w:rPr>
                        <w:b/>
                        <w:i/>
                        <w:spacing w:val="13"/>
                        <w:sz w:val="28"/>
                      </w:rPr>
                      <w:t>too. </w:t>
                    </w:r>
                    <w:r>
                      <w:rPr>
                        <w:b/>
                        <w:i/>
                        <w:spacing w:val="9"/>
                        <w:sz w:val="28"/>
                      </w:rPr>
                      <w:t>If he </w:t>
                    </w:r>
                    <w:r>
                      <w:rPr>
                        <w:b/>
                        <w:i/>
                        <w:spacing w:val="12"/>
                        <w:sz w:val="28"/>
                      </w:rPr>
                      <w:t>had </w:t>
                    </w:r>
                    <w:r>
                      <w:rPr>
                        <w:b/>
                        <w:i/>
                        <w:spacing w:val="9"/>
                        <w:sz w:val="28"/>
                      </w:rPr>
                      <w:t>to  </w:t>
                    </w:r>
                    <w:r>
                      <w:rPr>
                        <w:b/>
                        <w:i/>
                        <w:spacing w:val="13"/>
                        <w:sz w:val="28"/>
                      </w:rPr>
                      <w:t>wait </w:t>
                    </w:r>
                    <w:r>
                      <w:rPr>
                        <w:b/>
                        <w:i/>
                        <w:spacing w:val="12"/>
                        <w:sz w:val="28"/>
                      </w:rPr>
                      <w:t>for </w:t>
                    </w:r>
                    <w:r>
                      <w:rPr>
                        <w:b/>
                        <w:i/>
                        <w:spacing w:val="13"/>
                        <w:sz w:val="28"/>
                      </w:rPr>
                      <w:t>some </w:t>
                    </w:r>
                    <w:r>
                      <w:rPr>
                        <w:b/>
                        <w:i/>
                        <w:spacing w:val="9"/>
                        <w:sz w:val="28"/>
                      </w:rPr>
                      <w:t>of  </w:t>
                    </w:r>
                    <w:r>
                      <w:rPr>
                        <w:b/>
                        <w:i/>
                        <w:spacing w:val="12"/>
                        <w:sz w:val="28"/>
                      </w:rPr>
                      <w:t>the </w:t>
                    </w:r>
                    <w:r>
                      <w:rPr>
                        <w:b/>
                        <w:i/>
                        <w:spacing w:val="14"/>
                        <w:sz w:val="28"/>
                      </w:rPr>
                      <w:t>other </w:t>
                    </w:r>
                    <w:r>
                      <w:rPr>
                        <w:b/>
                        <w:i/>
                        <w:spacing w:val="16"/>
                        <w:sz w:val="28"/>
                      </w:rPr>
                      <w:t>airlines, </w:t>
                    </w:r>
                    <w:r>
                      <w:rPr>
                        <w:b/>
                        <w:i/>
                        <w:spacing w:val="18"/>
                        <w:sz w:val="28"/>
                      </w:rPr>
                      <w:t>he  </w:t>
                    </w:r>
                    <w:r>
                      <w:rPr>
                        <w:b/>
                        <w:i/>
                        <w:spacing w:val="14"/>
                        <w:sz w:val="28"/>
                      </w:rPr>
                      <w:t>just </w:t>
                    </w:r>
                    <w:r>
                      <w:rPr>
                        <w:b/>
                        <w:i/>
                        <w:spacing w:val="16"/>
                        <w:sz w:val="28"/>
                      </w:rPr>
                      <w:t>might </w:t>
                    </w:r>
                    <w:r>
                      <w:rPr>
                        <w:b/>
                        <w:i/>
                        <w:spacing w:val="14"/>
                        <w:sz w:val="28"/>
                      </w:rPr>
                      <w:t>have </w:t>
                    </w:r>
                    <w:r>
                      <w:rPr>
                        <w:b/>
                        <w:i/>
                        <w:spacing w:val="15"/>
                        <w:sz w:val="28"/>
                      </w:rPr>
                      <w:t>ended </w:t>
                    </w:r>
                    <w:r>
                      <w:rPr>
                        <w:b/>
                        <w:i/>
                        <w:spacing w:val="9"/>
                        <w:sz w:val="28"/>
                      </w:rPr>
                      <w:t>up </w:t>
                    </w:r>
                    <w:r>
                      <w:rPr>
                        <w:b/>
                        <w:i/>
                        <w:spacing w:val="14"/>
                        <w:sz w:val="28"/>
                      </w:rPr>
                      <w:t>with </w:t>
                    </w:r>
                    <w:r>
                      <w:rPr>
                        <w:b/>
                        <w:i/>
                        <w:spacing w:val="16"/>
                        <w:sz w:val="28"/>
                      </w:rPr>
                      <w:t>nothing </w:t>
                    </w:r>
                    <w:r>
                      <w:rPr>
                        <w:b/>
                        <w:i/>
                        <w:spacing w:val="12"/>
                        <w:sz w:val="28"/>
                      </w:rPr>
                      <w:t>but </w:t>
                    </w:r>
                    <w:r>
                      <w:rPr>
                        <w:b/>
                        <w:i/>
                        <w:sz w:val="28"/>
                      </w:rPr>
                      <w:t>a </w:t>
                    </w:r>
                    <w:r>
                      <w:rPr>
                        <w:b/>
                        <w:i/>
                        <w:spacing w:val="17"/>
                        <w:sz w:val="28"/>
                      </w:rPr>
                      <w:t>really </w:t>
                    </w:r>
                    <w:r>
                      <w:rPr>
                        <w:b/>
                        <w:i/>
                        <w:spacing w:val="16"/>
                        <w:sz w:val="28"/>
                      </w:rPr>
                      <w:t>well-lit </w:t>
                    </w:r>
                    <w:r>
                      <w:rPr>
                        <w:b/>
                        <w:i/>
                        <w:spacing w:val="15"/>
                        <w:sz w:val="28"/>
                      </w:rPr>
                      <w:t>picture </w:t>
                    </w:r>
                    <w:r>
                      <w:rPr>
                        <w:b/>
                        <w:i/>
                        <w:spacing w:val="9"/>
                        <w:sz w:val="28"/>
                      </w:rPr>
                      <w:t>of</w:t>
                    </w:r>
                    <w:r>
                      <w:rPr>
                        <w:b/>
                        <w:i/>
                        <w:spacing w:val="27"/>
                        <w:sz w:val="28"/>
                      </w:rPr>
                      <w:t> </w:t>
                    </w:r>
                    <w:r>
                      <w:rPr>
                        <w:b/>
                        <w:i/>
                        <w:spacing w:val="18"/>
                        <w:sz w:val="28"/>
                      </w:rPr>
                      <w:t>slush.</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spacing w:line="232" w:lineRule="auto" w:before="97"/>
        <w:ind w:left="302" w:right="115" w:hanging="183"/>
        <w:jc w:val="both"/>
        <w:rPr>
          <w:sz w:val="32"/>
        </w:rPr>
      </w:pPr>
      <w:r>
        <w:rPr>
          <w:color w:val="808080"/>
          <w:sz w:val="40"/>
        </w:rPr>
        <w:t>“We give our People the freedom to consider destinations in all regions of our country. </w:t>
      </w:r>
      <w:r>
        <w:rPr>
          <w:color w:val="808080"/>
          <w:sz w:val="32"/>
        </w:rPr>
        <w:t>We now fly from the Pacific Ocean to the Atlantic Ocean, and from the Canadian border to the border of Mexico.”</w:t>
      </w:r>
    </w:p>
    <w:p>
      <w:pPr>
        <w:pStyle w:val="BodyText"/>
        <w:spacing w:before="88"/>
        <w:ind w:left="307" w:firstLine="4022"/>
      </w:pPr>
      <w:r>
        <w:rPr/>
        <w:pict>
          <v:line style="position:absolute;mso-position-horizontal-relative:page;mso-position-vertical-relative:paragraph;z-index:5128;mso-wrap-distance-left:0;mso-wrap-distance-right:0" from="72pt,24.775867pt" to="540pt,24.775867pt" stroked="true" strokeweight=".72pt" strokecolor="#000080">
            <v:stroke dashstyle="dot"/>
            <w10:wrap type="topAndBottom"/>
          </v:line>
        </w:pict>
      </w:r>
      <w:r>
        <w:rPr>
          <w:color w:val="808080"/>
        </w:rPr>
        <w:t>— Joyce C. Rogge, Vice President — Marketing</w:t>
      </w:r>
    </w:p>
    <w:p>
      <w:pPr>
        <w:pStyle w:val="BodyText"/>
      </w:pPr>
    </w:p>
    <w:p>
      <w:pPr>
        <w:pStyle w:val="BodyText"/>
        <w:spacing w:line="312" w:lineRule="auto"/>
        <w:ind w:left="120" w:right="117" w:firstLine="187"/>
        <w:jc w:val="both"/>
      </w:pPr>
      <w:r>
        <w:rPr/>
        <w:t>Our route system has grown at an annualized rate of approximately 14 percent over the last decade. In 1988, we served 29 airports with 850  daily  flights and  earned a profit of $58 million. Since then, we have added 24 new destinations and 1,520 more daily flights and increased our profits 650 percent to $433.4 million in 1998.</w:t>
      </w:r>
    </w:p>
    <w:p>
      <w:pPr>
        <w:pStyle w:val="BodyText"/>
        <w:spacing w:before="7"/>
        <w:rPr>
          <w:sz w:val="31"/>
        </w:rPr>
      </w:pPr>
    </w:p>
    <w:p>
      <w:pPr>
        <w:pStyle w:val="BodyText"/>
        <w:spacing w:line="312" w:lineRule="auto"/>
        <w:ind w:left="120" w:right="116" w:firstLine="187"/>
        <w:jc w:val="both"/>
      </w:pPr>
      <w:r>
        <w:rPr/>
        <w:t>From our beginnings as an intra-Texas airline in the 1970s, </w:t>
      </w:r>
      <w:r>
        <w:rPr>
          <w:spacing w:val="-3"/>
        </w:rPr>
        <w:t>we </w:t>
      </w:r>
      <w:r>
        <w:rPr/>
        <w:t>expanded our point- to-point network in the 1980s into neighboring states with the advent of deregulation. In the 1980s, </w:t>
      </w:r>
      <w:r>
        <w:rPr>
          <w:spacing w:val="-3"/>
        </w:rPr>
        <w:t>we </w:t>
      </w:r>
      <w:r>
        <w:rPr/>
        <w:t>were also earnestly developing our western region, primarily Phoenix,  Las </w:t>
      </w:r>
      <w:r>
        <w:rPr>
          <w:spacing w:val="-4"/>
        </w:rPr>
        <w:t>Vegas, </w:t>
      </w:r>
      <w:r>
        <w:rPr/>
        <w:t>and California. In late 1991, </w:t>
      </w:r>
      <w:r>
        <w:rPr>
          <w:spacing w:val="-3"/>
        </w:rPr>
        <w:t>we </w:t>
      </w:r>
      <w:r>
        <w:rPr/>
        <w:t>were able to significantly expand  our Chicago operation and ultimately added destinations such as  Cleveland, Columbus, and Louisville, along with Baltimore on the east coast. On December 31, 1993, </w:t>
      </w:r>
      <w:r>
        <w:rPr>
          <w:spacing w:val="-3"/>
        </w:rPr>
        <w:t>we </w:t>
      </w:r>
      <w:r>
        <w:rPr/>
        <w:t>further expanded our network by acquiring Morris Air in Salt Lake City and adding destinations in the northwest, such as Seattle and Portland. In 1996, </w:t>
      </w:r>
      <w:r>
        <w:rPr>
          <w:spacing w:val="-3"/>
        </w:rPr>
        <w:t>we </w:t>
      </w:r>
      <w:r>
        <w:rPr/>
        <w:t>landed in </w:t>
      </w:r>
      <w:r>
        <w:rPr>
          <w:spacing w:val="3"/>
        </w:rPr>
        <w:t>Florida </w:t>
      </w:r>
      <w:r>
        <w:rPr/>
        <w:t>and the northeast (Providence, Rhode Island). </w:t>
      </w:r>
      <w:r>
        <w:rPr>
          <w:spacing w:val="-3"/>
        </w:rPr>
        <w:t>And </w:t>
      </w:r>
      <w:r>
        <w:rPr/>
        <w:t>this year, </w:t>
      </w:r>
      <w:r>
        <w:rPr>
          <w:spacing w:val="-3"/>
        </w:rPr>
        <w:t>we </w:t>
      </w:r>
      <w:r>
        <w:rPr/>
        <w:t>continued our northeast expansion with the addition of Manchester, New</w:t>
      </w:r>
      <w:r>
        <w:rPr>
          <w:spacing w:val="-5"/>
        </w:rPr>
        <w:t> </w:t>
      </w:r>
      <w:r>
        <w:rPr/>
        <w:t>Hampshire.</w:t>
      </w:r>
    </w:p>
    <w:p>
      <w:pPr>
        <w:pStyle w:val="BodyText"/>
        <w:spacing w:before="7"/>
        <w:rPr>
          <w:sz w:val="31"/>
        </w:rPr>
      </w:pPr>
    </w:p>
    <w:p>
      <w:pPr>
        <w:pStyle w:val="BodyText"/>
        <w:spacing w:line="312" w:lineRule="auto"/>
        <w:ind w:left="120" w:right="116" w:firstLine="187"/>
        <w:jc w:val="both"/>
      </w:pPr>
      <w:r>
        <w:rPr/>
        <w:t>We’re the largest carrier at most of the airports we serve. For example, our top ten cities’ daily departures are currently: Phoenix, 169; Houston Hobby, 146; Las Vegas, 141; Dallas, 139; Los Angeles, 118; Oakland, 112; Chicago, 102; St. Louis, 88; San Diego, 76; and Baltimore, 74. Our heartland region (Texas and surrounding states) constitutes about 16 percent of our capacity. Our western region has grown to be our largest, at 49 percent of our system. The midwest is about 16 percent, while the east, our newest and fastest growing region, has grown to about 19 percent of our total capacity.</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7"/>
        <w:jc w:val="both"/>
      </w:pPr>
      <w:r>
        <w:rPr>
          <w:spacing w:val="4"/>
        </w:rPr>
        <w:t>While </w:t>
      </w:r>
      <w:r>
        <w:rPr/>
        <w:t>our focus has been shorthaul, </w:t>
      </w:r>
      <w:r>
        <w:rPr>
          <w:spacing w:val="-3"/>
        </w:rPr>
        <w:t>we </w:t>
      </w:r>
      <w:r>
        <w:rPr/>
        <w:t>have lately augmented our service with longhaul flights </w:t>
      </w:r>
      <w:r>
        <w:rPr>
          <w:spacing w:val="2"/>
        </w:rPr>
        <w:t>(over </w:t>
      </w:r>
      <w:r>
        <w:rPr/>
        <w:t>750 miles). </w:t>
      </w:r>
      <w:r>
        <w:rPr>
          <w:spacing w:val="6"/>
        </w:rPr>
        <w:t>We </w:t>
      </w:r>
      <w:r>
        <w:rPr/>
        <w:t>have added more longhaul flights over the last three years to mitigate the effects of new ticket taxes, which penalize shorthaul fares, and to take advantage of excellent </w:t>
      </w:r>
      <w:r>
        <w:rPr>
          <w:spacing w:val="2"/>
        </w:rPr>
        <w:t>route </w:t>
      </w:r>
      <w:r>
        <w:rPr/>
        <w:t>opportunities. Longhaul flights still constitute ten percent or less of our flights but are very successful and an excellent complement  to our established shorthaul </w:t>
      </w:r>
      <w:r>
        <w:rPr>
          <w:spacing w:val="2"/>
        </w:rPr>
        <w:t>route</w:t>
      </w:r>
      <w:r>
        <w:rPr>
          <w:spacing w:val="10"/>
        </w:rPr>
        <w:t> </w:t>
      </w:r>
      <w:r>
        <w:rPr/>
        <w:t>network.</w:t>
      </w:r>
    </w:p>
    <w:p>
      <w:pPr>
        <w:pStyle w:val="BodyText"/>
        <w:spacing w:before="10"/>
        <w:rPr>
          <w:sz w:val="20"/>
        </w:rPr>
      </w:pPr>
      <w:r>
        <w:rPr/>
        <w:pict>
          <v:group style="position:absolute;margin-left:71.875pt;margin-top:13.957969pt;width:288.05pt;height:168.25pt;mso-position-horizontal-relative:page;mso-position-vertical-relative:paragraph;z-index:5464;mso-wrap-distance-left:0;mso-wrap-distance-right:0" coordorigin="1438,279" coordsize="5761,3365">
            <v:rect style="position:absolute;left:2434;top:1822;width:389;height:1344" filled="true" fillcolor="#ffffbf" stroked="false">
              <v:fill type="solid"/>
            </v:rect>
            <v:rect style="position:absolute;left:2434;top:1822;width:389;height:1344" filled="false" stroked="true" strokeweight=".48pt" strokecolor="#000000">
              <v:stroke dashstyle="solid"/>
            </v:rect>
            <v:rect style="position:absolute;left:3413;top:1674;width:389;height:1493" filled="true" fillcolor="#ffffbf" stroked="false">
              <v:fill type="solid"/>
            </v:rect>
            <v:rect style="position:absolute;left:3413;top:1674;width:389;height:1493" filled="false" stroked="true" strokeweight=".48pt" strokecolor="#000000">
              <v:stroke dashstyle="solid"/>
            </v:rect>
            <v:rect style="position:absolute;left:4382;top:1400;width:389;height:1766" filled="true" fillcolor="#ffffbf" stroked="false">
              <v:fill type="solid"/>
            </v:rect>
            <v:rect style="position:absolute;left:4382;top:1400;width:389;height:1766" filled="false" stroked="true" strokeweight=".48pt" strokecolor="#000000">
              <v:stroke dashstyle="solid"/>
            </v:rect>
            <v:rect style="position:absolute;left:5362;top:1184;width:389;height:1982" filled="true" fillcolor="#ffffbf" stroked="false">
              <v:fill type="solid"/>
            </v:rect>
            <v:rect style="position:absolute;left:5362;top:1184;width:389;height:1982" filled="false" stroked="true" strokeweight=".48pt" strokecolor="#000000">
              <v:stroke dashstyle="solid"/>
            </v:rect>
            <v:rect style="position:absolute;left:6331;top:1002;width:389;height:2165" filled="true" fillcolor="#ffffbf" stroked="false">
              <v:fill type="solid"/>
            </v:rect>
            <v:rect style="position:absolute;left:6331;top:1002;width:389;height:2165" filled="false" stroked="true" strokeweight=".48pt" strokecolor="#000000">
              <v:stroke dashstyle="solid"/>
            </v:rect>
            <v:line style="position:absolute" from="2146,565" to="2146,3166" stroked="true" strokeweight=".24pt" strokecolor="#000000">
              <v:stroke dashstyle="solid"/>
            </v:line>
            <v:line style="position:absolute" from="2112,3166" to="2179,3166" stroked="true" strokeweight=".24pt" strokecolor="#000000">
              <v:stroke dashstyle="solid"/>
            </v:line>
            <v:line style="position:absolute" from="2112,1866" to="2179,1866" stroked="true" strokeweight=".24pt" strokecolor="#000000">
              <v:stroke dashstyle="solid"/>
            </v:line>
            <v:line style="position:absolute" from="2112,565" to="2179,565" stroked="true" strokeweight=".24pt" strokecolor="#000000">
              <v:stroke dashstyle="solid"/>
            </v:line>
            <v:line style="position:absolute" from="2146,3166" to="7027,3166" stroked="true" strokeweight=".24pt" strokecolor="#000000">
              <v:stroke dashstyle="solid"/>
            </v:line>
            <v:line style="position:absolute" from="2146,3200" to="2146,3133" stroked="true" strokeweight=".24pt" strokecolor="#000000">
              <v:stroke dashstyle="solid"/>
            </v:line>
            <v:line style="position:absolute" from="3130,3200" to="3130,3133" stroked="true" strokeweight=".24pt" strokecolor="#000000">
              <v:stroke dashstyle="solid"/>
            </v:line>
            <v:line style="position:absolute" from="4099,3200" to="4099,3133" stroked="true" strokeweight=".24pt" strokecolor="#000000">
              <v:stroke dashstyle="solid"/>
            </v:line>
            <v:line style="position:absolute" from="5078,3200" to="5078,3133" stroked="true" strokeweight=".24pt" strokecolor="#000000">
              <v:stroke dashstyle="solid"/>
            </v:line>
            <v:line style="position:absolute" from="6048,3200" to="6048,3133" stroked="true" strokeweight=".24pt" strokecolor="#000000">
              <v:stroke dashstyle="solid"/>
            </v:line>
            <v:line style="position:absolute" from="7027,3200" to="7027,3133" stroked="true" strokeweight=".24pt" strokecolor="#000000">
              <v:stroke dashstyle="solid"/>
            </v:line>
            <v:rect style="position:absolute;left:1440;top:282;width:5755;height:3360" filled="false" stroked="true" strokeweight=".24pt" strokecolor="#000000">
              <v:stroke dashstyle="solid"/>
            </v:rect>
            <v:shape style="position:absolute;left:1632;top:490;width:398;height:141" type="#_x0000_t202" filled="false" stroked="false">
              <v:textbox inset="0,0,0,0">
                <w:txbxContent>
                  <w:p>
                    <w:pPr>
                      <w:spacing w:before="1"/>
                      <w:ind w:left="0" w:right="0" w:firstLine="0"/>
                      <w:jc w:val="left"/>
                      <w:rPr>
                        <w:b/>
                        <w:sz w:val="12"/>
                      </w:rPr>
                    </w:pPr>
                    <w:r>
                      <w:rPr>
                        <w:b/>
                        <w:color w:val="FF0000"/>
                        <w:w w:val="105"/>
                        <w:sz w:val="12"/>
                      </w:rPr>
                      <w:t>$5,000</w:t>
                    </w:r>
                  </w:p>
                </w:txbxContent>
              </v:textbox>
              <w10:wrap type="none"/>
            </v:shape>
            <v:shape style="position:absolute;left:6312;top:773;width:394;height:141" type="#_x0000_t202" filled="false" stroked="false">
              <v:textbox inset="0,0,0,0">
                <w:txbxContent>
                  <w:p>
                    <w:pPr>
                      <w:spacing w:before="1"/>
                      <w:ind w:left="0" w:right="0" w:firstLine="0"/>
                      <w:jc w:val="left"/>
                      <w:rPr>
                        <w:b/>
                        <w:sz w:val="12"/>
                      </w:rPr>
                    </w:pPr>
                    <w:r>
                      <w:rPr>
                        <w:b/>
                        <w:w w:val="105"/>
                        <w:sz w:val="12"/>
                      </w:rPr>
                      <w:t>$4,164</w:t>
                    </w:r>
                  </w:p>
                </w:txbxContent>
              </v:textbox>
              <w10:wrap type="none"/>
            </v:shape>
            <v:shape style="position:absolute;left:5352;top:955;width:394;height:141" type="#_x0000_t202" filled="false" stroked="false">
              <v:textbox inset="0,0,0,0">
                <w:txbxContent>
                  <w:p>
                    <w:pPr>
                      <w:spacing w:before="1"/>
                      <w:ind w:left="0" w:right="0" w:firstLine="0"/>
                      <w:jc w:val="left"/>
                      <w:rPr>
                        <w:b/>
                        <w:sz w:val="12"/>
                      </w:rPr>
                    </w:pPr>
                    <w:r>
                      <w:rPr>
                        <w:b/>
                        <w:w w:val="105"/>
                        <w:sz w:val="12"/>
                      </w:rPr>
                      <w:t>$3,817</w:t>
                    </w:r>
                  </w:p>
                </w:txbxContent>
              </v:textbox>
              <w10:wrap type="none"/>
            </v:shape>
            <v:shape style="position:absolute;left:4373;top:1171;width:394;height:141" type="#_x0000_t202" filled="false" stroked="false">
              <v:textbox inset="0,0,0,0">
                <w:txbxContent>
                  <w:p>
                    <w:pPr>
                      <w:spacing w:before="1"/>
                      <w:ind w:left="0" w:right="0" w:firstLine="0"/>
                      <w:jc w:val="left"/>
                      <w:rPr>
                        <w:b/>
                        <w:sz w:val="12"/>
                      </w:rPr>
                    </w:pPr>
                    <w:r>
                      <w:rPr>
                        <w:b/>
                        <w:w w:val="105"/>
                        <w:sz w:val="12"/>
                      </w:rPr>
                      <w:t>$3,406</w:t>
                    </w:r>
                  </w:p>
                </w:txbxContent>
              </v:textbox>
              <w10:wrap type="none"/>
            </v:shape>
            <v:shape style="position:absolute;left:3389;top:1445;width:398;height:141" type="#_x0000_t202" filled="false" stroked="false">
              <v:textbox inset="0,0,0,0">
                <w:txbxContent>
                  <w:p>
                    <w:pPr>
                      <w:spacing w:before="1"/>
                      <w:ind w:left="0" w:right="0" w:firstLine="0"/>
                      <w:jc w:val="left"/>
                      <w:rPr>
                        <w:b/>
                        <w:sz w:val="12"/>
                      </w:rPr>
                    </w:pPr>
                    <w:r>
                      <w:rPr>
                        <w:b/>
                        <w:w w:val="105"/>
                        <w:sz w:val="12"/>
                      </w:rPr>
                      <w:t>$2,873</w:t>
                    </w:r>
                  </w:p>
                </w:txbxContent>
              </v:textbox>
              <w10:wrap type="none"/>
            </v:shape>
            <v:shape style="position:absolute;left:2410;top:1594;width:394;height:141" type="#_x0000_t202" filled="false" stroked="false">
              <v:textbox inset="0,0,0,0">
                <w:txbxContent>
                  <w:p>
                    <w:pPr>
                      <w:spacing w:before="1"/>
                      <w:ind w:left="0" w:right="0" w:firstLine="0"/>
                      <w:jc w:val="left"/>
                      <w:rPr>
                        <w:b/>
                        <w:sz w:val="12"/>
                      </w:rPr>
                    </w:pPr>
                    <w:r>
                      <w:rPr>
                        <w:b/>
                        <w:w w:val="105"/>
                        <w:sz w:val="12"/>
                      </w:rPr>
                      <w:t>$2,592</w:t>
                    </w:r>
                  </w:p>
                </w:txbxContent>
              </v:textbox>
              <w10:wrap type="none"/>
            </v:shape>
            <v:shape style="position:absolute;left:1632;top:1790;width:398;height:141" type="#_x0000_t202" filled="false" stroked="false">
              <v:textbox inset="0,0,0,0">
                <w:txbxContent>
                  <w:p>
                    <w:pPr>
                      <w:spacing w:before="1"/>
                      <w:ind w:left="0" w:right="0" w:firstLine="0"/>
                      <w:jc w:val="left"/>
                      <w:rPr>
                        <w:b/>
                        <w:sz w:val="12"/>
                      </w:rPr>
                    </w:pPr>
                    <w:r>
                      <w:rPr>
                        <w:b/>
                        <w:color w:val="FF0000"/>
                        <w:w w:val="105"/>
                        <w:sz w:val="12"/>
                      </w:rPr>
                      <w:t>$2,500</w:t>
                    </w:r>
                  </w:p>
                </w:txbxContent>
              </v:textbox>
              <w10:wrap type="none"/>
            </v:shape>
            <v:shape style="position:absolute;left:1872;top:3091;width:159;height:141" type="#_x0000_t202" filled="false" stroked="false">
              <v:textbox inset="0,0,0,0">
                <w:txbxContent>
                  <w:p>
                    <w:pPr>
                      <w:spacing w:before="1"/>
                      <w:ind w:left="0" w:right="0" w:firstLine="0"/>
                      <w:jc w:val="left"/>
                      <w:rPr>
                        <w:b/>
                        <w:sz w:val="12"/>
                      </w:rPr>
                    </w:pPr>
                    <w:r>
                      <w:rPr>
                        <w:b/>
                        <w:color w:val="FF0000"/>
                        <w:w w:val="105"/>
                        <w:sz w:val="12"/>
                      </w:rPr>
                      <w:t>$0</w:t>
                    </w:r>
                  </w:p>
                </w:txbxContent>
              </v:textbox>
              <w10:wrap type="none"/>
            </v:shape>
            <v:shape style="position:absolute;left:2568;top:3274;width:159;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538;top:3274;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522;top:3274;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501;top:3274;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70;top:3274;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19" w:right="0" w:firstLine="0"/>
        <w:jc w:val="left"/>
        <w:rPr>
          <w:b/>
          <w:i/>
          <w:sz w:val="18"/>
        </w:rPr>
      </w:pPr>
      <w:r>
        <w:rPr>
          <w:b/>
          <w:color w:val="000080"/>
          <w:sz w:val="24"/>
        </w:rPr>
        <w:t>Operating Revenues </w:t>
      </w:r>
      <w:r>
        <w:rPr>
          <w:b/>
          <w:i/>
          <w:color w:val="000080"/>
          <w:sz w:val="18"/>
        </w:rPr>
        <w:t>(in millions)</w:t>
      </w:r>
    </w:p>
    <w:p>
      <w:pPr>
        <w:pStyle w:val="BodyText"/>
        <w:spacing w:before="2"/>
        <w:rPr>
          <w:b/>
          <w:i/>
          <w:sz w:val="28"/>
        </w:rPr>
      </w:pPr>
      <w:r>
        <w:rPr/>
        <w:pict>
          <v:group style="position:absolute;margin-left:71.875pt;margin-top:18.172905pt;width:288.05pt;height:168.25pt;mso-position-horizontal-relative:page;mso-position-vertical-relative:paragraph;z-index:5800;mso-wrap-distance-left:0;mso-wrap-distance-right:0" coordorigin="1438,363" coordsize="5761,3365">
            <v:rect style="position:absolute;left:2227;top:1528;width:413;height:1723" filled="true" fillcolor="#ffffbf" stroked="false">
              <v:fill type="solid"/>
            </v:rect>
            <v:rect style="position:absolute;left:2227;top:1528;width:413;height:1723" filled="false" stroked="true" strokeweight=".48pt" strokecolor="#000000">
              <v:stroke dashstyle="solid"/>
            </v:rect>
            <v:rect style="position:absolute;left:3240;top:1312;width:413;height:1939" filled="true" fillcolor="#ffffbf" stroked="false">
              <v:fill type="solid"/>
            </v:rect>
            <v:rect style="position:absolute;left:3240;top:1312;width:413;height:1939" filled="false" stroked="true" strokeweight=".48pt" strokecolor="#000000">
              <v:stroke dashstyle="solid"/>
            </v:rect>
            <v:rect style="position:absolute;left:4267;top:1144;width:413;height:2107" filled="true" fillcolor="#ffffbf" stroked="false">
              <v:fill type="solid"/>
            </v:rect>
            <v:rect style="position:absolute;left:4267;top:1144;width:413;height:2107" filled="false" stroked="true" strokeweight=".48pt" strokecolor="#000000">
              <v:stroke dashstyle="solid"/>
            </v:rect>
            <v:rect style="position:absolute;left:5285;top:995;width:408;height:2256" filled="true" fillcolor="#ffffbf" stroked="false">
              <v:fill type="solid"/>
            </v:rect>
            <v:rect style="position:absolute;left:5285;top:995;width:408;height:2256" filled="false" stroked="true" strokeweight=".48pt" strokecolor="#000000">
              <v:stroke dashstyle="solid"/>
            </v:rect>
            <v:rect style="position:absolute;left:6312;top:822;width:408;height:2429" filled="true" fillcolor="#ffffbf" stroked="false">
              <v:fill type="solid"/>
            </v:rect>
            <v:rect style="position:absolute;left:6312;top:822;width:408;height:2429" filled="false" stroked="true" strokeweight=".48pt" strokecolor="#000000">
              <v:stroke dashstyle="solid"/>
            </v:rect>
            <v:line style="position:absolute" from="1930,649" to="1930,3251" stroked="true" strokeweight=".24pt" strokecolor="#000000">
              <v:stroke dashstyle="solid"/>
            </v:line>
            <v:line style="position:absolute" from="1896,3251" to="1963,3251" stroked="true" strokeweight=".24pt" strokecolor="#000000">
              <v:stroke dashstyle="solid"/>
            </v:line>
            <v:line style="position:absolute" from="1896,1950" to="1963,1950" stroked="true" strokeweight=".24pt" strokecolor="#000000">
              <v:stroke dashstyle="solid"/>
            </v:line>
            <v:line style="position:absolute" from="1896,649" to="1963,649" stroked="true" strokeweight=".24pt" strokecolor="#000000">
              <v:stroke dashstyle="solid"/>
            </v:line>
            <v:line style="position:absolute" from="1930,3251" to="7027,3251" stroked="true" strokeweight=".24pt" strokecolor="#000000">
              <v:stroke dashstyle="solid"/>
            </v:line>
            <v:line style="position:absolute" from="1930,3284" to="1930,3217" stroked="true" strokeweight=".24pt" strokecolor="#000000">
              <v:stroke dashstyle="solid"/>
            </v:line>
            <v:line style="position:absolute" from="2947,3284" to="2947,3217" stroked="true" strokeweight=".24pt" strokecolor="#000000">
              <v:stroke dashstyle="solid"/>
            </v:line>
            <v:line style="position:absolute" from="3974,3284" to="3974,3217" stroked="true" strokeweight=".24pt" strokecolor="#000000">
              <v:stroke dashstyle="solid"/>
            </v:line>
            <v:line style="position:absolute" from="4987,3284" to="4987,3217" stroked="true" strokeweight=".24pt" strokecolor="#000000">
              <v:stroke dashstyle="solid"/>
            </v:line>
            <v:line style="position:absolute" from="6014,3284" to="6014,3217" stroked="true" strokeweight=".24pt" strokecolor="#000000">
              <v:stroke dashstyle="solid"/>
            </v:line>
            <v:line style="position:absolute" from="7027,3284" to="7027,3217" stroked="true" strokeweight=".24pt" strokecolor="#000000">
              <v:stroke dashstyle="solid"/>
            </v:line>
            <v:rect style="position:absolute;left:1440;top:366;width:5755;height:3360" filled="false" stroked="true" strokeweight=".24pt" strokecolor="#000000">
              <v:stroke dashstyle="solid"/>
            </v:rect>
            <v:shape style="position:absolute;left:1632;top:574;width:226;height:141" type="#_x0000_t202" filled="false" stroked="false">
              <v:textbox inset="0,0,0,0">
                <w:txbxContent>
                  <w:p>
                    <w:pPr>
                      <w:spacing w:before="1"/>
                      <w:ind w:left="0" w:right="0" w:firstLine="0"/>
                      <w:jc w:val="left"/>
                      <w:rPr>
                        <w:b/>
                        <w:sz w:val="12"/>
                      </w:rPr>
                    </w:pPr>
                    <w:r>
                      <w:rPr>
                        <w:b/>
                        <w:color w:val="FF0000"/>
                        <w:w w:val="105"/>
                        <w:sz w:val="12"/>
                      </w:rPr>
                      <w:t>300</w:t>
                    </w:r>
                  </w:p>
                </w:txbxContent>
              </v:textbox>
              <w10:wrap type="none"/>
            </v:shape>
            <v:shape style="position:absolute;left:6403;top:598;width:221;height:141" type="#_x0000_t202" filled="false" stroked="false">
              <v:textbox inset="0,0,0,0">
                <w:txbxContent>
                  <w:p>
                    <w:pPr>
                      <w:spacing w:before="1"/>
                      <w:ind w:left="0" w:right="0" w:firstLine="0"/>
                      <w:jc w:val="left"/>
                      <w:rPr>
                        <w:b/>
                        <w:sz w:val="12"/>
                      </w:rPr>
                    </w:pPr>
                    <w:r>
                      <w:rPr>
                        <w:b/>
                        <w:w w:val="105"/>
                        <w:sz w:val="12"/>
                      </w:rPr>
                      <w:t>280</w:t>
                    </w:r>
                  </w:p>
                </w:txbxContent>
              </v:textbox>
              <w10:wrap type="none"/>
            </v:shape>
            <v:shape style="position:absolute;left:5376;top:766;width:221;height:141" type="#_x0000_t202" filled="false" stroked="false">
              <v:textbox inset="0,0,0,0">
                <w:txbxContent>
                  <w:p>
                    <w:pPr>
                      <w:spacing w:before="1"/>
                      <w:ind w:left="0" w:right="0" w:firstLine="0"/>
                      <w:jc w:val="left"/>
                      <w:rPr>
                        <w:b/>
                        <w:sz w:val="12"/>
                      </w:rPr>
                    </w:pPr>
                    <w:r>
                      <w:rPr>
                        <w:b/>
                        <w:w w:val="105"/>
                        <w:sz w:val="12"/>
                      </w:rPr>
                      <w:t>261</w:t>
                    </w:r>
                  </w:p>
                </w:txbxContent>
              </v:textbox>
              <w10:wrap type="none"/>
            </v:shape>
            <v:shape style="position:absolute;left:4373;top:915;width:221;height:141" type="#_x0000_t202" filled="false" stroked="false">
              <v:textbox inset="0,0,0,0">
                <w:txbxContent>
                  <w:p>
                    <w:pPr>
                      <w:spacing w:before="1"/>
                      <w:ind w:left="0" w:right="0" w:firstLine="0"/>
                      <w:jc w:val="left"/>
                      <w:rPr>
                        <w:b/>
                        <w:sz w:val="12"/>
                      </w:rPr>
                    </w:pPr>
                    <w:r>
                      <w:rPr>
                        <w:b/>
                        <w:w w:val="105"/>
                        <w:sz w:val="12"/>
                      </w:rPr>
                      <w:t>243</w:t>
                    </w:r>
                  </w:p>
                </w:txbxContent>
              </v:textbox>
              <w10:wrap type="none"/>
            </v:shape>
            <v:shape style="position:absolute;left:3346;top:1088;width:221;height:141" type="#_x0000_t202" filled="false" stroked="false">
              <v:textbox inset="0,0,0,0">
                <w:txbxContent>
                  <w:p>
                    <w:pPr>
                      <w:spacing w:before="1"/>
                      <w:ind w:left="0" w:right="0" w:firstLine="0"/>
                      <w:jc w:val="left"/>
                      <w:rPr>
                        <w:b/>
                        <w:sz w:val="12"/>
                      </w:rPr>
                    </w:pPr>
                    <w:r>
                      <w:rPr>
                        <w:b/>
                        <w:w w:val="105"/>
                        <w:sz w:val="12"/>
                      </w:rPr>
                      <w:t>224</w:t>
                    </w:r>
                  </w:p>
                </w:txbxContent>
              </v:textbox>
              <w10:wrap type="none"/>
            </v:shape>
            <v:shape style="position:absolute;left:2318;top:1304;width:226;height:141" type="#_x0000_t202" filled="false" stroked="false">
              <v:textbox inset="0,0,0,0">
                <w:txbxContent>
                  <w:p>
                    <w:pPr>
                      <w:spacing w:before="1"/>
                      <w:ind w:left="0" w:right="0" w:firstLine="0"/>
                      <w:jc w:val="left"/>
                      <w:rPr>
                        <w:b/>
                        <w:sz w:val="12"/>
                      </w:rPr>
                    </w:pPr>
                    <w:r>
                      <w:rPr>
                        <w:b/>
                        <w:w w:val="105"/>
                        <w:sz w:val="12"/>
                      </w:rPr>
                      <w:t>199</w:t>
                    </w:r>
                  </w:p>
                </w:txbxContent>
              </v:textbox>
              <w10:wrap type="none"/>
            </v:shape>
            <v:shape style="position:absolute;left:1632;top:1875;width:226;height:141" type="#_x0000_t202" filled="false" stroked="false">
              <v:textbox inset="0,0,0,0">
                <w:txbxContent>
                  <w:p>
                    <w:pPr>
                      <w:spacing w:before="1"/>
                      <w:ind w:left="0" w:right="0" w:firstLine="0"/>
                      <w:jc w:val="left"/>
                      <w:rPr>
                        <w:b/>
                        <w:sz w:val="12"/>
                      </w:rPr>
                    </w:pPr>
                    <w:r>
                      <w:rPr>
                        <w:b/>
                        <w:color w:val="FF0000"/>
                        <w:w w:val="105"/>
                        <w:sz w:val="12"/>
                      </w:rPr>
                      <w:t>150</w:t>
                    </w:r>
                  </w:p>
                </w:txbxContent>
              </v:textbox>
              <w10:wrap type="none"/>
            </v:shape>
            <v:shape style="position:absolute;left:1771;top:3176;width:90;height:141" type="#_x0000_t202" filled="false" stroked="false">
              <v:textbox inset="0,0,0,0">
                <w:txbxContent>
                  <w:p>
                    <w:pPr>
                      <w:spacing w:before="1"/>
                      <w:ind w:left="0" w:right="0" w:firstLine="0"/>
                      <w:jc w:val="left"/>
                      <w:rPr>
                        <w:b/>
                        <w:sz w:val="12"/>
                      </w:rPr>
                    </w:pPr>
                    <w:r>
                      <w:rPr>
                        <w:b/>
                        <w:color w:val="FF0000"/>
                        <w:w w:val="104"/>
                        <w:sz w:val="12"/>
                      </w:rPr>
                      <w:t>0</w:t>
                    </w:r>
                  </w:p>
                </w:txbxContent>
              </v:textbox>
              <w10:wrap type="none"/>
            </v:shape>
            <v:shape style="position:absolute;left:2376;top:3358;width:154;height:141" type="#_x0000_t202" filled="false" stroked="false">
              <v:textbox inset="0,0,0,0">
                <w:txbxContent>
                  <w:p>
                    <w:pPr>
                      <w:spacing w:before="1"/>
                      <w:ind w:left="0" w:right="0" w:firstLine="0"/>
                      <w:jc w:val="left"/>
                      <w:rPr>
                        <w:b/>
                        <w:sz w:val="12"/>
                      </w:rPr>
                    </w:pPr>
                    <w:r>
                      <w:rPr>
                        <w:b/>
                        <w:color w:val="FF0000"/>
                        <w:w w:val="105"/>
                        <w:sz w:val="12"/>
                      </w:rPr>
                      <w:t>94</w:t>
                    </w:r>
                  </w:p>
                </w:txbxContent>
              </v:textbox>
              <w10:wrap type="none"/>
            </v:shape>
            <v:shape style="position:absolute;left:3389;top:3358;width:159;height:141" type="#_x0000_t202" filled="false" stroked="false">
              <v:textbox inset="0,0,0,0">
                <w:txbxContent>
                  <w:p>
                    <w:pPr>
                      <w:spacing w:before="1"/>
                      <w:ind w:left="0" w:right="0" w:firstLine="0"/>
                      <w:jc w:val="left"/>
                      <w:rPr>
                        <w:b/>
                        <w:sz w:val="12"/>
                      </w:rPr>
                    </w:pPr>
                    <w:r>
                      <w:rPr>
                        <w:b/>
                        <w:color w:val="FF0000"/>
                        <w:w w:val="105"/>
                        <w:sz w:val="12"/>
                      </w:rPr>
                      <w:t>95</w:t>
                    </w:r>
                  </w:p>
                </w:txbxContent>
              </v:textbox>
              <w10:wrap type="none"/>
            </v:shape>
            <v:shape style="position:absolute;left:4416;top:3358;width:154;height:141" type="#_x0000_t202" filled="false" stroked="false">
              <v:textbox inset="0,0,0,0">
                <w:txbxContent>
                  <w:p>
                    <w:pPr>
                      <w:spacing w:before="1"/>
                      <w:ind w:left="0" w:right="0" w:firstLine="0"/>
                      <w:jc w:val="left"/>
                      <w:rPr>
                        <w:b/>
                        <w:sz w:val="12"/>
                      </w:rPr>
                    </w:pPr>
                    <w:r>
                      <w:rPr>
                        <w:b/>
                        <w:color w:val="FF0000"/>
                        <w:w w:val="105"/>
                        <w:sz w:val="12"/>
                      </w:rPr>
                      <w:t>96</w:t>
                    </w:r>
                  </w:p>
                </w:txbxContent>
              </v:textbox>
              <w10:wrap type="none"/>
            </v:shape>
            <v:shape style="position:absolute;left:5434;top:3358;width:154;height:141" type="#_x0000_t202" filled="false" stroked="false">
              <v:textbox inset="0,0,0,0">
                <w:txbxContent>
                  <w:p>
                    <w:pPr>
                      <w:spacing w:before="1"/>
                      <w:ind w:left="0" w:right="0" w:firstLine="0"/>
                      <w:jc w:val="left"/>
                      <w:rPr>
                        <w:b/>
                        <w:sz w:val="12"/>
                      </w:rPr>
                    </w:pPr>
                    <w:r>
                      <w:rPr>
                        <w:b/>
                        <w:color w:val="FF0000"/>
                        <w:w w:val="105"/>
                        <w:sz w:val="12"/>
                      </w:rPr>
                      <w:t>97</w:t>
                    </w:r>
                  </w:p>
                </w:txbxContent>
              </v:textbox>
              <w10:wrap type="none"/>
            </v:shape>
            <v:shape style="position:absolute;left:6446;top:3358;width:154;height:141" type="#_x0000_t202" filled="false" stroked="false">
              <v:textbox inset="0,0,0,0">
                <w:txbxContent>
                  <w:p>
                    <w:pPr>
                      <w:spacing w:before="1"/>
                      <w:ind w:left="0" w:right="0" w:firstLine="0"/>
                      <w:jc w:val="left"/>
                      <w:rPr>
                        <w:b/>
                        <w:sz w:val="12"/>
                      </w:rPr>
                    </w:pPr>
                    <w:r>
                      <w:rPr>
                        <w:b/>
                        <w:color w:val="FF0000"/>
                        <w:w w:val="105"/>
                        <w:sz w:val="12"/>
                      </w:rPr>
                      <w:t>98</w:t>
                    </w:r>
                  </w:p>
                </w:txbxContent>
              </v:textbox>
              <w10:wrap type="none"/>
            </v:shape>
            <w10:wrap type="topAndBottom"/>
          </v:group>
        </w:pict>
      </w:r>
    </w:p>
    <w:p>
      <w:pPr>
        <w:spacing w:before="93"/>
        <w:ind w:left="120" w:right="0" w:firstLine="0"/>
        <w:jc w:val="left"/>
        <w:rPr>
          <w:b/>
          <w:i/>
          <w:sz w:val="18"/>
        </w:rPr>
      </w:pPr>
      <w:r>
        <w:rPr>
          <w:b/>
          <w:color w:val="000080"/>
          <w:sz w:val="24"/>
        </w:rPr>
        <w:t>Fleet Size </w:t>
      </w:r>
      <w:r>
        <w:rPr>
          <w:b/>
          <w:i/>
          <w:color w:val="000080"/>
          <w:sz w:val="18"/>
        </w:rPr>
        <w:t>(at yearend)</w:t>
      </w:r>
    </w:p>
    <w:p>
      <w:pPr>
        <w:spacing w:after="0"/>
        <w:jc w:val="left"/>
        <w:rPr>
          <w:sz w:val="18"/>
        </w:rPr>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26"/>
        </w:rPr>
      </w:pPr>
    </w:p>
    <w:p>
      <w:pPr>
        <w:pStyle w:val="BodyText"/>
        <w:ind w:left="112"/>
        <w:rPr>
          <w:rFonts w:ascii="Times New Roman"/>
          <w:sz w:val="20"/>
        </w:rPr>
      </w:pPr>
      <w:r>
        <w:rPr>
          <w:rFonts w:ascii="Times New Roman"/>
          <w:sz w:val="20"/>
        </w:rPr>
        <w:pict>
          <v:group style="width:461.55pt;height:203.1pt;mso-position-horizontal-relative:char;mso-position-vertical-relative:line" coordorigin="0,0" coordsize="9231,4062">
            <v:rect style="position:absolute;left:8;top:8;width:9216;height:62" filled="true" fillcolor="#d3d37e" stroked="false">
              <v:fill type="solid"/>
            </v:rect>
            <v:rect style="position:absolute;left:8;top:70;width:9216;height:62" filled="true" fillcolor="#d3d37e" stroked="false">
              <v:fill type="solid"/>
            </v:rect>
            <v:rect style="position:absolute;left:8;top:132;width:9216;height:67" filled="true" fillcolor="#d4d47e" stroked="false">
              <v:fill type="solid"/>
            </v:rect>
            <v:rect style="position:absolute;left:8;top:200;width:9216;height:62" filled="true" fillcolor="#d4d480" stroked="false">
              <v:fill type="solid"/>
            </v:rect>
            <v:rect style="position:absolute;left:8;top:262;width:9216;height:62" filled="true" fillcolor="#d5d580" stroked="false">
              <v:fill type="solid"/>
            </v:rect>
            <v:rect style="position:absolute;left:8;top:324;width:9216;height:62" filled="true" fillcolor="#d5d581" stroked="false">
              <v:fill type="solid"/>
            </v:rect>
            <v:rect style="position:absolute;left:8;top:387;width:9216;height:62" filled="true" fillcolor="#d6d681" stroked="false">
              <v:fill type="solid"/>
            </v:rect>
            <v:rect style="position:absolute;left:8;top:449;width:9216;height:62" filled="true" fillcolor="#d8d881" stroked="false">
              <v:fill type="solid"/>
            </v:rect>
            <v:rect style="position:absolute;left:8;top:512;width:9216;height:67" filled="true" fillcolor="#d9d982" stroked="false">
              <v:fill type="solid"/>
            </v:rect>
            <v:rect style="position:absolute;left:8;top:579;width:9216;height:62" filled="true" fillcolor="#dbdb83" stroked="false">
              <v:fill type="solid"/>
            </v:rect>
            <v:rect style="position:absolute;left:8;top:641;width:9216;height:62" filled="true" fillcolor="#dede85" stroked="false">
              <v:fill type="solid"/>
            </v:rect>
            <v:rect style="position:absolute;left:8;top:703;width:9216;height:62" filled="true" fillcolor="#dfdf86" stroked="false">
              <v:fill type="solid"/>
            </v:rect>
            <v:rect style="position:absolute;left:8;top:766;width:9216;height:62" filled="true" fillcolor="#e1e186" stroked="false">
              <v:fill type="solid"/>
            </v:rect>
            <v:rect style="position:absolute;left:8;top:828;width:9216;height:62" filled="true" fillcolor="#e3e389" stroked="false">
              <v:fill type="solid"/>
            </v:rect>
            <v:rect style="position:absolute;left:8;top:891;width:9216;height:67" filled="true" fillcolor="#e6e68a" stroked="false">
              <v:fill type="solid"/>
            </v:rect>
            <v:rect style="position:absolute;left:8;top:958;width:9216;height:62" filled="true" fillcolor="#e8e88b" stroked="false">
              <v:fill type="solid"/>
            </v:rect>
            <v:rect style="position:absolute;left:8;top:1020;width:9216;height:62" filled="true" fillcolor="#ebeb8c" stroked="false">
              <v:fill type="solid"/>
            </v:rect>
            <v:rect style="position:absolute;left:8;top:1083;width:9216;height:62" filled="true" fillcolor="#ecec8e" stroked="false">
              <v:fill type="solid"/>
            </v:rect>
            <v:rect style="position:absolute;left:8;top:1145;width:9216;height:62" filled="true" fillcolor="#efef8f" stroked="false">
              <v:fill type="solid"/>
            </v:rect>
            <v:rect style="position:absolute;left:8;top:1208;width:9216;height:62" filled="true" fillcolor="#f1f190" stroked="false">
              <v:fill type="solid"/>
            </v:rect>
            <v:rect style="position:absolute;left:8;top:1270;width:9216;height:67" filled="true" fillcolor="#f2f291" stroked="false">
              <v:fill type="solid"/>
            </v:rect>
            <v:rect style="position:absolute;left:8;top:1337;width:9216;height:62" filled="true" fillcolor="#f5f593" stroked="false">
              <v:fill type="solid"/>
            </v:rect>
            <v:rect style="position:absolute;left:8;top:1399;width:9216;height:62" filled="true" fillcolor="#f6f694" stroked="false">
              <v:fill type="solid"/>
            </v:rect>
            <v:rect style="position:absolute;left:8;top:1462;width:9216;height:62" filled="true" fillcolor="#f7f794" stroked="false">
              <v:fill type="solid"/>
            </v:rect>
            <v:rect style="position:absolute;left:8;top:1524;width:9216;height:62" filled="true" fillcolor="#f9f994" stroked="false">
              <v:fill type="solid"/>
            </v:rect>
            <v:rect style="position:absolute;left:8;top:1587;width:9216;height:62" filled="true" fillcolor="#fafa95" stroked="false">
              <v:fill type="solid"/>
            </v:rect>
            <v:rect style="position:absolute;left:8;top:1649;width:9216;height:67" filled="true" fillcolor="#fafa97" stroked="false">
              <v:fill type="solid"/>
            </v:rect>
            <v:rect style="position:absolute;left:8;top:1716;width:9216;height:62" filled="true" fillcolor="#fbfb97" stroked="false">
              <v:fill type="solid"/>
            </v:rect>
            <v:rect style="position:absolute;left:8;top:1779;width:9216;height:62" filled="true" fillcolor="#fdfd98" stroked="false">
              <v:fill type="solid"/>
            </v:rect>
            <v:rect style="position:absolute;left:8;top:1841;width:9216;height:62" filled="true" fillcolor="#fefe98" stroked="false">
              <v:fill type="solid"/>
            </v:rect>
            <v:rect style="position:absolute;left:8;top:1904;width:9216;height:62" filled="true" fillcolor="#fefe98" stroked="false">
              <v:fill type="solid"/>
            </v:rect>
            <v:rect style="position:absolute;left:8;top:1966;width:9216;height:62" filled="true" fillcolor="#fefe98" stroked="false">
              <v:fill type="solid"/>
            </v:rect>
            <v:rect style="position:absolute;left:8;top:2028;width:9216;height:67" filled="true" fillcolor="#fefe98" stroked="false">
              <v:fill type="solid"/>
            </v:rect>
            <v:rect style="position:absolute;left:8;top:2096;width:9216;height:62" filled="true" fillcolor="#fefe98" stroked="false">
              <v:fill type="solid"/>
            </v:rect>
            <v:rect style="position:absolute;left:8;top:2158;width:9216;height:62" filled="true" fillcolor="#fefe98" stroked="false">
              <v:fill type="solid"/>
            </v:rect>
            <v:rect style="position:absolute;left:8;top:2220;width:9216;height:62" filled="true" fillcolor="#fdfd98" stroked="false">
              <v:fill type="solid"/>
            </v:rect>
            <v:rect style="position:absolute;left:8;top:2283;width:9216;height:62" filled="true" fillcolor="#fbfb97" stroked="false">
              <v:fill type="solid"/>
            </v:rect>
            <v:rect style="position:absolute;left:8;top:2345;width:9216;height:67" filled="true" fillcolor="#fafa97" stroked="false">
              <v:fill type="solid"/>
            </v:rect>
            <v:rect style="position:absolute;left:8;top:2412;width:9216;height:62" filled="true" fillcolor="#fafa95" stroked="false">
              <v:fill type="solid"/>
            </v:rect>
            <v:rect style="position:absolute;left:8;top:2475;width:9216;height:62" filled="true" fillcolor="#f9f994" stroked="false">
              <v:fill type="solid"/>
            </v:rect>
            <v:rect style="position:absolute;left:8;top:2537;width:9216;height:62" filled="true" fillcolor="#f7f794" stroked="false">
              <v:fill type="solid"/>
            </v:rect>
            <v:rect style="position:absolute;left:8;top:2600;width:9216;height:62" filled="true" fillcolor="#f6f694" stroked="false">
              <v:fill type="solid"/>
            </v:rect>
            <v:rect style="position:absolute;left:8;top:2662;width:9216;height:62" filled="true" fillcolor="#f5f593" stroked="false">
              <v:fill type="solid"/>
            </v:rect>
            <v:rect style="position:absolute;left:8;top:2724;width:9216;height:67" filled="true" fillcolor="#f2f291" stroked="false">
              <v:fill type="solid"/>
            </v:rect>
            <v:rect style="position:absolute;left:8;top:2791;width:9216;height:62" filled="true" fillcolor="#f1f190" stroked="false">
              <v:fill type="solid"/>
            </v:rect>
            <v:rect style="position:absolute;left:8;top:2854;width:9216;height:62" filled="true" fillcolor="#efef8f" stroked="false">
              <v:fill type="solid"/>
            </v:rect>
            <v:rect style="position:absolute;left:8;top:2916;width:9216;height:62" filled="true" fillcolor="#ecec8e" stroked="false">
              <v:fill type="solid"/>
            </v:rect>
            <v:rect style="position:absolute;left:8;top:2979;width:9216;height:62" filled="true" fillcolor="#ebeb8c" stroked="false">
              <v:fill type="solid"/>
            </v:rect>
            <v:rect style="position:absolute;left:8;top:3041;width:9216;height:62" filled="true" fillcolor="#e8e88b" stroked="false">
              <v:fill type="solid"/>
            </v:rect>
            <v:rect style="position:absolute;left:8;top:3104;width:9216;height:67" filled="true" fillcolor="#e6e68a" stroked="false">
              <v:fill type="solid"/>
            </v:rect>
            <v:rect style="position:absolute;left:8;top:3171;width:9216;height:62" filled="true" fillcolor="#e3e389" stroked="false">
              <v:fill type="solid"/>
            </v:rect>
            <v:rect style="position:absolute;left:8;top:3233;width:9216;height:62" filled="true" fillcolor="#e1e186" stroked="false">
              <v:fill type="solid"/>
            </v:rect>
            <v:rect style="position:absolute;left:8;top:3295;width:9216;height:62" filled="true" fillcolor="#dfdf86" stroked="false">
              <v:fill type="solid"/>
            </v:rect>
            <v:rect style="position:absolute;left:8;top:3358;width:9216;height:62" filled="true" fillcolor="#dede85" stroked="false">
              <v:fill type="solid"/>
            </v:rect>
            <v:rect style="position:absolute;left:8;top:3420;width:9216;height:62" filled="true" fillcolor="#dbdb83" stroked="false">
              <v:fill type="solid"/>
            </v:rect>
            <v:rect style="position:absolute;left:8;top:3483;width:9216;height:67" filled="true" fillcolor="#d9d982" stroked="false">
              <v:fill type="solid"/>
            </v:rect>
            <v:rect style="position:absolute;left:8;top:3550;width:9216;height:62" filled="true" fillcolor="#d8d881" stroked="false">
              <v:fill type="solid"/>
            </v:rect>
            <v:rect style="position:absolute;left:8;top:3612;width:9216;height:62" filled="true" fillcolor="#d6d681" stroked="false">
              <v:fill type="solid"/>
            </v:rect>
            <v:rect style="position:absolute;left:8;top:3675;width:9216;height:62" filled="true" fillcolor="#d5d581" stroked="false">
              <v:fill type="solid"/>
            </v:rect>
            <v:rect style="position:absolute;left:8;top:3737;width:9216;height:62" filled="true" fillcolor="#d5d580" stroked="false">
              <v:fill type="solid"/>
            </v:rect>
            <v:rect style="position:absolute;left:8;top:3800;width:9216;height:62" filled="true" fillcolor="#d4d480" stroked="false">
              <v:fill type="solid"/>
            </v:rect>
            <v:rect style="position:absolute;left:8;top:3862;width:9216;height:67" filled="true" fillcolor="#d4d47e" stroked="false">
              <v:fill type="solid"/>
            </v:rect>
            <v:rect style="position:absolute;left:8;top:3929;width:9216;height:62" filled="true" fillcolor="#d3d37e" stroked="false">
              <v:fill type="solid"/>
            </v:rect>
            <v:rect style="position:absolute;left:8;top:3991;width:9216;height:62" filled="true" fillcolor="#d3d37e" stroked="false">
              <v:fill type="solid"/>
            </v:rect>
            <v:rect style="position:absolute;left:8;top:8;width:9216;height:4046" filled="false" stroked="true" strokeweight=".72pt" strokecolor="#000000">
              <v:stroke dashstyle="solid"/>
            </v:rect>
            <v:shape style="position:absolute;left:8;top:8;width:9216;height:4047" type="#_x0000_t202" filled="false" stroked="false">
              <v:textbox inset="0,0,0,0">
                <w:txbxContent>
                  <w:p>
                    <w:pPr>
                      <w:spacing w:line="360" w:lineRule="atLeast" w:before="78"/>
                      <w:ind w:left="336" w:right="166" w:hanging="183"/>
                      <w:jc w:val="both"/>
                      <w:rPr>
                        <w:b/>
                        <w:i/>
                        <w:sz w:val="28"/>
                      </w:rPr>
                    </w:pPr>
                    <w:r>
                      <w:rPr>
                        <w:b/>
                        <w:i/>
                        <w:spacing w:val="9"/>
                        <w:sz w:val="28"/>
                      </w:rPr>
                      <w:t>To </w:t>
                    </w:r>
                    <w:r>
                      <w:rPr>
                        <w:b/>
                        <w:i/>
                        <w:spacing w:val="15"/>
                        <w:sz w:val="28"/>
                      </w:rPr>
                      <w:t>LaFaye Baker, freedom </w:t>
                    </w:r>
                    <w:r>
                      <w:rPr>
                        <w:b/>
                        <w:i/>
                        <w:spacing w:val="9"/>
                        <w:sz w:val="28"/>
                      </w:rPr>
                      <w:t>is </w:t>
                    </w:r>
                    <w:r>
                      <w:rPr>
                        <w:b/>
                        <w:i/>
                        <w:spacing w:val="12"/>
                        <w:sz w:val="28"/>
                      </w:rPr>
                      <w:t>all </w:t>
                    </w:r>
                    <w:r>
                      <w:rPr>
                        <w:b/>
                        <w:i/>
                        <w:spacing w:val="14"/>
                        <w:sz w:val="28"/>
                      </w:rPr>
                      <w:t>about being </w:t>
                    </w:r>
                    <w:r>
                      <w:rPr>
                        <w:b/>
                        <w:i/>
                        <w:spacing w:val="13"/>
                        <w:sz w:val="28"/>
                      </w:rPr>
                      <w:t>able </w:t>
                    </w:r>
                    <w:r>
                      <w:rPr>
                        <w:b/>
                        <w:i/>
                        <w:spacing w:val="9"/>
                        <w:sz w:val="28"/>
                      </w:rPr>
                      <w:t>to </w:t>
                    </w:r>
                    <w:r>
                      <w:rPr>
                        <w:b/>
                        <w:i/>
                        <w:spacing w:val="18"/>
                        <w:sz w:val="28"/>
                      </w:rPr>
                      <w:t>work </w:t>
                    </w:r>
                    <w:r>
                      <w:rPr>
                        <w:b/>
                        <w:i/>
                        <w:spacing w:val="14"/>
                        <w:sz w:val="28"/>
                      </w:rPr>
                      <w:t>with </w:t>
                    </w:r>
                    <w:r>
                      <w:rPr>
                        <w:b/>
                        <w:i/>
                        <w:spacing w:val="17"/>
                        <w:sz w:val="28"/>
                      </w:rPr>
                      <w:t>interesting characters. </w:t>
                    </w:r>
                    <w:r>
                      <w:rPr>
                        <w:b/>
                        <w:i/>
                        <w:spacing w:val="14"/>
                        <w:sz w:val="28"/>
                      </w:rPr>
                      <w:t>Like </w:t>
                    </w:r>
                    <w:r>
                      <w:rPr>
                        <w:b/>
                        <w:i/>
                        <w:spacing w:val="16"/>
                        <w:sz w:val="28"/>
                      </w:rPr>
                      <w:t>vampires, </w:t>
                    </w:r>
                    <w:r>
                      <w:rPr>
                        <w:b/>
                        <w:i/>
                        <w:spacing w:val="18"/>
                        <w:sz w:val="28"/>
                      </w:rPr>
                      <w:t>robbers, </w:t>
                    </w:r>
                    <w:r>
                      <w:rPr>
                        <w:b/>
                        <w:i/>
                        <w:spacing w:val="12"/>
                        <w:sz w:val="28"/>
                      </w:rPr>
                      <w:t>and </w:t>
                    </w:r>
                    <w:r>
                      <w:rPr>
                        <w:b/>
                        <w:i/>
                        <w:spacing w:val="16"/>
                        <w:sz w:val="28"/>
                      </w:rPr>
                      <w:t>maybe </w:t>
                    </w:r>
                    <w:r>
                      <w:rPr>
                        <w:b/>
                        <w:i/>
                        <w:spacing w:val="13"/>
                        <w:sz w:val="28"/>
                      </w:rPr>
                      <w:t>even </w:t>
                    </w:r>
                    <w:r>
                      <w:rPr>
                        <w:b/>
                        <w:i/>
                        <w:spacing w:val="12"/>
                        <w:sz w:val="28"/>
                      </w:rPr>
                      <w:t>the </w:t>
                    </w:r>
                    <w:r>
                      <w:rPr>
                        <w:b/>
                        <w:i/>
                        <w:spacing w:val="16"/>
                        <w:sz w:val="28"/>
                      </w:rPr>
                      <w:t>occasional </w:t>
                    </w:r>
                    <w:r>
                      <w:rPr>
                        <w:b/>
                        <w:i/>
                        <w:spacing w:val="15"/>
                        <w:sz w:val="28"/>
                      </w:rPr>
                      <w:t>cyborg </w:t>
                    </w:r>
                    <w:r>
                      <w:rPr>
                        <w:b/>
                        <w:i/>
                        <w:spacing w:val="9"/>
                        <w:sz w:val="28"/>
                      </w:rPr>
                      <w:t>or </w:t>
                    </w:r>
                    <w:r>
                      <w:rPr>
                        <w:b/>
                        <w:i/>
                        <w:spacing w:val="13"/>
                        <w:sz w:val="28"/>
                      </w:rPr>
                      <w:t>two. You  </w:t>
                    </w:r>
                    <w:r>
                      <w:rPr>
                        <w:b/>
                        <w:i/>
                        <w:spacing w:val="18"/>
                        <w:sz w:val="28"/>
                      </w:rPr>
                      <w:t>see, </w:t>
                    </w:r>
                    <w:r>
                      <w:rPr>
                        <w:b/>
                        <w:i/>
                        <w:spacing w:val="15"/>
                        <w:sz w:val="28"/>
                      </w:rPr>
                      <w:t>LaFaye </w:t>
                    </w:r>
                    <w:r>
                      <w:rPr>
                        <w:b/>
                        <w:i/>
                        <w:spacing w:val="9"/>
                        <w:sz w:val="28"/>
                      </w:rPr>
                      <w:t>is </w:t>
                    </w:r>
                    <w:r>
                      <w:rPr>
                        <w:b/>
                        <w:i/>
                        <w:sz w:val="28"/>
                      </w:rPr>
                      <w:t>a </w:t>
                    </w:r>
                    <w:r>
                      <w:rPr>
                        <w:b/>
                        <w:i/>
                        <w:spacing w:val="16"/>
                        <w:sz w:val="28"/>
                      </w:rPr>
                      <w:t>Hollywood </w:t>
                    </w:r>
                    <w:r>
                      <w:rPr>
                        <w:b/>
                        <w:i/>
                        <w:spacing w:val="17"/>
                        <w:sz w:val="28"/>
                      </w:rPr>
                      <w:t>stuntwoman. Maybe </w:t>
                    </w:r>
                    <w:r>
                      <w:rPr>
                        <w:b/>
                        <w:i/>
                        <w:spacing w:val="15"/>
                        <w:sz w:val="28"/>
                      </w:rPr>
                      <w:t>you’ve  </w:t>
                    </w:r>
                    <w:r>
                      <w:rPr>
                        <w:b/>
                        <w:i/>
                        <w:spacing w:val="14"/>
                        <w:sz w:val="28"/>
                      </w:rPr>
                      <w:t>seen </w:t>
                    </w:r>
                    <w:r>
                      <w:rPr>
                        <w:b/>
                        <w:i/>
                        <w:spacing w:val="12"/>
                        <w:sz w:val="28"/>
                      </w:rPr>
                      <w:t>her </w:t>
                    </w:r>
                    <w:r>
                      <w:rPr>
                        <w:b/>
                        <w:i/>
                        <w:spacing w:val="15"/>
                        <w:sz w:val="28"/>
                      </w:rPr>
                      <w:t>dodging </w:t>
                    </w:r>
                    <w:r>
                      <w:rPr>
                        <w:b/>
                        <w:i/>
                        <w:spacing w:val="13"/>
                        <w:sz w:val="28"/>
                      </w:rPr>
                      <w:t>some </w:t>
                    </w:r>
                    <w:r>
                      <w:rPr>
                        <w:b/>
                        <w:i/>
                        <w:spacing w:val="12"/>
                        <w:sz w:val="28"/>
                      </w:rPr>
                      <w:t>hot </w:t>
                    </w:r>
                    <w:r>
                      <w:rPr>
                        <w:b/>
                        <w:i/>
                        <w:spacing w:val="13"/>
                        <w:sz w:val="28"/>
                      </w:rPr>
                      <w:t>lava </w:t>
                    </w:r>
                    <w:r>
                      <w:rPr>
                        <w:b/>
                        <w:i/>
                        <w:spacing w:val="17"/>
                        <w:sz w:val="28"/>
                      </w:rPr>
                      <w:t>recently. </w:t>
                    </w:r>
                    <w:r>
                      <w:rPr>
                        <w:b/>
                        <w:i/>
                        <w:spacing w:val="9"/>
                        <w:sz w:val="28"/>
                      </w:rPr>
                      <w:t>Or </w:t>
                    </w:r>
                    <w:r>
                      <w:rPr>
                        <w:b/>
                        <w:i/>
                        <w:spacing w:val="12"/>
                        <w:sz w:val="28"/>
                      </w:rPr>
                      <w:t>you  </w:t>
                    </w:r>
                    <w:r>
                      <w:rPr>
                        <w:b/>
                        <w:i/>
                        <w:spacing w:val="13"/>
                        <w:sz w:val="28"/>
                      </w:rPr>
                      <w:t>may  </w:t>
                    </w:r>
                    <w:r>
                      <w:rPr>
                        <w:b/>
                        <w:i/>
                        <w:spacing w:val="18"/>
                        <w:sz w:val="28"/>
                      </w:rPr>
                      <w:t>have </w:t>
                    </w:r>
                    <w:r>
                      <w:rPr>
                        <w:b/>
                        <w:i/>
                        <w:spacing w:val="13"/>
                        <w:sz w:val="28"/>
                      </w:rPr>
                      <w:t>seen </w:t>
                    </w:r>
                    <w:r>
                      <w:rPr>
                        <w:b/>
                        <w:i/>
                        <w:spacing w:val="12"/>
                        <w:sz w:val="28"/>
                      </w:rPr>
                      <w:t>her </w:t>
                    </w:r>
                    <w:r>
                      <w:rPr>
                        <w:b/>
                        <w:i/>
                        <w:spacing w:val="9"/>
                        <w:sz w:val="28"/>
                      </w:rPr>
                      <w:t>on </w:t>
                    </w:r>
                    <w:r>
                      <w:rPr>
                        <w:b/>
                        <w:i/>
                        <w:spacing w:val="13"/>
                        <w:sz w:val="28"/>
                      </w:rPr>
                      <w:t>your last </w:t>
                    </w:r>
                    <w:r>
                      <w:rPr>
                        <w:b/>
                        <w:i/>
                        <w:spacing w:val="17"/>
                        <w:sz w:val="28"/>
                      </w:rPr>
                      <w:t>Southwest </w:t>
                    </w:r>
                    <w:r>
                      <w:rPr>
                        <w:b/>
                        <w:i/>
                        <w:spacing w:val="16"/>
                        <w:sz w:val="28"/>
                      </w:rPr>
                      <w:t>Airlines </w:t>
                    </w:r>
                    <w:r>
                      <w:rPr>
                        <w:b/>
                        <w:i/>
                        <w:spacing w:val="15"/>
                        <w:sz w:val="28"/>
                      </w:rPr>
                      <w:t>flight. </w:t>
                    </w:r>
                    <w:r>
                      <w:rPr>
                        <w:b/>
                        <w:i/>
                        <w:spacing w:val="18"/>
                        <w:sz w:val="28"/>
                      </w:rPr>
                      <w:t>LaFaye </w:t>
                    </w:r>
                    <w:r>
                      <w:rPr>
                        <w:b/>
                        <w:i/>
                        <w:spacing w:val="15"/>
                        <w:sz w:val="28"/>
                      </w:rPr>
                      <w:t>tries </w:t>
                    </w:r>
                    <w:r>
                      <w:rPr>
                        <w:b/>
                        <w:i/>
                        <w:spacing w:val="9"/>
                        <w:sz w:val="28"/>
                      </w:rPr>
                      <w:t>to </w:t>
                    </w:r>
                    <w:r>
                      <w:rPr>
                        <w:b/>
                        <w:i/>
                        <w:spacing w:val="12"/>
                        <w:sz w:val="28"/>
                      </w:rPr>
                      <w:t>fly </w:t>
                    </w:r>
                    <w:r>
                      <w:rPr>
                        <w:b/>
                        <w:i/>
                        <w:spacing w:val="17"/>
                        <w:sz w:val="28"/>
                      </w:rPr>
                      <w:t>Southwest </w:t>
                    </w:r>
                    <w:r>
                      <w:rPr>
                        <w:b/>
                        <w:i/>
                        <w:spacing w:val="16"/>
                        <w:sz w:val="28"/>
                      </w:rPr>
                      <w:t>because </w:t>
                    </w:r>
                    <w:r>
                      <w:rPr>
                        <w:b/>
                        <w:i/>
                        <w:spacing w:val="12"/>
                        <w:sz w:val="28"/>
                      </w:rPr>
                      <w:t>she can </w:t>
                    </w:r>
                    <w:r>
                      <w:rPr>
                        <w:b/>
                        <w:i/>
                        <w:spacing w:val="9"/>
                        <w:sz w:val="28"/>
                      </w:rPr>
                      <w:t>go </w:t>
                    </w:r>
                    <w:r>
                      <w:rPr>
                        <w:b/>
                        <w:i/>
                        <w:spacing w:val="14"/>
                        <w:sz w:val="28"/>
                      </w:rPr>
                      <w:t>just </w:t>
                    </w:r>
                    <w:r>
                      <w:rPr>
                        <w:b/>
                        <w:i/>
                        <w:spacing w:val="15"/>
                        <w:sz w:val="28"/>
                      </w:rPr>
                      <w:t>about </w:t>
                    </w:r>
                    <w:r>
                      <w:rPr>
                        <w:b/>
                        <w:i/>
                        <w:spacing w:val="16"/>
                        <w:sz w:val="28"/>
                      </w:rPr>
                      <w:t>anywhere </w:t>
                    </w:r>
                    <w:r>
                      <w:rPr>
                        <w:b/>
                        <w:i/>
                        <w:spacing w:val="9"/>
                        <w:sz w:val="28"/>
                      </w:rPr>
                      <w:t>at </w:t>
                    </w:r>
                    <w:r>
                      <w:rPr>
                        <w:b/>
                        <w:i/>
                        <w:sz w:val="28"/>
                      </w:rPr>
                      <w:t>a </w:t>
                    </w:r>
                    <w:r>
                      <w:rPr>
                        <w:b/>
                        <w:i/>
                        <w:spacing w:val="17"/>
                        <w:sz w:val="28"/>
                      </w:rPr>
                      <w:t>moment’s </w:t>
                    </w:r>
                    <w:r>
                      <w:rPr>
                        <w:b/>
                        <w:i/>
                        <w:spacing w:val="16"/>
                        <w:sz w:val="28"/>
                      </w:rPr>
                      <w:t>notice. Which means </w:t>
                    </w:r>
                    <w:r>
                      <w:rPr>
                        <w:b/>
                        <w:i/>
                        <w:spacing w:val="12"/>
                        <w:sz w:val="28"/>
                      </w:rPr>
                      <w:t>she can </w:t>
                    </w:r>
                    <w:r>
                      <w:rPr>
                        <w:b/>
                        <w:i/>
                        <w:spacing w:val="17"/>
                        <w:sz w:val="28"/>
                      </w:rPr>
                      <w:t>concentrate </w:t>
                    </w:r>
                    <w:r>
                      <w:rPr>
                        <w:b/>
                        <w:i/>
                        <w:spacing w:val="9"/>
                        <w:sz w:val="28"/>
                      </w:rPr>
                      <w:t>on </w:t>
                    </w:r>
                    <w:r>
                      <w:rPr>
                        <w:b/>
                        <w:i/>
                        <w:spacing w:val="12"/>
                        <w:sz w:val="28"/>
                      </w:rPr>
                      <w:t>the </w:t>
                    </w:r>
                    <w:r>
                      <w:rPr>
                        <w:b/>
                        <w:i/>
                        <w:spacing w:val="15"/>
                        <w:sz w:val="28"/>
                      </w:rPr>
                      <w:t>more </w:t>
                    </w:r>
                    <w:r>
                      <w:rPr>
                        <w:b/>
                        <w:i/>
                        <w:spacing w:val="16"/>
                        <w:sz w:val="28"/>
                      </w:rPr>
                      <w:t>important </w:t>
                    </w:r>
                    <w:r>
                      <w:rPr>
                        <w:b/>
                        <w:i/>
                        <w:spacing w:val="15"/>
                        <w:sz w:val="28"/>
                      </w:rPr>
                      <w:t>stuff. </w:t>
                    </w:r>
                    <w:r>
                      <w:rPr>
                        <w:b/>
                        <w:i/>
                        <w:spacing w:val="14"/>
                        <w:sz w:val="28"/>
                      </w:rPr>
                      <w:t>Like </w:t>
                    </w:r>
                    <w:r>
                      <w:rPr>
                        <w:b/>
                        <w:i/>
                        <w:spacing w:val="15"/>
                        <w:sz w:val="28"/>
                      </w:rPr>
                      <w:t>coming </w:t>
                    </w:r>
                    <w:r>
                      <w:rPr>
                        <w:b/>
                        <w:i/>
                        <w:spacing w:val="9"/>
                        <w:sz w:val="28"/>
                      </w:rPr>
                      <w:t>up </w:t>
                    </w:r>
                    <w:r>
                      <w:rPr>
                        <w:b/>
                        <w:i/>
                        <w:spacing w:val="13"/>
                        <w:sz w:val="28"/>
                      </w:rPr>
                      <w:t>with  </w:t>
                    </w:r>
                    <w:r>
                      <w:rPr>
                        <w:b/>
                        <w:i/>
                        <w:sz w:val="28"/>
                      </w:rPr>
                      <w:t>a  </w:t>
                    </w:r>
                    <w:r>
                      <w:rPr>
                        <w:b/>
                        <w:i/>
                        <w:spacing w:val="12"/>
                        <w:sz w:val="28"/>
                      </w:rPr>
                      <w:t>few  </w:t>
                    </w:r>
                    <w:r>
                      <w:rPr>
                        <w:b/>
                        <w:i/>
                        <w:spacing w:val="15"/>
                        <w:sz w:val="28"/>
                      </w:rPr>
                      <w:t>ad-libs </w:t>
                    </w:r>
                    <w:r>
                      <w:rPr>
                        <w:b/>
                        <w:i/>
                        <w:spacing w:val="12"/>
                        <w:sz w:val="28"/>
                      </w:rPr>
                      <w:t>for  her  </w:t>
                    </w:r>
                    <w:r>
                      <w:rPr>
                        <w:b/>
                        <w:i/>
                        <w:spacing w:val="15"/>
                        <w:sz w:val="28"/>
                      </w:rPr>
                      <w:t>films. </w:t>
                    </w:r>
                    <w:r>
                      <w:rPr>
                        <w:b/>
                        <w:i/>
                        <w:spacing w:val="16"/>
                        <w:sz w:val="28"/>
                      </w:rPr>
                      <w:t>Usually something </w:t>
                    </w:r>
                    <w:r>
                      <w:rPr>
                        <w:b/>
                        <w:i/>
                        <w:spacing w:val="18"/>
                        <w:sz w:val="28"/>
                      </w:rPr>
                      <w:t>like  </w:t>
                    </w:r>
                    <w:r>
                      <w:rPr>
                        <w:b/>
                        <w:i/>
                        <w:sz w:val="28"/>
                      </w:rPr>
                      <w:t>“</w:t>
                    </w:r>
                    <w:r>
                      <w:rPr>
                        <w:b/>
                        <w:i/>
                        <w:spacing w:val="-51"/>
                        <w:sz w:val="28"/>
                      </w:rPr>
                      <w:t> </w:t>
                    </w:r>
                    <w:r>
                      <w:rPr>
                        <w:b/>
                        <w:i/>
                        <w:spacing w:val="12"/>
                        <w:sz w:val="28"/>
                      </w:rPr>
                      <w:t>Ouch.”</w:t>
                    </w:r>
                  </w:p>
                </w:txbxContent>
              </v:textbox>
              <w10:wrap type="none"/>
            </v:shape>
          </v:group>
        </w:pict>
      </w:r>
      <w:r>
        <w:rPr>
          <w:rFonts w:ascii="Times New Roman"/>
          <w:sz w:val="20"/>
        </w:rPr>
      </w:r>
    </w:p>
    <w:p>
      <w:pPr>
        <w:spacing w:after="0"/>
        <w:rPr>
          <w:rFonts w:ascii="Times New Roman"/>
          <w:sz w:val="20"/>
        </w:rPr>
        <w:sectPr>
          <w:footerReference w:type="default" r:id="rId9"/>
          <w:pgSz w:w="12240" w:h="15840"/>
          <w:pgMar w:footer="344" w:header="1448" w:top="1700" w:bottom="540" w:left="1320" w:right="1320"/>
        </w:sectPr>
      </w:pPr>
    </w:p>
    <w:p>
      <w:pPr>
        <w:pStyle w:val="BodyText"/>
        <w:spacing w:before="8"/>
        <w:rPr>
          <w:rFonts w:ascii="Times New Roman"/>
          <w:sz w:val="22"/>
        </w:rPr>
      </w:pPr>
    </w:p>
    <w:p>
      <w:pPr>
        <w:spacing w:line="232" w:lineRule="auto" w:before="97"/>
        <w:ind w:left="388" w:right="115" w:hanging="269"/>
        <w:jc w:val="both"/>
        <w:rPr>
          <w:sz w:val="32"/>
        </w:rPr>
      </w:pPr>
      <w:r>
        <w:rPr>
          <w:color w:val="808080"/>
          <w:sz w:val="40"/>
        </w:rPr>
        <w:t>“We give our People the freedom to forecast the future – </w:t>
      </w:r>
      <w:r>
        <w:rPr>
          <w:color w:val="808080"/>
          <w:sz w:val="32"/>
        </w:rPr>
        <w:t>everything from the expansion of our fleet to the expansion of our system. The future, we’re proud to say, looks very bright.”</w:t>
      </w:r>
    </w:p>
    <w:p>
      <w:pPr>
        <w:pStyle w:val="BodyText"/>
        <w:spacing w:before="88"/>
        <w:ind w:left="307" w:firstLine="1819"/>
      </w:pPr>
      <w:r>
        <w:rPr/>
        <w:pict>
          <v:line style="position:absolute;mso-position-horizontal-relative:page;mso-position-vertical-relative:paragraph;z-index:5872;mso-wrap-distance-left:0;mso-wrap-distance-right:0" from="72pt,24.775867pt" to="540pt,24.775867pt" stroked="true" strokeweight=".72pt" strokecolor="#000080">
            <v:stroke dashstyle="dot"/>
            <w10:wrap type="topAndBottom"/>
          </v:line>
        </w:pict>
      </w:r>
      <w:r>
        <w:rPr>
          <w:color w:val="808080"/>
        </w:rPr>
        <w:t>— John G. Denison, Executive Vice President — Corporate Services</w:t>
      </w:r>
    </w:p>
    <w:p>
      <w:pPr>
        <w:pStyle w:val="BodyText"/>
      </w:pPr>
    </w:p>
    <w:p>
      <w:pPr>
        <w:pStyle w:val="BodyText"/>
        <w:spacing w:line="312" w:lineRule="auto"/>
        <w:ind w:left="120" w:right="116" w:firstLine="187"/>
        <w:jc w:val="both"/>
      </w:pPr>
      <w:r>
        <w:rPr/>
        <w:t>Strategically, </w:t>
      </w:r>
      <w:r>
        <w:rPr>
          <w:spacing w:val="-3"/>
        </w:rPr>
        <w:t>we </w:t>
      </w:r>
      <w:r>
        <w:rPr/>
        <w:t>are well positioned to take advantage of the tremendous growth opportunities that exist in our low-fare, shorthaul, point-to-point market niche. Our financial position is exceptionally strong, with leverage (including off-balance-sheet </w:t>
      </w:r>
      <w:r>
        <w:rPr>
          <w:spacing w:val="2"/>
        </w:rPr>
        <w:t>aircraft </w:t>
      </w:r>
      <w:r>
        <w:rPr/>
        <w:t>leases) of less than 50 percent. Earnings in 1998 capped a string of five years with annualized growth of approximately 23 percent, with the highest profit margins in 17 years. Our </w:t>
      </w:r>
      <w:r>
        <w:rPr>
          <w:spacing w:val="2"/>
        </w:rPr>
        <w:t>return </w:t>
      </w:r>
      <w:r>
        <w:rPr/>
        <w:t>on capital was just below 20 percent versus a cost of capital of under nine</w:t>
      </w:r>
      <w:r>
        <w:rPr>
          <w:spacing w:val="6"/>
        </w:rPr>
        <w:t> </w:t>
      </w:r>
      <w:r>
        <w:rPr/>
        <w:t>percent.</w:t>
      </w:r>
    </w:p>
    <w:p>
      <w:pPr>
        <w:pStyle w:val="BodyText"/>
        <w:spacing w:before="7"/>
        <w:rPr>
          <w:sz w:val="31"/>
        </w:rPr>
      </w:pPr>
    </w:p>
    <w:p>
      <w:pPr>
        <w:pStyle w:val="BodyText"/>
        <w:spacing w:line="312" w:lineRule="auto"/>
        <w:ind w:left="120" w:right="117" w:firstLine="187"/>
        <w:jc w:val="both"/>
      </w:pPr>
      <w:r>
        <w:rPr/>
        <w:t>Our cost structure is well below all our airline competitors and under control. Significant improvements have been made over the last several years and </w:t>
      </w:r>
      <w:r>
        <w:rPr>
          <w:spacing w:val="-3"/>
        </w:rPr>
        <w:t>we </w:t>
      </w:r>
      <w:r>
        <w:rPr/>
        <w:t>have aggressive plans to control costs in future</w:t>
      </w:r>
      <w:r>
        <w:rPr>
          <w:spacing w:val="24"/>
        </w:rPr>
        <w:t> </w:t>
      </w:r>
      <w:r>
        <w:rPr/>
        <w:t>years.</w:t>
      </w:r>
    </w:p>
    <w:p>
      <w:pPr>
        <w:pStyle w:val="BodyText"/>
        <w:spacing w:before="7"/>
        <w:rPr>
          <w:sz w:val="31"/>
        </w:rPr>
      </w:pPr>
    </w:p>
    <w:p>
      <w:pPr>
        <w:pStyle w:val="BodyText"/>
        <w:spacing w:line="312" w:lineRule="auto"/>
        <w:ind w:left="120" w:right="117" w:firstLine="187"/>
        <w:jc w:val="both"/>
      </w:pPr>
      <w:r>
        <w:rPr/>
        <w:t>Our route system is as strong and diverse as it has ever been. It spans the entire continental U.S. with substantial presence in the markets served. We still carry only seven percent of domestic traffic and have opportunities to significantly  expand our route system in both new and existing cities.</w:t>
      </w:r>
    </w:p>
    <w:p>
      <w:pPr>
        <w:pStyle w:val="BodyText"/>
        <w:spacing w:before="7"/>
        <w:rPr>
          <w:sz w:val="31"/>
        </w:rPr>
      </w:pPr>
    </w:p>
    <w:p>
      <w:pPr>
        <w:pStyle w:val="BodyText"/>
        <w:spacing w:line="312" w:lineRule="auto"/>
        <w:ind w:left="120" w:right="116" w:firstLine="187"/>
        <w:jc w:val="both"/>
      </w:pPr>
      <w:r>
        <w:rPr/>
        <w:t>Our </w:t>
      </w:r>
      <w:r>
        <w:rPr>
          <w:spacing w:val="2"/>
        </w:rPr>
        <w:t>aircraft </w:t>
      </w:r>
      <w:r>
        <w:rPr/>
        <w:t>fleet is young, well maintained, and strategically matched with our market niche. </w:t>
      </w:r>
      <w:r>
        <w:rPr>
          <w:spacing w:val="-3"/>
        </w:rPr>
        <w:t>Yet </w:t>
      </w:r>
      <w:r>
        <w:rPr/>
        <w:t>it is flexible enough to meet our needs on longhaul flights. Our fleet growth will continue in 1999 as </w:t>
      </w:r>
      <w:r>
        <w:rPr>
          <w:spacing w:val="-3"/>
        </w:rPr>
        <w:t>we </w:t>
      </w:r>
      <w:r>
        <w:rPr/>
        <w:t>add 32 new 737-700s from Boeing, with the intention of adding at least two more preowned </w:t>
      </w:r>
      <w:r>
        <w:rPr>
          <w:spacing w:val="2"/>
        </w:rPr>
        <w:t>-300s. </w:t>
      </w:r>
      <w:r>
        <w:rPr/>
        <w:t>Considering the planned 1999 retirement of six </w:t>
      </w:r>
      <w:r>
        <w:rPr>
          <w:spacing w:val="2"/>
        </w:rPr>
        <w:t>-200s, </w:t>
      </w:r>
      <w:r>
        <w:rPr/>
        <w:t>our fleet will grow to 308 737s, a capacity increase of roughly 12 percent.  Our goal for the indefinite future is to grow capacity a minimum of ten percent per</w:t>
      </w:r>
      <w:r>
        <w:rPr>
          <w:spacing w:val="16"/>
        </w:rPr>
        <w:t> </w:t>
      </w:r>
      <w:r>
        <w:rPr/>
        <w:t>year.</w:t>
      </w:r>
    </w:p>
    <w:p>
      <w:pPr>
        <w:spacing w:after="0" w:line="312" w:lineRule="auto"/>
        <w:jc w:val="both"/>
        <w:sectPr>
          <w:footerReference w:type="default" r:id="rId10"/>
          <w:pgSz w:w="12240" w:h="15840"/>
          <w:pgMar w:footer="344" w:header="1448" w:top="1700" w:bottom="540" w:left="1320" w:right="1320"/>
          <w:pgNumType w:start="21"/>
        </w:sectPr>
      </w:pPr>
    </w:p>
    <w:p>
      <w:pPr>
        <w:pStyle w:val="BodyText"/>
        <w:rPr>
          <w:sz w:val="20"/>
        </w:rPr>
      </w:pPr>
    </w:p>
    <w:p>
      <w:pPr>
        <w:pStyle w:val="BodyText"/>
        <w:spacing w:line="312" w:lineRule="auto" w:before="219"/>
        <w:ind w:left="119" w:right="118" w:firstLine="187"/>
        <w:jc w:val="both"/>
      </w:pPr>
      <w:r>
        <w:rPr/>
        <w:t>1998 was the first full year of operation of the New Generation Boeing 737-700. We have been delighted with its performance as it flies quieter, faster, farther, and higher and is more fuel-efficient than its -300 predecessor.</w:t>
      </w:r>
    </w:p>
    <w:p>
      <w:pPr>
        <w:pStyle w:val="BodyText"/>
        <w:spacing w:before="7"/>
        <w:rPr>
          <w:sz w:val="31"/>
        </w:rPr>
      </w:pPr>
    </w:p>
    <w:p>
      <w:pPr>
        <w:pStyle w:val="BodyText"/>
        <w:spacing w:line="312" w:lineRule="auto"/>
        <w:ind w:left="119" w:right="117" w:firstLine="187"/>
        <w:jc w:val="both"/>
      </w:pPr>
      <w:r>
        <w:rPr/>
        <w:t>Our new city expansion opportunities are numerous. </w:t>
      </w:r>
      <w:r>
        <w:rPr>
          <w:spacing w:val="6"/>
        </w:rPr>
        <w:t>We </w:t>
      </w:r>
      <w:r>
        <w:rPr/>
        <w:t>intend to continue to add  new cities annually and generally at the </w:t>
      </w:r>
      <w:r>
        <w:rPr>
          <w:spacing w:val="2"/>
        </w:rPr>
        <w:t>rate </w:t>
      </w:r>
      <w:r>
        <w:rPr/>
        <w:t>of two to three per year. As </w:t>
      </w:r>
      <w:r>
        <w:rPr>
          <w:spacing w:val="-3"/>
        </w:rPr>
        <w:t>we </w:t>
      </w:r>
      <w:r>
        <w:rPr/>
        <w:t>currently serve only 53 </w:t>
      </w:r>
      <w:r>
        <w:rPr>
          <w:spacing w:val="2"/>
        </w:rPr>
        <w:t>airports, </w:t>
      </w:r>
      <w:r>
        <w:rPr>
          <w:spacing w:val="-3"/>
        </w:rPr>
        <w:t>we </w:t>
      </w:r>
      <w:r>
        <w:rPr/>
        <w:t>have lots of new cities to choose from. </w:t>
      </w:r>
      <w:r>
        <w:rPr>
          <w:spacing w:val="2"/>
        </w:rPr>
        <w:t>For  </w:t>
      </w:r>
      <w:r>
        <w:rPr/>
        <w:t>1999,  </w:t>
      </w:r>
      <w:r>
        <w:rPr>
          <w:spacing w:val="-3"/>
        </w:rPr>
        <w:t>we </w:t>
      </w:r>
      <w:r>
        <w:rPr/>
        <w:t>presently plan to add at least two new cities. In December 1998, </w:t>
      </w:r>
      <w:r>
        <w:rPr>
          <w:spacing w:val="-3"/>
        </w:rPr>
        <w:t>we </w:t>
      </w:r>
      <w:r>
        <w:rPr/>
        <w:t>announced the opening of service to MacArthur Airport in Islip, New </w:t>
      </w:r>
      <w:r>
        <w:rPr>
          <w:spacing w:val="-4"/>
        </w:rPr>
        <w:t>York, </w:t>
      </w:r>
      <w:r>
        <w:rPr/>
        <w:t>on Long Island, in March 1999. A second new destination will be announced later this</w:t>
      </w:r>
      <w:r>
        <w:rPr>
          <w:spacing w:val="20"/>
        </w:rPr>
        <w:t> </w:t>
      </w:r>
      <w:r>
        <w:rPr/>
        <w:t>year.</w:t>
      </w:r>
    </w:p>
    <w:p>
      <w:pPr>
        <w:pStyle w:val="BodyText"/>
        <w:spacing w:before="5"/>
      </w:pPr>
    </w:p>
    <w:tbl>
      <w:tblPr>
        <w:tblW w:w="0" w:type="auto"/>
        <w:jc w:val="left"/>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1982"/>
        <w:gridCol w:w="2520"/>
        <w:gridCol w:w="2520"/>
      </w:tblGrid>
      <w:tr>
        <w:trPr>
          <w:trHeight w:val="374" w:hRule="exact"/>
        </w:trPr>
        <w:tc>
          <w:tcPr>
            <w:tcW w:w="1978" w:type="dxa"/>
          </w:tcPr>
          <w:p>
            <w:pPr>
              <w:pStyle w:val="TableParagraph"/>
              <w:spacing w:before="77"/>
              <w:ind w:left="100"/>
              <w:jc w:val="left"/>
              <w:rPr>
                <w:b/>
                <w:sz w:val="24"/>
              </w:rPr>
            </w:pPr>
            <w:r>
              <w:rPr>
                <w:b/>
                <w:color w:val="FF0000"/>
                <w:sz w:val="24"/>
              </w:rPr>
              <w:t>737 Type</w:t>
            </w:r>
          </w:p>
        </w:tc>
        <w:tc>
          <w:tcPr>
            <w:tcW w:w="1982" w:type="dxa"/>
          </w:tcPr>
          <w:p>
            <w:pPr>
              <w:pStyle w:val="TableParagraph"/>
              <w:spacing w:before="77"/>
              <w:ind w:left="646" w:right="641"/>
              <w:jc w:val="center"/>
              <w:rPr>
                <w:b/>
                <w:sz w:val="24"/>
              </w:rPr>
            </w:pPr>
            <w:r>
              <w:rPr>
                <w:b/>
                <w:color w:val="FF0000"/>
                <w:sz w:val="24"/>
              </w:rPr>
              <w:t>Seats</w:t>
            </w:r>
          </w:p>
        </w:tc>
        <w:tc>
          <w:tcPr>
            <w:tcW w:w="2520" w:type="dxa"/>
          </w:tcPr>
          <w:p>
            <w:pPr>
              <w:pStyle w:val="TableParagraph"/>
              <w:spacing w:before="77"/>
              <w:ind w:left="159" w:right="159"/>
              <w:jc w:val="center"/>
              <w:rPr>
                <w:b/>
                <w:sz w:val="24"/>
              </w:rPr>
            </w:pPr>
            <w:r>
              <w:rPr>
                <w:b/>
                <w:color w:val="FF0000"/>
                <w:sz w:val="24"/>
              </w:rPr>
              <w:t>Average Age (Yrs.)</w:t>
            </w:r>
          </w:p>
        </w:tc>
        <w:tc>
          <w:tcPr>
            <w:tcW w:w="2520" w:type="dxa"/>
          </w:tcPr>
          <w:p>
            <w:pPr>
              <w:pStyle w:val="TableParagraph"/>
              <w:spacing w:before="77"/>
              <w:ind w:left="151" w:right="159"/>
              <w:jc w:val="center"/>
              <w:rPr>
                <w:b/>
                <w:sz w:val="24"/>
              </w:rPr>
            </w:pPr>
            <w:r>
              <w:rPr>
                <w:b/>
                <w:color w:val="FF0000"/>
                <w:sz w:val="24"/>
              </w:rPr>
              <w:t>Number of Aircraft</w:t>
            </w:r>
          </w:p>
        </w:tc>
      </w:tr>
      <w:tr>
        <w:trPr>
          <w:trHeight w:val="374" w:hRule="exact"/>
        </w:trPr>
        <w:tc>
          <w:tcPr>
            <w:tcW w:w="1978" w:type="dxa"/>
          </w:tcPr>
          <w:p>
            <w:pPr>
              <w:pStyle w:val="TableParagraph"/>
              <w:spacing w:before="82"/>
              <w:ind w:left="100"/>
              <w:jc w:val="left"/>
              <w:rPr>
                <w:sz w:val="24"/>
              </w:rPr>
            </w:pPr>
            <w:r>
              <w:rPr>
                <w:sz w:val="24"/>
              </w:rPr>
              <w:t>-200</w:t>
            </w:r>
          </w:p>
        </w:tc>
        <w:tc>
          <w:tcPr>
            <w:tcW w:w="1982" w:type="dxa"/>
          </w:tcPr>
          <w:p>
            <w:pPr>
              <w:pStyle w:val="TableParagraph"/>
              <w:spacing w:before="82"/>
              <w:ind w:left="646" w:right="637"/>
              <w:jc w:val="center"/>
              <w:rPr>
                <w:sz w:val="24"/>
              </w:rPr>
            </w:pPr>
            <w:r>
              <w:rPr>
                <w:sz w:val="24"/>
              </w:rPr>
              <w:t>122</w:t>
            </w:r>
          </w:p>
        </w:tc>
        <w:tc>
          <w:tcPr>
            <w:tcW w:w="2520" w:type="dxa"/>
          </w:tcPr>
          <w:p>
            <w:pPr>
              <w:pStyle w:val="TableParagraph"/>
              <w:spacing w:before="82"/>
              <w:ind w:left="159" w:right="159"/>
              <w:jc w:val="center"/>
              <w:rPr>
                <w:sz w:val="24"/>
              </w:rPr>
            </w:pPr>
            <w:r>
              <w:rPr>
                <w:sz w:val="24"/>
              </w:rPr>
              <w:t>17.2</w:t>
            </w:r>
          </w:p>
        </w:tc>
        <w:tc>
          <w:tcPr>
            <w:tcW w:w="2520" w:type="dxa"/>
          </w:tcPr>
          <w:p>
            <w:pPr>
              <w:pStyle w:val="TableParagraph"/>
              <w:spacing w:before="82"/>
              <w:ind w:left="159" w:right="159"/>
              <w:jc w:val="center"/>
              <w:rPr>
                <w:sz w:val="24"/>
              </w:rPr>
            </w:pPr>
            <w:r>
              <w:rPr>
                <w:sz w:val="24"/>
              </w:rPr>
              <w:t>39</w:t>
            </w:r>
          </w:p>
        </w:tc>
      </w:tr>
      <w:tr>
        <w:trPr>
          <w:trHeight w:val="374" w:hRule="exact"/>
        </w:trPr>
        <w:tc>
          <w:tcPr>
            <w:tcW w:w="1978" w:type="dxa"/>
          </w:tcPr>
          <w:p>
            <w:pPr>
              <w:pStyle w:val="TableParagraph"/>
              <w:spacing w:before="82"/>
              <w:ind w:left="100"/>
              <w:jc w:val="left"/>
              <w:rPr>
                <w:sz w:val="24"/>
              </w:rPr>
            </w:pPr>
            <w:r>
              <w:rPr>
                <w:sz w:val="24"/>
              </w:rPr>
              <w:t>-300</w:t>
            </w:r>
          </w:p>
        </w:tc>
        <w:tc>
          <w:tcPr>
            <w:tcW w:w="1982" w:type="dxa"/>
          </w:tcPr>
          <w:p>
            <w:pPr>
              <w:pStyle w:val="TableParagraph"/>
              <w:spacing w:before="82"/>
              <w:ind w:left="646" w:right="637"/>
              <w:jc w:val="center"/>
              <w:rPr>
                <w:sz w:val="24"/>
              </w:rPr>
            </w:pPr>
            <w:r>
              <w:rPr>
                <w:sz w:val="24"/>
              </w:rPr>
              <w:t>137</w:t>
            </w:r>
          </w:p>
        </w:tc>
        <w:tc>
          <w:tcPr>
            <w:tcW w:w="2520" w:type="dxa"/>
          </w:tcPr>
          <w:p>
            <w:pPr>
              <w:pStyle w:val="TableParagraph"/>
              <w:spacing w:before="82"/>
              <w:ind w:left="159" w:right="159"/>
              <w:jc w:val="center"/>
              <w:rPr>
                <w:sz w:val="24"/>
              </w:rPr>
            </w:pPr>
            <w:r>
              <w:rPr>
                <w:sz w:val="24"/>
              </w:rPr>
              <w:t>7.7</w:t>
            </w:r>
          </w:p>
        </w:tc>
        <w:tc>
          <w:tcPr>
            <w:tcW w:w="2520" w:type="dxa"/>
          </w:tcPr>
          <w:p>
            <w:pPr>
              <w:pStyle w:val="TableParagraph"/>
              <w:spacing w:before="82"/>
              <w:ind w:left="159" w:right="159"/>
              <w:jc w:val="center"/>
              <w:rPr>
                <w:sz w:val="24"/>
              </w:rPr>
            </w:pPr>
            <w:r>
              <w:rPr>
                <w:sz w:val="24"/>
              </w:rPr>
              <w:t>191</w:t>
            </w:r>
          </w:p>
        </w:tc>
      </w:tr>
      <w:tr>
        <w:trPr>
          <w:trHeight w:val="374" w:hRule="exact"/>
        </w:trPr>
        <w:tc>
          <w:tcPr>
            <w:tcW w:w="1978" w:type="dxa"/>
          </w:tcPr>
          <w:p>
            <w:pPr>
              <w:pStyle w:val="TableParagraph"/>
              <w:spacing w:before="82"/>
              <w:ind w:left="100"/>
              <w:jc w:val="left"/>
              <w:rPr>
                <w:sz w:val="24"/>
              </w:rPr>
            </w:pPr>
            <w:r>
              <w:rPr>
                <w:sz w:val="24"/>
              </w:rPr>
              <w:t>-500</w:t>
            </w:r>
          </w:p>
        </w:tc>
        <w:tc>
          <w:tcPr>
            <w:tcW w:w="1982" w:type="dxa"/>
          </w:tcPr>
          <w:p>
            <w:pPr>
              <w:pStyle w:val="TableParagraph"/>
              <w:spacing w:before="82"/>
              <w:ind w:left="646" w:right="637"/>
              <w:jc w:val="center"/>
              <w:rPr>
                <w:sz w:val="24"/>
              </w:rPr>
            </w:pPr>
            <w:r>
              <w:rPr>
                <w:sz w:val="24"/>
              </w:rPr>
              <w:t>122</w:t>
            </w:r>
          </w:p>
        </w:tc>
        <w:tc>
          <w:tcPr>
            <w:tcW w:w="2520" w:type="dxa"/>
          </w:tcPr>
          <w:p>
            <w:pPr>
              <w:pStyle w:val="TableParagraph"/>
              <w:spacing w:before="82"/>
              <w:ind w:left="159" w:right="159"/>
              <w:jc w:val="center"/>
              <w:rPr>
                <w:sz w:val="24"/>
              </w:rPr>
            </w:pPr>
            <w:r>
              <w:rPr>
                <w:sz w:val="24"/>
              </w:rPr>
              <w:t>7.7</w:t>
            </w:r>
          </w:p>
        </w:tc>
        <w:tc>
          <w:tcPr>
            <w:tcW w:w="2520" w:type="dxa"/>
          </w:tcPr>
          <w:p>
            <w:pPr>
              <w:pStyle w:val="TableParagraph"/>
              <w:spacing w:before="82"/>
              <w:ind w:left="159" w:right="159"/>
              <w:jc w:val="center"/>
              <w:rPr>
                <w:sz w:val="24"/>
              </w:rPr>
            </w:pPr>
            <w:r>
              <w:rPr>
                <w:sz w:val="24"/>
              </w:rPr>
              <w:t>25</w:t>
            </w:r>
          </w:p>
        </w:tc>
      </w:tr>
      <w:tr>
        <w:trPr>
          <w:trHeight w:val="374" w:hRule="exact"/>
        </w:trPr>
        <w:tc>
          <w:tcPr>
            <w:tcW w:w="1978" w:type="dxa"/>
          </w:tcPr>
          <w:p>
            <w:pPr>
              <w:pStyle w:val="TableParagraph"/>
              <w:spacing w:before="82"/>
              <w:ind w:left="100"/>
              <w:jc w:val="left"/>
              <w:rPr>
                <w:sz w:val="24"/>
              </w:rPr>
            </w:pPr>
            <w:r>
              <w:rPr>
                <w:sz w:val="24"/>
              </w:rPr>
              <w:t>-700</w:t>
            </w:r>
          </w:p>
        </w:tc>
        <w:tc>
          <w:tcPr>
            <w:tcW w:w="1982" w:type="dxa"/>
          </w:tcPr>
          <w:p>
            <w:pPr>
              <w:pStyle w:val="TableParagraph"/>
              <w:spacing w:before="82"/>
              <w:ind w:left="646" w:right="637"/>
              <w:jc w:val="center"/>
              <w:rPr>
                <w:sz w:val="24"/>
              </w:rPr>
            </w:pPr>
            <w:r>
              <w:rPr>
                <w:sz w:val="24"/>
              </w:rPr>
              <w:t>137</w:t>
            </w:r>
          </w:p>
        </w:tc>
        <w:tc>
          <w:tcPr>
            <w:tcW w:w="2520" w:type="dxa"/>
          </w:tcPr>
          <w:p>
            <w:pPr>
              <w:pStyle w:val="TableParagraph"/>
              <w:spacing w:before="82"/>
              <w:ind w:left="159" w:right="159"/>
              <w:jc w:val="center"/>
              <w:rPr>
                <w:sz w:val="24"/>
              </w:rPr>
            </w:pPr>
            <w:r>
              <w:rPr>
                <w:sz w:val="24"/>
              </w:rPr>
              <w:t>0.5</w:t>
            </w:r>
          </w:p>
        </w:tc>
        <w:tc>
          <w:tcPr>
            <w:tcW w:w="2520" w:type="dxa"/>
          </w:tcPr>
          <w:p>
            <w:pPr>
              <w:pStyle w:val="TableParagraph"/>
              <w:spacing w:before="82"/>
              <w:ind w:left="159" w:right="159"/>
              <w:jc w:val="center"/>
              <w:rPr>
                <w:sz w:val="24"/>
              </w:rPr>
            </w:pPr>
            <w:r>
              <w:rPr>
                <w:sz w:val="24"/>
              </w:rPr>
              <w:t>25</w:t>
            </w:r>
          </w:p>
        </w:tc>
      </w:tr>
      <w:tr>
        <w:trPr>
          <w:trHeight w:val="374" w:hRule="exact"/>
        </w:trPr>
        <w:tc>
          <w:tcPr>
            <w:tcW w:w="1978" w:type="dxa"/>
          </w:tcPr>
          <w:p>
            <w:pPr>
              <w:pStyle w:val="TableParagraph"/>
              <w:spacing w:before="82"/>
              <w:ind w:left="100"/>
              <w:jc w:val="left"/>
              <w:rPr>
                <w:sz w:val="24"/>
              </w:rPr>
            </w:pPr>
            <w:r>
              <w:rPr>
                <w:sz w:val="24"/>
              </w:rPr>
              <w:t>Total</w:t>
            </w:r>
          </w:p>
        </w:tc>
        <w:tc>
          <w:tcPr>
            <w:tcW w:w="1982" w:type="dxa"/>
          </w:tcPr>
          <w:p>
            <w:pPr>
              <w:pStyle w:val="TableParagraph"/>
              <w:spacing w:before="82"/>
              <w:ind w:left="646" w:right="637"/>
              <w:jc w:val="center"/>
              <w:rPr>
                <w:sz w:val="24"/>
              </w:rPr>
            </w:pPr>
            <w:r>
              <w:rPr>
                <w:sz w:val="24"/>
              </w:rPr>
              <w:t>134</w:t>
            </w:r>
          </w:p>
        </w:tc>
        <w:tc>
          <w:tcPr>
            <w:tcW w:w="2520" w:type="dxa"/>
          </w:tcPr>
          <w:p>
            <w:pPr>
              <w:pStyle w:val="TableParagraph"/>
              <w:spacing w:before="82"/>
              <w:ind w:left="159" w:right="159"/>
              <w:jc w:val="center"/>
              <w:rPr>
                <w:sz w:val="24"/>
              </w:rPr>
            </w:pPr>
            <w:r>
              <w:rPr>
                <w:sz w:val="24"/>
              </w:rPr>
              <w:t>8.4</w:t>
            </w:r>
          </w:p>
        </w:tc>
        <w:tc>
          <w:tcPr>
            <w:tcW w:w="2520" w:type="dxa"/>
          </w:tcPr>
          <w:p>
            <w:pPr>
              <w:pStyle w:val="TableParagraph"/>
              <w:spacing w:before="82"/>
              <w:ind w:left="159" w:right="159"/>
              <w:jc w:val="center"/>
              <w:rPr>
                <w:sz w:val="24"/>
              </w:rPr>
            </w:pPr>
            <w:r>
              <w:rPr>
                <w:sz w:val="24"/>
              </w:rPr>
              <w:t>280</w:t>
            </w:r>
          </w:p>
        </w:tc>
      </w:tr>
    </w:tbl>
    <w:p>
      <w:pPr>
        <w:spacing w:before="120"/>
        <w:ind w:left="120" w:right="0" w:firstLine="0"/>
        <w:jc w:val="left"/>
        <w:rPr>
          <w:b/>
          <w:i/>
          <w:sz w:val="18"/>
        </w:rPr>
      </w:pPr>
      <w:r>
        <w:rPr>
          <w:b/>
          <w:color w:val="000080"/>
          <w:sz w:val="24"/>
        </w:rPr>
        <w:t>Jet Fleet </w:t>
      </w:r>
      <w:r>
        <w:rPr>
          <w:b/>
          <w:i/>
          <w:color w:val="000080"/>
          <w:sz w:val="18"/>
        </w:rPr>
        <w:t>(at December 31, 1998)</w:t>
      </w:r>
    </w:p>
    <w:p>
      <w:pPr>
        <w:pStyle w:val="BodyText"/>
        <w:rPr>
          <w:b/>
          <w:i/>
          <w:sz w:val="20"/>
        </w:rPr>
      </w:pPr>
    </w:p>
    <w:p>
      <w:pPr>
        <w:pStyle w:val="BodyText"/>
        <w:spacing w:before="9"/>
        <w:rPr>
          <w:b/>
          <w:i/>
          <w:sz w:val="11"/>
        </w:rPr>
      </w:pPr>
    </w:p>
    <w:tbl>
      <w:tblPr>
        <w:tblW w:w="0" w:type="auto"/>
        <w:jc w:val="left"/>
        <w:tblInd w:w="2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49"/>
        <w:gridCol w:w="720"/>
        <w:gridCol w:w="720"/>
        <w:gridCol w:w="720"/>
        <w:gridCol w:w="720"/>
        <w:gridCol w:w="720"/>
        <w:gridCol w:w="720"/>
        <w:gridCol w:w="720"/>
        <w:gridCol w:w="720"/>
        <w:gridCol w:w="811"/>
      </w:tblGrid>
      <w:tr>
        <w:trPr>
          <w:trHeight w:val="374" w:hRule="exact"/>
        </w:trPr>
        <w:tc>
          <w:tcPr>
            <w:tcW w:w="1349" w:type="dxa"/>
          </w:tcPr>
          <w:p>
            <w:pPr/>
          </w:p>
        </w:tc>
        <w:tc>
          <w:tcPr>
            <w:tcW w:w="720" w:type="dxa"/>
          </w:tcPr>
          <w:p>
            <w:pPr>
              <w:pStyle w:val="TableParagraph"/>
              <w:spacing w:before="124"/>
              <w:ind w:left="111" w:right="108"/>
              <w:jc w:val="center"/>
              <w:rPr>
                <w:b/>
                <w:sz w:val="20"/>
              </w:rPr>
            </w:pPr>
            <w:r>
              <w:rPr>
                <w:b/>
                <w:color w:val="FF0000"/>
                <w:sz w:val="20"/>
              </w:rPr>
              <w:t>1999</w:t>
            </w:r>
          </w:p>
        </w:tc>
        <w:tc>
          <w:tcPr>
            <w:tcW w:w="720" w:type="dxa"/>
          </w:tcPr>
          <w:p>
            <w:pPr>
              <w:pStyle w:val="TableParagraph"/>
              <w:spacing w:before="124"/>
              <w:ind w:left="111" w:right="108"/>
              <w:jc w:val="center"/>
              <w:rPr>
                <w:b/>
                <w:sz w:val="20"/>
              </w:rPr>
            </w:pPr>
            <w:r>
              <w:rPr>
                <w:b/>
                <w:color w:val="FF0000"/>
                <w:sz w:val="20"/>
              </w:rPr>
              <w:t>2000</w:t>
            </w:r>
          </w:p>
        </w:tc>
        <w:tc>
          <w:tcPr>
            <w:tcW w:w="720" w:type="dxa"/>
          </w:tcPr>
          <w:p>
            <w:pPr>
              <w:pStyle w:val="TableParagraph"/>
              <w:spacing w:before="124"/>
              <w:ind w:left="111" w:right="108"/>
              <w:jc w:val="center"/>
              <w:rPr>
                <w:b/>
                <w:sz w:val="20"/>
              </w:rPr>
            </w:pPr>
            <w:r>
              <w:rPr>
                <w:b/>
                <w:color w:val="FF0000"/>
                <w:sz w:val="20"/>
              </w:rPr>
              <w:t>2001</w:t>
            </w:r>
          </w:p>
        </w:tc>
        <w:tc>
          <w:tcPr>
            <w:tcW w:w="720" w:type="dxa"/>
          </w:tcPr>
          <w:p>
            <w:pPr>
              <w:pStyle w:val="TableParagraph"/>
              <w:spacing w:before="124"/>
              <w:ind w:left="111" w:right="108"/>
              <w:jc w:val="center"/>
              <w:rPr>
                <w:b/>
                <w:sz w:val="20"/>
              </w:rPr>
            </w:pPr>
            <w:r>
              <w:rPr>
                <w:b/>
                <w:color w:val="FF0000"/>
                <w:sz w:val="20"/>
              </w:rPr>
              <w:t>2002</w:t>
            </w:r>
          </w:p>
        </w:tc>
        <w:tc>
          <w:tcPr>
            <w:tcW w:w="720" w:type="dxa"/>
          </w:tcPr>
          <w:p>
            <w:pPr>
              <w:pStyle w:val="TableParagraph"/>
              <w:spacing w:before="124"/>
              <w:ind w:left="111" w:right="108"/>
              <w:jc w:val="center"/>
              <w:rPr>
                <w:b/>
                <w:sz w:val="20"/>
              </w:rPr>
            </w:pPr>
            <w:r>
              <w:rPr>
                <w:b/>
                <w:color w:val="FF0000"/>
                <w:sz w:val="20"/>
              </w:rPr>
              <w:t>2003</w:t>
            </w:r>
          </w:p>
        </w:tc>
        <w:tc>
          <w:tcPr>
            <w:tcW w:w="720" w:type="dxa"/>
          </w:tcPr>
          <w:p>
            <w:pPr>
              <w:pStyle w:val="TableParagraph"/>
              <w:spacing w:before="124"/>
              <w:ind w:left="111" w:right="108"/>
              <w:jc w:val="center"/>
              <w:rPr>
                <w:b/>
                <w:sz w:val="20"/>
              </w:rPr>
            </w:pPr>
            <w:r>
              <w:rPr>
                <w:b/>
                <w:color w:val="FF0000"/>
                <w:sz w:val="20"/>
              </w:rPr>
              <w:t>2004</w:t>
            </w:r>
          </w:p>
        </w:tc>
        <w:tc>
          <w:tcPr>
            <w:tcW w:w="720" w:type="dxa"/>
          </w:tcPr>
          <w:p>
            <w:pPr>
              <w:pStyle w:val="TableParagraph"/>
              <w:spacing w:before="124"/>
              <w:ind w:left="111" w:right="108"/>
              <w:jc w:val="center"/>
              <w:rPr>
                <w:b/>
                <w:sz w:val="20"/>
              </w:rPr>
            </w:pPr>
            <w:r>
              <w:rPr>
                <w:b/>
                <w:color w:val="FF0000"/>
                <w:sz w:val="20"/>
              </w:rPr>
              <w:t>2005</w:t>
            </w:r>
          </w:p>
        </w:tc>
        <w:tc>
          <w:tcPr>
            <w:tcW w:w="720" w:type="dxa"/>
          </w:tcPr>
          <w:p>
            <w:pPr>
              <w:pStyle w:val="TableParagraph"/>
              <w:spacing w:before="124"/>
              <w:ind w:left="111" w:right="108"/>
              <w:jc w:val="center"/>
              <w:rPr>
                <w:b/>
                <w:sz w:val="20"/>
              </w:rPr>
            </w:pPr>
            <w:r>
              <w:rPr>
                <w:b/>
                <w:color w:val="FF0000"/>
                <w:sz w:val="20"/>
              </w:rPr>
              <w:t>2006</w:t>
            </w:r>
          </w:p>
        </w:tc>
        <w:tc>
          <w:tcPr>
            <w:tcW w:w="811" w:type="dxa"/>
          </w:tcPr>
          <w:p>
            <w:pPr>
              <w:pStyle w:val="TableParagraph"/>
              <w:spacing w:before="124"/>
              <w:ind w:left="144" w:right="135"/>
              <w:jc w:val="center"/>
              <w:rPr>
                <w:b/>
                <w:sz w:val="20"/>
              </w:rPr>
            </w:pPr>
            <w:r>
              <w:rPr>
                <w:b/>
                <w:color w:val="FF0000"/>
                <w:sz w:val="20"/>
              </w:rPr>
              <w:t>Total</w:t>
            </w:r>
          </w:p>
        </w:tc>
      </w:tr>
      <w:tr>
        <w:trPr>
          <w:trHeight w:val="374" w:hRule="exact"/>
        </w:trPr>
        <w:tc>
          <w:tcPr>
            <w:tcW w:w="1349" w:type="dxa"/>
          </w:tcPr>
          <w:p>
            <w:pPr>
              <w:pStyle w:val="TableParagraph"/>
              <w:spacing w:before="129"/>
              <w:ind w:left="100"/>
              <w:jc w:val="left"/>
              <w:rPr>
                <w:sz w:val="20"/>
              </w:rPr>
            </w:pPr>
            <w:r>
              <w:rPr>
                <w:sz w:val="20"/>
              </w:rPr>
              <w:t>Firm Orders</w:t>
            </w:r>
          </w:p>
        </w:tc>
        <w:tc>
          <w:tcPr>
            <w:tcW w:w="720" w:type="dxa"/>
          </w:tcPr>
          <w:p>
            <w:pPr>
              <w:pStyle w:val="TableParagraph"/>
              <w:spacing w:before="129"/>
              <w:ind w:left="111" w:right="107"/>
              <w:jc w:val="center"/>
              <w:rPr>
                <w:sz w:val="20"/>
              </w:rPr>
            </w:pPr>
            <w:r>
              <w:rPr>
                <w:sz w:val="20"/>
              </w:rPr>
              <w:t>32</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1" w:right="107"/>
              <w:jc w:val="center"/>
              <w:rPr>
                <w:sz w:val="20"/>
              </w:rPr>
            </w:pPr>
            <w:r>
              <w:rPr>
                <w:sz w:val="20"/>
              </w:rPr>
              <w:t>21</w:t>
            </w:r>
          </w:p>
        </w:tc>
        <w:tc>
          <w:tcPr>
            <w:tcW w:w="720" w:type="dxa"/>
          </w:tcPr>
          <w:p>
            <w:pPr>
              <w:pStyle w:val="TableParagraph"/>
              <w:spacing w:before="129"/>
              <w:ind w:left="11"/>
              <w:jc w:val="center"/>
              <w:rPr>
                <w:sz w:val="20"/>
              </w:rPr>
            </w:pPr>
            <w:r>
              <w:rPr>
                <w:w w:val="100"/>
                <w:sz w:val="20"/>
              </w:rPr>
              <w:t>5</w:t>
            </w:r>
          </w:p>
        </w:tc>
        <w:tc>
          <w:tcPr>
            <w:tcW w:w="720" w:type="dxa"/>
          </w:tcPr>
          <w:p>
            <w:pPr>
              <w:pStyle w:val="TableParagraph"/>
              <w:spacing w:before="129"/>
              <w:ind w:left="11"/>
              <w:jc w:val="center"/>
              <w:rPr>
                <w:sz w:val="20"/>
              </w:rPr>
            </w:pPr>
            <w:r>
              <w:rPr>
                <w:w w:val="100"/>
                <w:sz w:val="20"/>
              </w:rPr>
              <w:t>5</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811" w:type="dxa"/>
          </w:tcPr>
          <w:p>
            <w:pPr>
              <w:pStyle w:val="TableParagraph"/>
              <w:spacing w:before="129"/>
              <w:ind w:left="139" w:right="135"/>
              <w:jc w:val="center"/>
              <w:rPr>
                <w:sz w:val="20"/>
              </w:rPr>
            </w:pPr>
            <w:r>
              <w:rPr>
                <w:sz w:val="20"/>
              </w:rPr>
              <w:t>105</w:t>
            </w:r>
          </w:p>
        </w:tc>
      </w:tr>
      <w:tr>
        <w:trPr>
          <w:trHeight w:val="374" w:hRule="exact"/>
        </w:trPr>
        <w:tc>
          <w:tcPr>
            <w:tcW w:w="1349" w:type="dxa"/>
          </w:tcPr>
          <w:p>
            <w:pPr>
              <w:pStyle w:val="TableParagraph"/>
              <w:spacing w:before="129"/>
              <w:ind w:left="100"/>
              <w:jc w:val="left"/>
              <w:rPr>
                <w:sz w:val="20"/>
              </w:rPr>
            </w:pPr>
            <w:r>
              <w:rPr>
                <w:sz w:val="20"/>
              </w:rPr>
              <w:t>Options</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
              <w:jc w:val="center"/>
              <w:rPr>
                <w:sz w:val="20"/>
              </w:rPr>
            </w:pPr>
            <w:r>
              <w:rPr>
                <w:w w:val="100"/>
                <w:sz w:val="20"/>
              </w:rPr>
              <w:t>–</w:t>
            </w:r>
          </w:p>
        </w:tc>
        <w:tc>
          <w:tcPr>
            <w:tcW w:w="720" w:type="dxa"/>
          </w:tcPr>
          <w:p>
            <w:pPr>
              <w:pStyle w:val="TableParagraph"/>
              <w:spacing w:before="129"/>
              <w:ind w:left="111" w:right="107"/>
              <w:jc w:val="center"/>
              <w:rPr>
                <w:sz w:val="20"/>
              </w:rPr>
            </w:pPr>
            <w:r>
              <w:rPr>
                <w:sz w:val="20"/>
              </w:rPr>
              <w:t>13</w:t>
            </w:r>
          </w:p>
        </w:tc>
        <w:tc>
          <w:tcPr>
            <w:tcW w:w="720" w:type="dxa"/>
          </w:tcPr>
          <w:p>
            <w:pPr>
              <w:pStyle w:val="TableParagraph"/>
              <w:spacing w:before="129"/>
              <w:ind w:left="111" w:right="107"/>
              <w:jc w:val="center"/>
              <w:rPr>
                <w:sz w:val="20"/>
              </w:rPr>
            </w:pPr>
            <w:r>
              <w:rPr>
                <w:sz w:val="20"/>
              </w:rPr>
              <w:t>13</w:t>
            </w:r>
          </w:p>
        </w:tc>
        <w:tc>
          <w:tcPr>
            <w:tcW w:w="720" w:type="dxa"/>
          </w:tcPr>
          <w:p>
            <w:pPr>
              <w:pStyle w:val="TableParagraph"/>
              <w:spacing w:before="129"/>
              <w:ind w:left="111" w:right="107"/>
              <w:jc w:val="center"/>
              <w:rPr>
                <w:sz w:val="20"/>
              </w:rPr>
            </w:pPr>
            <w:r>
              <w:rPr>
                <w:sz w:val="20"/>
              </w:rPr>
              <w:t>18</w:t>
            </w:r>
          </w:p>
        </w:tc>
        <w:tc>
          <w:tcPr>
            <w:tcW w:w="720" w:type="dxa"/>
          </w:tcPr>
          <w:p>
            <w:pPr>
              <w:pStyle w:val="TableParagraph"/>
              <w:spacing w:before="129"/>
              <w:ind w:left="111" w:right="107"/>
              <w:jc w:val="center"/>
              <w:rPr>
                <w:sz w:val="20"/>
              </w:rPr>
            </w:pPr>
            <w:r>
              <w:rPr>
                <w:sz w:val="20"/>
              </w:rPr>
              <w:t>18</w:t>
            </w:r>
          </w:p>
        </w:tc>
        <w:tc>
          <w:tcPr>
            <w:tcW w:w="811" w:type="dxa"/>
          </w:tcPr>
          <w:p>
            <w:pPr>
              <w:pStyle w:val="TableParagraph"/>
              <w:spacing w:before="129"/>
              <w:ind w:left="144" w:right="135"/>
              <w:jc w:val="center"/>
              <w:rPr>
                <w:sz w:val="20"/>
              </w:rPr>
            </w:pPr>
            <w:r>
              <w:rPr>
                <w:sz w:val="20"/>
              </w:rPr>
              <w:t>62</w:t>
            </w:r>
          </w:p>
        </w:tc>
      </w:tr>
      <w:tr>
        <w:trPr>
          <w:trHeight w:val="374" w:hRule="exact"/>
        </w:trPr>
        <w:tc>
          <w:tcPr>
            <w:tcW w:w="1349" w:type="dxa"/>
          </w:tcPr>
          <w:p>
            <w:pPr>
              <w:pStyle w:val="TableParagraph"/>
              <w:spacing w:before="124"/>
              <w:ind w:left="101"/>
              <w:jc w:val="left"/>
              <w:rPr>
                <w:b/>
                <w:sz w:val="20"/>
              </w:rPr>
            </w:pPr>
            <w:r>
              <w:rPr>
                <w:b/>
                <w:sz w:val="20"/>
              </w:rPr>
              <w:t>Total</w:t>
            </w:r>
          </w:p>
        </w:tc>
        <w:tc>
          <w:tcPr>
            <w:tcW w:w="720" w:type="dxa"/>
          </w:tcPr>
          <w:p>
            <w:pPr>
              <w:pStyle w:val="TableParagraph"/>
              <w:spacing w:before="124"/>
              <w:ind w:left="111" w:right="107"/>
              <w:jc w:val="center"/>
              <w:rPr>
                <w:b/>
                <w:sz w:val="20"/>
              </w:rPr>
            </w:pPr>
            <w:r>
              <w:rPr>
                <w:b/>
                <w:sz w:val="20"/>
              </w:rPr>
              <w:t>32</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21</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720" w:type="dxa"/>
          </w:tcPr>
          <w:p>
            <w:pPr>
              <w:pStyle w:val="TableParagraph"/>
              <w:spacing w:before="124"/>
              <w:ind w:left="111" w:right="107"/>
              <w:jc w:val="center"/>
              <w:rPr>
                <w:b/>
                <w:sz w:val="20"/>
              </w:rPr>
            </w:pPr>
            <w:r>
              <w:rPr>
                <w:b/>
                <w:sz w:val="20"/>
              </w:rPr>
              <w:t>18</w:t>
            </w:r>
          </w:p>
        </w:tc>
        <w:tc>
          <w:tcPr>
            <w:tcW w:w="811" w:type="dxa"/>
          </w:tcPr>
          <w:p>
            <w:pPr>
              <w:pStyle w:val="TableParagraph"/>
              <w:spacing w:before="124"/>
              <w:ind w:left="138" w:right="135"/>
              <w:jc w:val="center"/>
              <w:rPr>
                <w:b/>
                <w:sz w:val="20"/>
              </w:rPr>
            </w:pPr>
            <w:r>
              <w:rPr>
                <w:b/>
                <w:sz w:val="20"/>
              </w:rPr>
              <w:t>167</w:t>
            </w:r>
          </w:p>
        </w:tc>
      </w:tr>
    </w:tbl>
    <w:p>
      <w:pPr>
        <w:pStyle w:val="Heading4"/>
        <w:spacing w:before="120"/>
        <w:ind w:left="120"/>
      </w:pPr>
      <w:r>
        <w:rPr>
          <w:color w:val="000080"/>
        </w:rPr>
        <w:t>Boeing 737-700 Firm Orders And Options</w:t>
      </w:r>
    </w:p>
    <w:p>
      <w:pPr>
        <w:spacing w:after="0"/>
        <w:sectPr>
          <w:pgSz w:w="12240" w:h="15840"/>
          <w:pgMar w:header="1448" w:footer="344" w:top="1700" w:bottom="540" w:left="1320" w:right="1320"/>
        </w:sect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p>
      <w:pPr>
        <w:pStyle w:val="BodyText"/>
        <w:ind w:left="112"/>
        <w:rPr>
          <w:rFonts w:ascii="Times New Roman"/>
          <w:sz w:val="20"/>
        </w:rPr>
      </w:pPr>
      <w:r>
        <w:rPr>
          <w:rFonts w:ascii="Times New Roman"/>
          <w:sz w:val="20"/>
        </w:rPr>
        <w:pict>
          <v:group style="width:461.55pt;height:175.25pt;mso-position-horizontal-relative:char;mso-position-vertical-relative:line" coordorigin="0,0" coordsize="9231,3505">
            <v:rect style="position:absolute;left:8;top:8;width:9216;height:72" filled="true" fillcolor="#86dfb3" stroked="false">
              <v:fill type="solid"/>
            </v:rect>
            <v:rect style="position:absolute;left:8;top:79;width:9216;height:72" filled="true" fillcolor="#86dfb3" stroked="false">
              <v:fill type="solid"/>
            </v:rect>
            <v:rect style="position:absolute;left:8;top:151;width:9216;height:72" filled="true" fillcolor="#86e1b3" stroked="false">
              <v:fill type="solid"/>
            </v:rect>
            <v:rect style="position:absolute;left:8;top:224;width:9216;height:77" filled="true" fillcolor="#86e1b4" stroked="false">
              <v:fill type="solid"/>
            </v:rect>
            <v:rect style="position:absolute;left:8;top:300;width:9216;height:72" filled="true" fillcolor="#86e2b4" stroked="false">
              <v:fill type="solid"/>
            </v:rect>
            <v:rect style="position:absolute;left:8;top:372;width:9216;height:72" filled="true" fillcolor="#87e3b5" stroked="false">
              <v:fill type="solid"/>
            </v:rect>
            <v:rect style="position:absolute;left:8;top:444;width:9216;height:72" filled="true" fillcolor="#89e4b6" stroked="false">
              <v:fill type="solid"/>
            </v:rect>
            <v:rect style="position:absolute;left:8;top:516;width:9216;height:72" filled="true" fillcolor="#8ae6b8" stroked="false">
              <v:fill type="solid"/>
            </v:rect>
            <v:rect style="position:absolute;left:8;top:588;width:9216;height:72" filled="true" fillcolor="#8be7b9" stroked="false">
              <v:fill type="solid"/>
            </v:rect>
            <v:rect style="position:absolute;left:8;top:660;width:9216;height:72" filled="true" fillcolor="#8be9ba" stroked="false">
              <v:fill type="solid"/>
            </v:rect>
            <v:rect style="position:absolute;left:8;top:732;width:9216;height:77" filled="true" fillcolor="#8cecbd" stroked="false">
              <v:fill type="solid"/>
            </v:rect>
            <v:rect style="position:absolute;left:8;top:809;width:9216;height:72" filled="true" fillcolor="#8fedbe" stroked="false">
              <v:fill type="solid"/>
            </v:rect>
            <v:rect style="position:absolute;left:8;top:881;width:9216;height:72" filled="true" fillcolor="#8ff1bf" stroked="false">
              <v:fill type="solid"/>
            </v:rect>
            <v:rect style="position:absolute;left:8;top:953;width:9216;height:72" filled="true" fillcolor="#90f2c2" stroked="false">
              <v:fill type="solid"/>
            </v:rect>
            <v:rect style="position:absolute;left:8;top:1025;width:9216;height:72" filled="true" fillcolor="#91f5c3" stroked="false">
              <v:fill type="solid"/>
            </v:rect>
            <v:rect style="position:absolute;left:8;top:1097;width:9216;height:72" filled="true" fillcolor="#94f6c4" stroked="false">
              <v:fill type="solid"/>
            </v:rect>
            <v:rect style="position:absolute;left:8;top:1169;width:9216;height:72" filled="true" fillcolor="#94f7c6" stroked="false">
              <v:fill type="solid"/>
            </v:rect>
            <v:rect style="position:absolute;left:8;top:1241;width:9216;height:77" filled="true" fillcolor="#95fac7" stroked="false">
              <v:fill type="solid"/>
            </v:rect>
            <v:rect style="position:absolute;left:8;top:1318;width:9216;height:72" filled="true" fillcolor="#95fac8" stroked="false">
              <v:fill type="solid"/>
            </v:rect>
            <v:rect style="position:absolute;left:8;top:1390;width:9216;height:72" filled="true" fillcolor="#97fbca" stroked="false">
              <v:fill type="solid"/>
            </v:rect>
            <v:rect style="position:absolute;left:8;top:1462;width:9216;height:72" filled="true" fillcolor="#97fdca" stroked="false">
              <v:fill type="solid"/>
            </v:rect>
            <v:rect style="position:absolute;left:8;top:1534;width:9216;height:72" filled="true" fillcolor="#98fdcb" stroked="false">
              <v:fill type="solid"/>
            </v:rect>
            <v:rect style="position:absolute;left:8;top:1606;width:9216;height:72" filled="true" fillcolor="#98fecb" stroked="false">
              <v:fill type="solid"/>
            </v:rect>
            <v:rect style="position:absolute;left:8;top:1678;width:9216;height:72" filled="true" fillcolor="#98fecb" stroked="false">
              <v:fill type="solid"/>
            </v:rect>
            <v:rect style="position:absolute;left:8;top:1750;width:9216;height:77" filled="true" fillcolor="#98fecb" stroked="false">
              <v:fill type="solid"/>
            </v:rect>
            <v:rect style="position:absolute;left:8;top:1827;width:9216;height:72" filled="true" fillcolor="#98fecb" stroked="false">
              <v:fill type="solid"/>
            </v:rect>
            <v:rect style="position:absolute;left:8;top:1899;width:9216;height:72" filled="true" fillcolor="#98fdcb" stroked="false">
              <v:fill type="solid"/>
            </v:rect>
            <v:rect style="position:absolute;left:8;top:1971;width:9216;height:72" filled="true" fillcolor="#97fdca" stroked="false">
              <v:fill type="solid"/>
            </v:rect>
            <v:rect style="position:absolute;left:8;top:2043;width:9216;height:72" filled="true" fillcolor="#97fbca" stroked="false">
              <v:fill type="solid"/>
            </v:rect>
            <v:rect style="position:absolute;left:8;top:2115;width:9216;height:72" filled="true" fillcolor="#95fac8" stroked="false">
              <v:fill type="solid"/>
            </v:rect>
            <v:rect style="position:absolute;left:8;top:2187;width:9216;height:77" filled="true" fillcolor="#95fac7" stroked="false">
              <v:fill type="solid"/>
            </v:rect>
            <v:rect style="position:absolute;left:8;top:2264;width:9216;height:72" filled="true" fillcolor="#94f7c6" stroked="false">
              <v:fill type="solid"/>
            </v:rect>
            <v:rect style="position:absolute;left:8;top:2336;width:9216;height:72" filled="true" fillcolor="#94f6c4" stroked="false">
              <v:fill type="solid"/>
            </v:rect>
            <v:rect style="position:absolute;left:8;top:2408;width:9216;height:72" filled="true" fillcolor="#91f5c3" stroked="false">
              <v:fill type="solid"/>
            </v:rect>
            <v:rect style="position:absolute;left:8;top:2479;width:9216;height:72" filled="true" fillcolor="#90f2c2" stroked="false">
              <v:fill type="solid"/>
            </v:rect>
            <v:rect style="position:absolute;left:8;top:2551;width:9216;height:72" filled="true" fillcolor="#8ff1bf" stroked="false">
              <v:fill type="solid"/>
            </v:rect>
            <v:rect style="position:absolute;left:8;top:2624;width:9216;height:72" filled="true" fillcolor="#8fedbe" stroked="false">
              <v:fill type="solid"/>
            </v:rect>
            <v:rect style="position:absolute;left:8;top:2695;width:9216;height:77" filled="true" fillcolor="#8cecbd" stroked="false">
              <v:fill type="solid"/>
            </v:rect>
            <v:rect style="position:absolute;left:8;top:2772;width:9216;height:72" filled="true" fillcolor="#8be9ba" stroked="false">
              <v:fill type="solid"/>
            </v:rect>
            <v:rect style="position:absolute;left:8;top:2844;width:9216;height:72" filled="true" fillcolor="#8be7b9" stroked="false">
              <v:fill type="solid"/>
            </v:rect>
            <v:rect style="position:absolute;left:8;top:2916;width:9216;height:72" filled="true" fillcolor="#8ae6b8" stroked="false">
              <v:fill type="solid"/>
            </v:rect>
            <v:rect style="position:absolute;left:8;top:2988;width:9216;height:72" filled="true" fillcolor="#89e4b6" stroked="false">
              <v:fill type="solid"/>
            </v:rect>
            <v:rect style="position:absolute;left:8;top:3060;width:9216;height:72" filled="true" fillcolor="#87e3b5" stroked="false">
              <v:fill type="solid"/>
            </v:rect>
            <v:rect style="position:absolute;left:8;top:3132;width:9216;height:72" filled="true" fillcolor="#86e2b4" stroked="false">
              <v:fill type="solid"/>
            </v:rect>
            <v:rect style="position:absolute;left:8;top:3204;width:9216;height:77" filled="true" fillcolor="#86e1b4" stroked="false">
              <v:fill type="solid"/>
            </v:rect>
            <v:rect style="position:absolute;left:8;top:3281;width:9216;height:72" filled="true" fillcolor="#86e1b3" stroked="false">
              <v:fill type="solid"/>
            </v:rect>
            <v:rect style="position:absolute;left:8;top:3353;width:9216;height:72" filled="true" fillcolor="#86dfb3" stroked="false">
              <v:fill type="solid"/>
            </v:rect>
            <v:rect style="position:absolute;left:8;top:3425;width:9216;height:72" filled="true" fillcolor="#86dfb3" stroked="false">
              <v:fill type="solid"/>
            </v:rect>
            <v:rect style="position:absolute;left:8;top:8;width:9216;height:3490" filled="false" stroked="true" strokeweight=".72pt" strokecolor="#000000">
              <v:stroke dashstyle="solid"/>
            </v:rect>
            <v:shape style="position:absolute;left:8;top:8;width:9216;height:3490" type="#_x0000_t202" filled="false" stroked="false">
              <v:textbox inset="0,0,0,0">
                <w:txbxContent>
                  <w:p>
                    <w:pPr>
                      <w:spacing w:line="268" w:lineRule="auto" w:before="116"/>
                      <w:ind w:left="340" w:right="165" w:hanging="188"/>
                      <w:jc w:val="both"/>
                      <w:rPr>
                        <w:b/>
                        <w:i/>
                        <w:sz w:val="28"/>
                      </w:rPr>
                    </w:pPr>
                    <w:r>
                      <w:rPr>
                        <w:b/>
                        <w:i/>
                        <w:spacing w:val="9"/>
                        <w:sz w:val="28"/>
                      </w:rPr>
                      <w:t>To </w:t>
                    </w:r>
                    <w:r>
                      <w:rPr>
                        <w:b/>
                        <w:i/>
                        <w:spacing w:val="16"/>
                        <w:sz w:val="28"/>
                      </w:rPr>
                      <w:t>Mike Young, </w:t>
                    </w:r>
                    <w:r>
                      <w:rPr>
                        <w:b/>
                        <w:i/>
                        <w:spacing w:val="15"/>
                        <w:sz w:val="28"/>
                      </w:rPr>
                      <w:t>freedom </w:t>
                    </w:r>
                    <w:r>
                      <w:rPr>
                        <w:b/>
                        <w:i/>
                        <w:spacing w:val="16"/>
                        <w:sz w:val="28"/>
                      </w:rPr>
                      <w:t>means </w:t>
                    </w:r>
                    <w:r>
                      <w:rPr>
                        <w:b/>
                        <w:i/>
                        <w:spacing w:val="14"/>
                        <w:sz w:val="28"/>
                      </w:rPr>
                      <w:t>being </w:t>
                    </w:r>
                    <w:r>
                      <w:rPr>
                        <w:b/>
                        <w:i/>
                        <w:spacing w:val="13"/>
                        <w:sz w:val="28"/>
                      </w:rPr>
                      <w:t>able </w:t>
                    </w:r>
                    <w:r>
                      <w:rPr>
                        <w:b/>
                        <w:i/>
                        <w:spacing w:val="9"/>
                        <w:sz w:val="28"/>
                      </w:rPr>
                      <w:t>to do </w:t>
                    </w:r>
                    <w:r>
                      <w:rPr>
                        <w:b/>
                        <w:i/>
                        <w:spacing w:val="15"/>
                        <w:sz w:val="28"/>
                      </w:rPr>
                      <w:t>things </w:t>
                    </w:r>
                    <w:r>
                      <w:rPr>
                        <w:b/>
                        <w:i/>
                        <w:spacing w:val="18"/>
                        <w:sz w:val="28"/>
                      </w:rPr>
                      <w:t>the </w:t>
                    </w:r>
                    <w:r>
                      <w:rPr>
                        <w:b/>
                        <w:i/>
                        <w:spacing w:val="12"/>
                        <w:sz w:val="28"/>
                      </w:rPr>
                      <w:t>way you </w:t>
                    </w:r>
                    <w:r>
                      <w:rPr>
                        <w:b/>
                        <w:i/>
                        <w:spacing w:val="14"/>
                        <w:sz w:val="28"/>
                      </w:rPr>
                      <w:t>want. </w:t>
                    </w:r>
                    <w:r>
                      <w:rPr>
                        <w:b/>
                        <w:i/>
                        <w:spacing w:val="13"/>
                        <w:sz w:val="28"/>
                      </w:rPr>
                      <w:t>Like </w:t>
                    </w:r>
                    <w:r>
                      <w:rPr>
                        <w:b/>
                        <w:i/>
                        <w:spacing w:val="16"/>
                        <w:sz w:val="28"/>
                      </w:rPr>
                      <w:t>decorating </w:t>
                    </w:r>
                    <w:r>
                      <w:rPr>
                        <w:b/>
                        <w:i/>
                        <w:sz w:val="28"/>
                      </w:rPr>
                      <w:t>a </w:t>
                    </w:r>
                    <w:r>
                      <w:rPr>
                        <w:b/>
                        <w:i/>
                        <w:spacing w:val="18"/>
                        <w:sz w:val="28"/>
                      </w:rPr>
                      <w:t>restaurant </w:t>
                    </w:r>
                    <w:r>
                      <w:rPr>
                        <w:b/>
                        <w:i/>
                        <w:spacing w:val="13"/>
                        <w:sz w:val="28"/>
                      </w:rPr>
                      <w:t>with </w:t>
                    </w:r>
                    <w:r>
                      <w:rPr>
                        <w:b/>
                        <w:i/>
                        <w:spacing w:val="12"/>
                        <w:sz w:val="28"/>
                      </w:rPr>
                      <w:t>car </w:t>
                    </w:r>
                    <w:r>
                      <w:rPr>
                        <w:b/>
                        <w:i/>
                        <w:spacing w:val="18"/>
                        <w:sz w:val="28"/>
                      </w:rPr>
                      <w:t>parts </w:t>
                    </w:r>
                    <w:r>
                      <w:rPr>
                        <w:b/>
                        <w:i/>
                        <w:spacing w:val="12"/>
                        <w:sz w:val="28"/>
                      </w:rPr>
                      <w:t>and </w:t>
                    </w:r>
                    <w:r>
                      <w:rPr>
                        <w:b/>
                        <w:i/>
                        <w:spacing w:val="16"/>
                        <w:sz w:val="28"/>
                      </w:rPr>
                      <w:t>serving </w:t>
                    </w:r>
                    <w:r>
                      <w:rPr>
                        <w:b/>
                        <w:i/>
                        <w:spacing w:val="9"/>
                        <w:sz w:val="28"/>
                      </w:rPr>
                      <w:t>up </w:t>
                    </w:r>
                    <w:r>
                      <w:rPr>
                        <w:b/>
                        <w:i/>
                        <w:spacing w:val="15"/>
                        <w:sz w:val="28"/>
                      </w:rPr>
                      <w:t>plates </w:t>
                    </w:r>
                    <w:r>
                      <w:rPr>
                        <w:b/>
                        <w:i/>
                        <w:spacing w:val="9"/>
                        <w:sz w:val="28"/>
                      </w:rPr>
                      <w:t>of </w:t>
                    </w:r>
                    <w:r>
                      <w:rPr>
                        <w:b/>
                        <w:i/>
                        <w:spacing w:val="16"/>
                        <w:sz w:val="28"/>
                      </w:rPr>
                      <w:t>burritos </w:t>
                    </w:r>
                    <w:r>
                      <w:rPr>
                        <w:b/>
                        <w:i/>
                        <w:spacing w:val="9"/>
                        <w:sz w:val="28"/>
                      </w:rPr>
                      <w:t>as </w:t>
                    </w:r>
                    <w:r>
                      <w:rPr>
                        <w:b/>
                        <w:i/>
                        <w:spacing w:val="12"/>
                        <w:sz w:val="28"/>
                      </w:rPr>
                      <w:t>big </w:t>
                    </w:r>
                    <w:r>
                      <w:rPr>
                        <w:b/>
                        <w:i/>
                        <w:spacing w:val="9"/>
                        <w:sz w:val="28"/>
                      </w:rPr>
                      <w:t>as </w:t>
                    </w:r>
                    <w:r>
                      <w:rPr>
                        <w:b/>
                        <w:i/>
                        <w:spacing w:val="14"/>
                        <w:sz w:val="28"/>
                      </w:rPr>
                      <w:t>your </w:t>
                    </w:r>
                    <w:r>
                      <w:rPr>
                        <w:b/>
                        <w:i/>
                        <w:spacing w:val="15"/>
                        <w:sz w:val="28"/>
                      </w:rPr>
                      <w:t>face. </w:t>
                    </w:r>
                    <w:r>
                      <w:rPr>
                        <w:b/>
                        <w:i/>
                        <w:spacing w:val="10"/>
                        <w:sz w:val="28"/>
                      </w:rPr>
                      <w:t>So </w:t>
                    </w:r>
                    <w:r>
                      <w:rPr>
                        <w:b/>
                        <w:i/>
                        <w:spacing w:val="13"/>
                        <w:sz w:val="28"/>
                      </w:rPr>
                      <w:t>when </w:t>
                    </w:r>
                    <w:r>
                      <w:rPr>
                        <w:b/>
                        <w:i/>
                        <w:spacing w:val="9"/>
                        <w:sz w:val="28"/>
                      </w:rPr>
                      <w:t>it </w:t>
                    </w:r>
                    <w:r>
                      <w:rPr>
                        <w:b/>
                        <w:i/>
                        <w:spacing w:val="13"/>
                        <w:sz w:val="28"/>
                      </w:rPr>
                      <w:t>came time </w:t>
                    </w:r>
                    <w:r>
                      <w:rPr>
                        <w:b/>
                        <w:i/>
                        <w:spacing w:val="9"/>
                        <w:sz w:val="28"/>
                      </w:rPr>
                      <w:t>to </w:t>
                    </w:r>
                    <w:r>
                      <w:rPr>
                        <w:b/>
                        <w:i/>
                        <w:spacing w:val="15"/>
                        <w:sz w:val="28"/>
                      </w:rPr>
                      <w:t>expand </w:t>
                    </w:r>
                    <w:r>
                      <w:rPr>
                        <w:b/>
                        <w:i/>
                        <w:spacing w:val="12"/>
                        <w:sz w:val="28"/>
                      </w:rPr>
                      <w:t>the </w:t>
                    </w:r>
                    <w:r>
                      <w:rPr>
                        <w:b/>
                        <w:i/>
                        <w:spacing w:val="14"/>
                        <w:sz w:val="28"/>
                      </w:rPr>
                      <w:t>funky </w:t>
                    </w:r>
                    <w:r>
                      <w:rPr>
                        <w:b/>
                        <w:i/>
                        <w:spacing w:val="15"/>
                        <w:sz w:val="28"/>
                      </w:rPr>
                      <w:t>dining </w:t>
                    </w:r>
                    <w:r>
                      <w:rPr>
                        <w:b/>
                        <w:i/>
                        <w:spacing w:val="18"/>
                        <w:sz w:val="28"/>
                      </w:rPr>
                      <w:t>experience </w:t>
                    </w:r>
                    <w:r>
                      <w:rPr>
                        <w:b/>
                        <w:i/>
                        <w:spacing w:val="9"/>
                        <w:sz w:val="28"/>
                      </w:rPr>
                      <w:t>to </w:t>
                    </w:r>
                    <w:r>
                      <w:rPr>
                        <w:b/>
                        <w:i/>
                        <w:spacing w:val="15"/>
                        <w:sz w:val="28"/>
                      </w:rPr>
                      <w:t>folks who’d never </w:t>
                    </w:r>
                    <w:r>
                      <w:rPr>
                        <w:b/>
                        <w:i/>
                        <w:spacing w:val="17"/>
                        <w:sz w:val="28"/>
                      </w:rPr>
                      <w:t>experienced </w:t>
                    </w:r>
                    <w:r>
                      <w:rPr>
                        <w:b/>
                        <w:i/>
                        <w:spacing w:val="12"/>
                        <w:sz w:val="28"/>
                      </w:rPr>
                      <w:t>it, </w:t>
                    </w:r>
                    <w:r>
                      <w:rPr>
                        <w:b/>
                        <w:i/>
                        <w:spacing w:val="9"/>
                        <w:sz w:val="28"/>
                      </w:rPr>
                      <w:t>he </w:t>
                    </w:r>
                    <w:r>
                      <w:rPr>
                        <w:b/>
                        <w:i/>
                        <w:spacing w:val="12"/>
                        <w:sz w:val="28"/>
                      </w:rPr>
                      <w:t>and his </w:t>
                    </w:r>
                    <w:r>
                      <w:rPr>
                        <w:b/>
                        <w:i/>
                        <w:spacing w:val="16"/>
                        <w:sz w:val="28"/>
                      </w:rPr>
                      <w:t>partner </w:t>
                    </w:r>
                    <w:r>
                      <w:rPr>
                        <w:b/>
                        <w:i/>
                        <w:spacing w:val="14"/>
                        <w:sz w:val="28"/>
                      </w:rPr>
                      <w:t>came </w:t>
                    </w:r>
                    <w:r>
                      <w:rPr>
                        <w:b/>
                        <w:i/>
                        <w:spacing w:val="9"/>
                        <w:sz w:val="28"/>
                      </w:rPr>
                      <w:t>up </w:t>
                    </w:r>
                    <w:r>
                      <w:rPr>
                        <w:b/>
                        <w:i/>
                        <w:spacing w:val="14"/>
                        <w:sz w:val="28"/>
                      </w:rPr>
                      <w:t>with </w:t>
                    </w:r>
                    <w:r>
                      <w:rPr>
                        <w:b/>
                        <w:i/>
                        <w:sz w:val="28"/>
                      </w:rPr>
                      <w:t>a </w:t>
                    </w:r>
                    <w:r>
                      <w:rPr>
                        <w:b/>
                        <w:i/>
                        <w:spacing w:val="15"/>
                        <w:sz w:val="28"/>
                      </w:rPr>
                      <w:t>pretty simple </w:t>
                    </w:r>
                    <w:r>
                      <w:rPr>
                        <w:b/>
                        <w:i/>
                        <w:spacing w:val="16"/>
                        <w:sz w:val="28"/>
                      </w:rPr>
                      <w:t>business </w:t>
                    </w:r>
                    <w:r>
                      <w:rPr>
                        <w:b/>
                        <w:i/>
                        <w:spacing w:val="15"/>
                        <w:sz w:val="28"/>
                      </w:rPr>
                      <w:t>plan. </w:t>
                    </w:r>
                    <w:r>
                      <w:rPr>
                        <w:b/>
                        <w:i/>
                        <w:spacing w:val="14"/>
                        <w:sz w:val="28"/>
                      </w:rPr>
                      <w:t>Only </w:t>
                    </w:r>
                    <w:r>
                      <w:rPr>
                        <w:b/>
                        <w:i/>
                        <w:spacing w:val="15"/>
                        <w:sz w:val="28"/>
                      </w:rPr>
                      <w:t>expand </w:t>
                    </w:r>
                    <w:r>
                      <w:rPr>
                        <w:b/>
                        <w:i/>
                        <w:spacing w:val="9"/>
                        <w:sz w:val="28"/>
                      </w:rPr>
                      <w:t>to </w:t>
                    </w:r>
                    <w:r>
                      <w:rPr>
                        <w:b/>
                        <w:i/>
                        <w:spacing w:val="15"/>
                        <w:sz w:val="28"/>
                      </w:rPr>
                      <w:t>cities </w:t>
                    </w:r>
                    <w:r>
                      <w:rPr>
                        <w:b/>
                        <w:i/>
                        <w:spacing w:val="14"/>
                        <w:sz w:val="28"/>
                      </w:rPr>
                      <w:t>that </w:t>
                    </w:r>
                    <w:r>
                      <w:rPr>
                        <w:b/>
                        <w:i/>
                        <w:spacing w:val="17"/>
                        <w:sz w:val="28"/>
                      </w:rPr>
                      <w:t>Southwest </w:t>
                    </w:r>
                    <w:r>
                      <w:rPr>
                        <w:b/>
                        <w:i/>
                        <w:spacing w:val="15"/>
                        <w:sz w:val="28"/>
                      </w:rPr>
                      <w:t>flies </w:t>
                    </w:r>
                    <w:r>
                      <w:rPr>
                        <w:b/>
                        <w:i/>
                        <w:spacing w:val="12"/>
                        <w:sz w:val="28"/>
                      </w:rPr>
                      <w:t>to. </w:t>
                    </w:r>
                    <w:r>
                      <w:rPr>
                        <w:b/>
                        <w:i/>
                        <w:spacing w:val="14"/>
                        <w:sz w:val="28"/>
                      </w:rPr>
                      <w:t>That way, </w:t>
                    </w:r>
                    <w:r>
                      <w:rPr>
                        <w:b/>
                        <w:i/>
                        <w:spacing w:val="17"/>
                        <w:sz w:val="28"/>
                      </w:rPr>
                      <w:t>managers </w:t>
                    </w:r>
                    <w:r>
                      <w:rPr>
                        <w:b/>
                        <w:i/>
                        <w:spacing w:val="19"/>
                        <w:sz w:val="28"/>
                      </w:rPr>
                      <w:t>are </w:t>
                    </w:r>
                    <w:r>
                      <w:rPr>
                        <w:b/>
                        <w:i/>
                        <w:spacing w:val="14"/>
                        <w:sz w:val="28"/>
                      </w:rPr>
                      <w:t>free </w:t>
                    </w:r>
                    <w:r>
                      <w:rPr>
                        <w:b/>
                        <w:i/>
                        <w:spacing w:val="9"/>
                        <w:sz w:val="28"/>
                      </w:rPr>
                      <w:t>to </w:t>
                    </w:r>
                    <w:r>
                      <w:rPr>
                        <w:b/>
                        <w:i/>
                        <w:spacing w:val="12"/>
                        <w:sz w:val="28"/>
                      </w:rPr>
                      <w:t>fly </w:t>
                    </w:r>
                    <w:r>
                      <w:rPr>
                        <w:b/>
                        <w:i/>
                        <w:spacing w:val="14"/>
                        <w:sz w:val="28"/>
                      </w:rPr>
                      <w:t>from </w:t>
                    </w:r>
                    <w:r>
                      <w:rPr>
                        <w:b/>
                        <w:i/>
                        <w:spacing w:val="12"/>
                        <w:sz w:val="28"/>
                      </w:rPr>
                      <w:t>one </w:t>
                    </w:r>
                    <w:r>
                      <w:rPr>
                        <w:b/>
                        <w:i/>
                        <w:spacing w:val="18"/>
                        <w:sz w:val="28"/>
                      </w:rPr>
                      <w:t>restaurant </w:t>
                    </w:r>
                    <w:r>
                      <w:rPr>
                        <w:b/>
                        <w:i/>
                        <w:spacing w:val="9"/>
                        <w:sz w:val="28"/>
                      </w:rPr>
                      <w:t>to </w:t>
                    </w:r>
                    <w:r>
                      <w:rPr>
                        <w:b/>
                        <w:i/>
                        <w:spacing w:val="16"/>
                        <w:sz w:val="28"/>
                      </w:rPr>
                      <w:t>another </w:t>
                    </w:r>
                    <w:r>
                      <w:rPr>
                        <w:b/>
                        <w:i/>
                        <w:spacing w:val="9"/>
                        <w:sz w:val="28"/>
                      </w:rPr>
                      <w:t>at </w:t>
                    </w:r>
                    <w:r>
                      <w:rPr>
                        <w:b/>
                        <w:i/>
                        <w:sz w:val="28"/>
                      </w:rPr>
                      <w:t>a </w:t>
                    </w:r>
                    <w:r>
                      <w:rPr>
                        <w:b/>
                        <w:i/>
                        <w:spacing w:val="17"/>
                        <w:sz w:val="28"/>
                      </w:rPr>
                      <w:t>moment’s </w:t>
                    </w:r>
                    <w:r>
                      <w:rPr>
                        <w:b/>
                        <w:i/>
                        <w:spacing w:val="15"/>
                        <w:sz w:val="28"/>
                      </w:rPr>
                      <w:t>notice. </w:t>
                    </w:r>
                    <w:r>
                      <w:rPr>
                        <w:b/>
                        <w:i/>
                        <w:spacing w:val="12"/>
                        <w:sz w:val="28"/>
                      </w:rPr>
                      <w:t>And </w:t>
                    </w:r>
                    <w:r>
                      <w:rPr>
                        <w:b/>
                        <w:i/>
                        <w:spacing w:val="14"/>
                        <w:sz w:val="28"/>
                      </w:rPr>
                      <w:t>still </w:t>
                    </w:r>
                    <w:r>
                      <w:rPr>
                        <w:b/>
                        <w:i/>
                        <w:spacing w:val="13"/>
                        <w:sz w:val="28"/>
                      </w:rPr>
                      <w:t>have </w:t>
                    </w:r>
                    <w:r>
                      <w:rPr>
                        <w:b/>
                        <w:i/>
                        <w:spacing w:val="12"/>
                        <w:sz w:val="28"/>
                      </w:rPr>
                      <w:t>the </w:t>
                    </w:r>
                    <w:r>
                      <w:rPr>
                        <w:b/>
                        <w:i/>
                        <w:spacing w:val="13"/>
                        <w:sz w:val="28"/>
                      </w:rPr>
                      <w:t>cash </w:t>
                    </w:r>
                    <w:r>
                      <w:rPr>
                        <w:b/>
                        <w:i/>
                        <w:spacing w:val="12"/>
                        <w:sz w:val="28"/>
                      </w:rPr>
                      <w:t>for </w:t>
                    </w:r>
                    <w:r>
                      <w:rPr>
                        <w:b/>
                        <w:i/>
                        <w:sz w:val="28"/>
                      </w:rPr>
                      <w:t>a </w:t>
                    </w:r>
                    <w:r>
                      <w:rPr>
                        <w:b/>
                        <w:i/>
                        <w:spacing w:val="16"/>
                        <w:sz w:val="28"/>
                      </w:rPr>
                      <w:t>round </w:t>
                    </w:r>
                    <w:r>
                      <w:rPr>
                        <w:b/>
                        <w:i/>
                        <w:spacing w:val="9"/>
                        <w:sz w:val="28"/>
                      </w:rPr>
                      <w:t>of </w:t>
                    </w:r>
                    <w:r>
                      <w:rPr>
                        <w:b/>
                        <w:i/>
                        <w:spacing w:val="74"/>
                        <w:sz w:val="28"/>
                      </w:rPr>
                      <w:t> </w:t>
                    </w:r>
                    <w:r>
                      <w:rPr>
                        <w:b/>
                        <w:i/>
                        <w:spacing w:val="19"/>
                        <w:sz w:val="28"/>
                      </w:rPr>
                      <w:t>margaritas.</w:t>
                    </w:r>
                  </w:p>
                </w:txbxContent>
              </v:textbox>
              <w10:wrap type="none"/>
            </v:shape>
          </v:group>
        </w:pict>
      </w:r>
      <w:r>
        <w:rPr>
          <w:rFonts w:ascii="Times New Roman"/>
          <w:sz w:val="20"/>
        </w:rPr>
      </w:r>
    </w:p>
    <w:p>
      <w:pPr>
        <w:spacing w:after="0"/>
        <w:rPr>
          <w:rFonts w:ascii="Times New Roman"/>
          <w:sz w:val="20"/>
        </w:rPr>
        <w:sectPr>
          <w:pgSz w:w="12240" w:h="15840"/>
          <w:pgMar w:header="1448" w:footer="344" w:top="1700" w:bottom="540" w:left="1320" w:right="1320"/>
        </w:sectPr>
      </w:pPr>
    </w:p>
    <w:p>
      <w:pPr>
        <w:pStyle w:val="BodyText"/>
        <w:spacing w:before="8"/>
        <w:rPr>
          <w:rFonts w:ascii="Times New Roman"/>
          <w:sz w:val="22"/>
        </w:rPr>
      </w:pPr>
    </w:p>
    <w:p>
      <w:pPr>
        <w:spacing w:line="235" w:lineRule="auto" w:before="93"/>
        <w:ind w:left="282" w:right="118" w:hanging="183"/>
        <w:jc w:val="both"/>
        <w:rPr>
          <w:sz w:val="32"/>
        </w:rPr>
      </w:pPr>
      <w:r>
        <w:rPr>
          <w:color w:val="808080"/>
          <w:spacing w:val="6"/>
          <w:sz w:val="40"/>
        </w:rPr>
        <w:t>“We </w:t>
      </w:r>
      <w:r>
        <w:rPr>
          <w:color w:val="808080"/>
          <w:sz w:val="40"/>
        </w:rPr>
        <w:t>give America the freedom to fly — </w:t>
      </w:r>
      <w:r>
        <w:rPr>
          <w:color w:val="808080"/>
          <w:sz w:val="32"/>
        </w:rPr>
        <w:t>from the Atlantic Ocean to the Pacific Ocean, and from the Canadian border to  the border of </w:t>
      </w:r>
      <w:r>
        <w:rPr>
          <w:color w:val="808080"/>
          <w:spacing w:val="-3"/>
          <w:sz w:val="32"/>
        </w:rPr>
        <w:t>Mexico. </w:t>
      </w:r>
      <w:r>
        <w:rPr>
          <w:color w:val="808080"/>
          <w:sz w:val="32"/>
        </w:rPr>
        <w:t>To all our Customers, </w:t>
      </w:r>
      <w:r>
        <w:rPr>
          <w:color w:val="808080"/>
          <w:spacing w:val="-5"/>
          <w:sz w:val="32"/>
        </w:rPr>
        <w:t>we </w:t>
      </w:r>
      <w:r>
        <w:rPr>
          <w:color w:val="808080"/>
          <w:sz w:val="32"/>
        </w:rPr>
        <w:t>are proud to say, </w:t>
      </w:r>
      <w:r>
        <w:rPr>
          <w:color w:val="808080"/>
          <w:spacing w:val="-3"/>
          <w:sz w:val="32"/>
        </w:rPr>
        <w:t>‘You </w:t>
      </w:r>
      <w:r>
        <w:rPr>
          <w:color w:val="808080"/>
          <w:sz w:val="32"/>
        </w:rPr>
        <w:t>are now free to </w:t>
      </w:r>
      <w:r>
        <w:rPr>
          <w:color w:val="808080"/>
          <w:spacing w:val="-3"/>
          <w:sz w:val="32"/>
        </w:rPr>
        <w:t>move </w:t>
      </w:r>
      <w:r>
        <w:rPr>
          <w:color w:val="808080"/>
          <w:sz w:val="32"/>
        </w:rPr>
        <w:t>about the</w:t>
      </w:r>
      <w:r>
        <w:rPr>
          <w:color w:val="808080"/>
          <w:spacing w:val="53"/>
          <w:sz w:val="32"/>
        </w:rPr>
        <w:t> </w:t>
      </w:r>
      <w:r>
        <w:rPr>
          <w:color w:val="808080"/>
          <w:sz w:val="32"/>
        </w:rPr>
        <w:t>country.’”</w:t>
      </w:r>
    </w:p>
    <w:p>
      <w:pPr>
        <w:pStyle w:val="BodyText"/>
        <w:spacing w:before="4"/>
        <w:rPr>
          <w:sz w:val="28"/>
        </w:rPr>
      </w:pPr>
      <w:r>
        <w:rPr/>
        <w:drawing>
          <wp:anchor distT="0" distB="0" distL="0" distR="0" allowOverlap="1" layoutInCell="1" locked="0" behindDoc="0" simplePos="0" relativeHeight="5944">
            <wp:simplePos x="0" y="0"/>
            <wp:positionH relativeFrom="page">
              <wp:posOffset>1072896</wp:posOffset>
            </wp:positionH>
            <wp:positionV relativeFrom="paragraph">
              <wp:posOffset>231948</wp:posOffset>
            </wp:positionV>
            <wp:extent cx="5619661" cy="32956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5619661" cy="3295650"/>
                    </a:xfrm>
                    <a:prstGeom prst="rect">
                      <a:avLst/>
                    </a:prstGeom>
                  </pic:spPr>
                </pic:pic>
              </a:graphicData>
            </a:graphic>
          </wp:anchor>
        </w:drawing>
      </w:r>
    </w:p>
    <w:p>
      <w:pPr>
        <w:pStyle w:val="BodyText"/>
        <w:rPr>
          <w:sz w:val="36"/>
        </w:rPr>
      </w:pPr>
    </w:p>
    <w:p>
      <w:pPr>
        <w:spacing w:before="281"/>
        <w:ind w:left="100" w:right="0" w:firstLine="0"/>
        <w:jc w:val="left"/>
        <w:rPr>
          <w:b/>
          <w:sz w:val="24"/>
        </w:rPr>
      </w:pPr>
      <w:r>
        <w:rPr>
          <w:b/>
          <w:color w:val="000080"/>
          <w:sz w:val="24"/>
        </w:rPr>
        <w:t>California 22%</w:t>
      </w:r>
    </w:p>
    <w:p>
      <w:pPr>
        <w:spacing w:before="7"/>
        <w:ind w:left="100" w:right="0" w:firstLine="0"/>
        <w:jc w:val="left"/>
        <w:rPr>
          <w:b/>
          <w:sz w:val="24"/>
        </w:rPr>
      </w:pPr>
      <w:r>
        <w:rPr>
          <w:b/>
          <w:color w:val="000080"/>
          <w:sz w:val="24"/>
        </w:rPr>
        <w:t>Remaining West 27%</w:t>
      </w:r>
    </w:p>
    <w:p>
      <w:pPr>
        <w:spacing w:before="7"/>
        <w:ind w:left="100" w:right="0" w:firstLine="0"/>
        <w:jc w:val="left"/>
        <w:rPr>
          <w:b/>
          <w:sz w:val="24"/>
        </w:rPr>
      </w:pPr>
      <w:r>
        <w:rPr>
          <w:b/>
          <w:color w:val="000080"/>
          <w:sz w:val="24"/>
        </w:rPr>
        <w:t>East 19%</w:t>
      </w:r>
    </w:p>
    <w:p>
      <w:pPr>
        <w:tabs>
          <w:tab w:pos="6248" w:val="left" w:leader="none"/>
        </w:tabs>
        <w:spacing w:before="7"/>
        <w:ind w:left="100" w:right="0" w:firstLine="0"/>
        <w:jc w:val="left"/>
        <w:rPr>
          <w:b/>
          <w:sz w:val="24"/>
        </w:rPr>
      </w:pPr>
      <w:r>
        <w:rPr>
          <w:b/>
          <w:color w:val="000080"/>
          <w:sz w:val="24"/>
        </w:rPr>
        <w:t>Heartland</w:t>
      </w:r>
      <w:r>
        <w:rPr>
          <w:b/>
          <w:color w:val="000080"/>
          <w:spacing w:val="1"/>
          <w:sz w:val="24"/>
        </w:rPr>
        <w:t> </w:t>
      </w:r>
      <w:r>
        <w:rPr>
          <w:b/>
          <w:color w:val="000080"/>
          <w:sz w:val="24"/>
        </w:rPr>
        <w:t>16%</w:t>
        <w:tab/>
        <w:t>Southwest</w:t>
      </w:r>
      <w:r>
        <w:rPr>
          <w:b/>
          <w:color w:val="000080"/>
          <w:spacing w:val="-11"/>
          <w:sz w:val="24"/>
        </w:rPr>
        <w:t> </w:t>
      </w:r>
      <w:r>
        <w:rPr>
          <w:b/>
          <w:color w:val="000080"/>
          <w:sz w:val="24"/>
        </w:rPr>
        <w:t>63%</w:t>
      </w:r>
    </w:p>
    <w:p>
      <w:pPr>
        <w:tabs>
          <w:tab w:pos="6248" w:val="left" w:leader="none"/>
        </w:tabs>
        <w:spacing w:before="7"/>
        <w:ind w:left="100" w:right="0" w:firstLine="0"/>
        <w:jc w:val="left"/>
        <w:rPr>
          <w:b/>
          <w:sz w:val="24"/>
        </w:rPr>
      </w:pPr>
      <w:r>
        <w:rPr>
          <w:b/>
          <w:color w:val="000080"/>
          <w:sz w:val="24"/>
        </w:rPr>
        <w:t>Midwest</w:t>
      </w:r>
      <w:r>
        <w:rPr>
          <w:b/>
          <w:color w:val="000080"/>
          <w:spacing w:val="1"/>
          <w:sz w:val="24"/>
        </w:rPr>
        <w:t> </w:t>
      </w:r>
      <w:r>
        <w:rPr>
          <w:b/>
          <w:color w:val="000080"/>
          <w:sz w:val="24"/>
        </w:rPr>
        <w:t>16%</w:t>
        <w:tab/>
        <w:t>Other Carriers</w:t>
      </w:r>
      <w:r>
        <w:rPr>
          <w:b/>
          <w:color w:val="000080"/>
          <w:spacing w:val="-20"/>
          <w:sz w:val="24"/>
        </w:rPr>
        <w:t> </w:t>
      </w:r>
      <w:r>
        <w:rPr>
          <w:b/>
          <w:color w:val="000080"/>
          <w:sz w:val="24"/>
        </w:rPr>
        <w:t>37%</w:t>
      </w:r>
    </w:p>
    <w:p>
      <w:pPr>
        <w:tabs>
          <w:tab w:pos="5855" w:val="left" w:leader="none"/>
        </w:tabs>
        <w:spacing w:before="84"/>
        <w:ind w:left="100" w:right="0" w:firstLine="0"/>
        <w:jc w:val="left"/>
        <w:rPr>
          <w:b/>
          <w:sz w:val="24"/>
        </w:rPr>
      </w:pPr>
      <w:r>
        <w:rPr>
          <w:b/>
          <w:color w:val="000080"/>
          <w:sz w:val="24"/>
        </w:rPr>
        <w:t>Southwest’s Capacity</w:t>
      </w:r>
      <w:r>
        <w:rPr>
          <w:b/>
          <w:color w:val="000080"/>
          <w:spacing w:val="3"/>
          <w:sz w:val="24"/>
        </w:rPr>
        <w:t> </w:t>
      </w:r>
      <w:r>
        <w:rPr>
          <w:b/>
          <w:color w:val="000080"/>
          <w:sz w:val="24"/>
        </w:rPr>
        <w:t>By</w:t>
      </w:r>
      <w:r>
        <w:rPr>
          <w:b/>
          <w:color w:val="000080"/>
          <w:spacing w:val="-3"/>
          <w:sz w:val="24"/>
        </w:rPr>
        <w:t> </w:t>
      </w:r>
      <w:r>
        <w:rPr>
          <w:b/>
          <w:color w:val="000080"/>
          <w:sz w:val="24"/>
        </w:rPr>
        <w:t>Region</w:t>
        <w:tab/>
        <w:t>Southwest’s Market</w:t>
      </w:r>
      <w:r>
        <w:rPr>
          <w:b/>
          <w:color w:val="000080"/>
          <w:spacing w:val="-7"/>
          <w:sz w:val="24"/>
        </w:rPr>
        <w:t> </w:t>
      </w:r>
      <w:r>
        <w:rPr>
          <w:b/>
          <w:color w:val="000080"/>
          <w:sz w:val="24"/>
        </w:rPr>
        <w:t>Share</w:t>
      </w:r>
    </w:p>
    <w:p>
      <w:pPr>
        <w:spacing w:before="1"/>
        <w:ind w:left="5860" w:right="0" w:firstLine="0"/>
        <w:jc w:val="left"/>
        <w:rPr>
          <w:b/>
          <w:i/>
          <w:sz w:val="18"/>
        </w:rPr>
      </w:pPr>
      <w:r>
        <w:rPr>
          <w:b/>
          <w:i/>
          <w:color w:val="000080"/>
          <w:sz w:val="18"/>
        </w:rPr>
        <w:t>(Southwest’s top 100 city-pair markets)</w:t>
      </w:r>
    </w:p>
    <w:p>
      <w:pPr>
        <w:spacing w:after="0"/>
        <w:jc w:val="left"/>
        <w:rPr>
          <w:sz w:val="18"/>
        </w:rPr>
        <w:sectPr>
          <w:pgSz w:w="12240" w:h="15840"/>
          <w:pgMar w:header="1448" w:footer="344" w:top="1700" w:bottom="540" w:left="1340" w:right="1320"/>
        </w:sectPr>
      </w:pPr>
    </w:p>
    <w:p>
      <w:pPr>
        <w:pStyle w:val="BodyText"/>
        <w:spacing w:before="8"/>
        <w:rPr>
          <w:b/>
          <w:i/>
          <w:sz w:val="23"/>
        </w:rPr>
      </w:pPr>
    </w:p>
    <w:p>
      <w:pPr>
        <w:pStyle w:val="Heading1"/>
        <w:spacing w:before="91"/>
        <w:ind w:left="3017" w:right="3038"/>
        <w:jc w:val="center"/>
      </w:pPr>
      <w:r>
        <w:rPr>
          <w:color w:val="000080"/>
        </w:rPr>
        <w:t>Southwest Airlines Co.</w:t>
      </w:r>
    </w:p>
    <w:p>
      <w:pPr>
        <w:spacing w:line="244" w:lineRule="auto" w:before="5"/>
        <w:ind w:left="3006" w:right="3038" w:firstLine="0"/>
        <w:jc w:val="center"/>
        <w:rPr>
          <w:b/>
          <w:sz w:val="32"/>
        </w:rPr>
      </w:pPr>
      <w:r>
        <w:rPr>
          <w:b/>
          <w:color w:val="000080"/>
          <w:sz w:val="32"/>
        </w:rPr>
        <w:t>1998 Annual Report </w:t>
      </w:r>
      <w:r>
        <w:rPr>
          <w:b/>
          <w:color w:val="808080"/>
          <w:sz w:val="32"/>
        </w:rPr>
        <w:t>Financial Review</w:t>
      </w:r>
    </w:p>
    <w:p>
      <w:pPr>
        <w:pStyle w:val="BodyText"/>
        <w:spacing w:before="9"/>
        <w:rPr>
          <w:b/>
          <w:sz w:val="31"/>
        </w:rPr>
      </w:pPr>
    </w:p>
    <w:p>
      <w:pPr>
        <w:spacing w:line="249" w:lineRule="auto" w:before="0"/>
        <w:ind w:left="100" w:right="0" w:firstLine="0"/>
        <w:jc w:val="left"/>
        <w:rPr>
          <w:sz w:val="20"/>
        </w:rPr>
      </w:pPr>
      <w:r>
        <w:rPr>
          <w:color w:val="808080"/>
          <w:sz w:val="20"/>
        </w:rPr>
        <w:t>MANAGEMENT’S DISCUSSION AND ANALYSIS OF FINANCIAL CONDITION AND RESULTS OF OPERATIONS</w:t>
      </w:r>
    </w:p>
    <w:p>
      <w:pPr>
        <w:pStyle w:val="BodyText"/>
        <w:rPr>
          <w:sz w:val="22"/>
        </w:rPr>
      </w:pPr>
    </w:p>
    <w:p>
      <w:pPr>
        <w:pStyle w:val="Heading4"/>
        <w:spacing w:before="181"/>
      </w:pPr>
      <w:r>
        <w:rPr>
          <w:color w:val="000080"/>
        </w:rPr>
        <w:t>YEAR IN REVIEW</w:t>
      </w:r>
    </w:p>
    <w:p>
      <w:pPr>
        <w:pStyle w:val="BodyText"/>
        <w:spacing w:line="312" w:lineRule="auto" w:before="89"/>
        <w:ind w:left="100" w:right="115" w:firstLine="182"/>
        <w:jc w:val="both"/>
      </w:pPr>
      <w:r>
        <w:rPr/>
        <w:t>In 1998, Southwest posted a </w:t>
      </w:r>
      <w:r>
        <w:rPr>
          <w:spacing w:val="2"/>
        </w:rPr>
        <w:t>record </w:t>
      </w:r>
      <w:r>
        <w:rPr/>
        <w:t>annual profit for the seventh consecutive year  and a profit for the 26th consecutive year. </w:t>
      </w:r>
      <w:r>
        <w:rPr>
          <w:spacing w:val="2"/>
        </w:rPr>
        <w:t>The </w:t>
      </w:r>
      <w:r>
        <w:rPr/>
        <w:t>Company also posted </w:t>
      </w:r>
      <w:r>
        <w:rPr>
          <w:spacing w:val="2"/>
        </w:rPr>
        <w:t>record </w:t>
      </w:r>
      <w:r>
        <w:rPr/>
        <w:t>operating </w:t>
      </w:r>
      <w:r>
        <w:rPr>
          <w:spacing w:val="2"/>
        </w:rPr>
        <w:t>revenues; record </w:t>
      </w:r>
      <w:r>
        <w:rPr/>
        <w:t>operating income; the highest net profit margin since 1981 of 10.4 percent; and the highest operating profit margin since 1981 of 16.4 percent. </w:t>
      </w:r>
      <w:r>
        <w:rPr>
          <w:spacing w:val="2"/>
        </w:rPr>
        <w:t>The </w:t>
      </w:r>
      <w:r>
        <w:rPr/>
        <w:t>Company experienced strong </w:t>
      </w:r>
      <w:r>
        <w:rPr>
          <w:spacing w:val="2"/>
        </w:rPr>
        <w:t>revenue </w:t>
      </w:r>
      <w:r>
        <w:rPr/>
        <w:t>growth, low unit costs, and continued strong demand for our</w:t>
      </w:r>
      <w:r>
        <w:rPr>
          <w:spacing w:val="-5"/>
        </w:rPr>
        <w:t> </w:t>
      </w:r>
      <w:r>
        <w:rPr/>
        <w:t>product.</w:t>
      </w:r>
    </w:p>
    <w:p>
      <w:pPr>
        <w:pStyle w:val="BodyText"/>
        <w:spacing w:before="7"/>
        <w:rPr>
          <w:sz w:val="31"/>
        </w:rPr>
      </w:pPr>
    </w:p>
    <w:p>
      <w:pPr>
        <w:pStyle w:val="BodyText"/>
        <w:spacing w:line="312" w:lineRule="auto"/>
        <w:ind w:left="100" w:right="117" w:firstLine="182"/>
        <w:jc w:val="both"/>
      </w:pPr>
      <w:r>
        <w:rPr/>
        <w:t>At the end of 1998, Southwest served 52 cities in 26 states. </w:t>
      </w:r>
      <w:r>
        <w:rPr>
          <w:spacing w:val="6"/>
        </w:rPr>
        <w:t>We </w:t>
      </w:r>
      <w:r>
        <w:rPr/>
        <w:t>added service to Manchester, New Hampshire, in June 1998 and have been very pleased with the  results. </w:t>
      </w:r>
      <w:r>
        <w:rPr>
          <w:spacing w:val="6"/>
        </w:rPr>
        <w:t>We </w:t>
      </w:r>
      <w:r>
        <w:rPr/>
        <w:t>have plans to add new service to Islip, New </w:t>
      </w:r>
      <w:r>
        <w:rPr>
          <w:spacing w:val="-4"/>
        </w:rPr>
        <w:t>York, </w:t>
      </w:r>
      <w:r>
        <w:rPr/>
        <w:t>on Long Island in March 1999 and will begin serving at least one other new city in 1999. </w:t>
      </w:r>
      <w:r>
        <w:rPr>
          <w:spacing w:val="4"/>
        </w:rPr>
        <w:t>With </w:t>
      </w:r>
      <w:r>
        <w:rPr/>
        <w:t>the net addition of at least 28 </w:t>
      </w:r>
      <w:r>
        <w:rPr>
          <w:spacing w:val="2"/>
        </w:rPr>
        <w:t>aircraft </w:t>
      </w:r>
      <w:r>
        <w:rPr/>
        <w:t>in 1999 (32 new Boeing 737-700s, two used </w:t>
      </w:r>
      <w:r>
        <w:rPr>
          <w:spacing w:val="2"/>
        </w:rPr>
        <w:t>-300s, </w:t>
      </w:r>
      <w:r>
        <w:rPr/>
        <w:t>and the retirement of six older </w:t>
      </w:r>
      <w:r>
        <w:rPr>
          <w:spacing w:val="2"/>
        </w:rPr>
        <w:t>-200s), </w:t>
      </w:r>
      <w:r>
        <w:rPr>
          <w:spacing w:val="-3"/>
        </w:rPr>
        <w:t>we </w:t>
      </w:r>
      <w:r>
        <w:rPr/>
        <w:t>will also continue to add additional flights to cities </w:t>
      </w:r>
      <w:r>
        <w:rPr>
          <w:spacing w:val="-3"/>
        </w:rPr>
        <w:t>we </w:t>
      </w:r>
      <w:r>
        <w:rPr>
          <w:spacing w:val="2"/>
        </w:rPr>
        <w:t>already </w:t>
      </w:r>
      <w:r>
        <w:rPr/>
        <w:t>serve. </w:t>
      </w:r>
      <w:r>
        <w:rPr>
          <w:spacing w:val="6"/>
        </w:rPr>
        <w:t>We </w:t>
      </w:r>
      <w:r>
        <w:rPr/>
        <w:t>are actively pursuing the acquisition of additional used 737-300s  that would add to our 1999 expansion</w:t>
      </w:r>
      <w:r>
        <w:rPr>
          <w:spacing w:val="3"/>
        </w:rPr>
        <w:t> </w:t>
      </w:r>
      <w:r>
        <w:rPr/>
        <w:t>efforts.</w:t>
      </w:r>
    </w:p>
    <w:p>
      <w:pPr>
        <w:pStyle w:val="BodyText"/>
        <w:spacing w:before="6"/>
        <w:rPr>
          <w:sz w:val="31"/>
        </w:rPr>
      </w:pPr>
    </w:p>
    <w:p>
      <w:pPr>
        <w:pStyle w:val="BodyText"/>
        <w:spacing w:line="312" w:lineRule="auto" w:before="1"/>
        <w:ind w:left="100" w:right="119" w:firstLine="182"/>
        <w:jc w:val="both"/>
      </w:pPr>
      <w:r>
        <w:rPr/>
        <w:t>During 1998, Boeing experienced production delays related to the 737 production   line. </w:t>
      </w:r>
      <w:r>
        <w:rPr>
          <w:spacing w:val="3"/>
        </w:rPr>
        <w:t>These </w:t>
      </w:r>
      <w:r>
        <w:rPr/>
        <w:t>production delays, for the most part, have been remedied by Boeing and </w:t>
      </w:r>
      <w:r>
        <w:rPr>
          <w:spacing w:val="-3"/>
        </w:rPr>
        <w:t>we </w:t>
      </w:r>
      <w:r>
        <w:rPr/>
        <w:t>currently do not anticipate any significant delays in</w:t>
      </w:r>
      <w:r>
        <w:rPr>
          <w:spacing w:val="41"/>
        </w:rPr>
        <w:t> </w:t>
      </w:r>
      <w:r>
        <w:rPr/>
        <w:t>1999.</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19" w:right="116" w:firstLine="182"/>
        <w:jc w:val="both"/>
      </w:pPr>
      <w:r>
        <w:rPr/>
        <w:t>Also during 1998, the Company’s Customer Service and Reservations Sales Agents, </w:t>
      </w:r>
      <w:r>
        <w:rPr>
          <w:spacing w:val="2"/>
        </w:rPr>
        <w:t>represented </w:t>
      </w:r>
      <w:r>
        <w:rPr/>
        <w:t>by the International Association of Machinists and </w:t>
      </w:r>
      <w:r>
        <w:rPr>
          <w:spacing w:val="-4"/>
        </w:rPr>
        <w:t>Aerospace </w:t>
      </w:r>
      <w:r>
        <w:rPr/>
        <w:t>Workers, </w:t>
      </w:r>
      <w:r>
        <w:rPr>
          <w:spacing w:val="-4"/>
        </w:rPr>
        <w:t>AFL-CIO, </w:t>
      </w:r>
      <w:r>
        <w:rPr/>
        <w:t>and </w:t>
      </w:r>
      <w:r>
        <w:rPr>
          <w:spacing w:val="3"/>
        </w:rPr>
        <w:t>Flight </w:t>
      </w:r>
      <w:r>
        <w:rPr/>
        <w:t>Dispatchers, </w:t>
      </w:r>
      <w:r>
        <w:rPr>
          <w:spacing w:val="2"/>
        </w:rPr>
        <w:t>represented </w:t>
      </w:r>
      <w:r>
        <w:rPr/>
        <w:t>by the Southwest Airlines Employees Association, ratified collective bargaining agreements which will run through the years 2002 and 2009, respectively. In addition, in September 1998, the Company’s pilots voted to continue their ten-year agreement with the Company which next becomes amendable in</w:t>
      </w:r>
      <w:r>
        <w:rPr>
          <w:spacing w:val="1"/>
        </w:rPr>
        <w:t> </w:t>
      </w:r>
      <w:r>
        <w:rPr/>
        <w:t>2004.</w:t>
      </w:r>
    </w:p>
    <w:p>
      <w:pPr>
        <w:pStyle w:val="BodyText"/>
        <w:spacing w:before="2"/>
        <w:rPr>
          <w:sz w:val="31"/>
        </w:rPr>
      </w:pPr>
    </w:p>
    <w:p>
      <w:pPr>
        <w:pStyle w:val="Heading4"/>
        <w:ind w:left="119"/>
        <w:jc w:val="both"/>
      </w:pPr>
      <w:r>
        <w:rPr>
          <w:color w:val="000080"/>
        </w:rPr>
        <w:t>RESULTS OF OPERATIONS</w:t>
      </w:r>
    </w:p>
    <w:p>
      <w:pPr>
        <w:spacing w:before="83"/>
        <w:ind w:left="302" w:right="0" w:firstLine="0"/>
        <w:jc w:val="left"/>
        <w:rPr>
          <w:sz w:val="24"/>
        </w:rPr>
      </w:pPr>
      <w:r>
        <w:rPr>
          <w:b/>
          <w:color w:val="808080"/>
          <w:sz w:val="24"/>
        </w:rPr>
        <w:t>1998 COMPARED WITH 1997 </w:t>
      </w:r>
      <w:r>
        <w:rPr>
          <w:sz w:val="24"/>
        </w:rPr>
        <w:t>The Company’s consolidated net income for 1998 was</w:t>
      </w:r>
    </w:p>
    <w:p>
      <w:pPr>
        <w:pStyle w:val="BodyText"/>
        <w:spacing w:line="312" w:lineRule="auto" w:before="88"/>
        <w:ind w:left="119" w:right="115"/>
        <w:jc w:val="both"/>
      </w:pPr>
      <w:r>
        <w:rPr/>
        <w:t>$433.4 million </w:t>
      </w:r>
      <w:r>
        <w:rPr>
          <w:spacing w:val="2"/>
        </w:rPr>
        <w:t>($1.23 </w:t>
      </w:r>
      <w:r>
        <w:rPr/>
        <w:t>per share, diluted), as compared to the corresponding 1997 amount of $317.8 million </w:t>
      </w:r>
      <w:r>
        <w:rPr>
          <w:spacing w:val="2"/>
        </w:rPr>
        <w:t>($.93 </w:t>
      </w:r>
      <w:r>
        <w:rPr/>
        <w:t>per share, diluted), an increase of 36.4 percent. </w:t>
      </w:r>
      <w:r>
        <w:rPr>
          <w:spacing w:val="2"/>
        </w:rPr>
        <w:t>The</w:t>
      </w:r>
      <w:r>
        <w:rPr>
          <w:spacing w:val="70"/>
        </w:rPr>
        <w:t> </w:t>
      </w:r>
      <w:r>
        <w:rPr/>
        <w:t>prior years’ earnings per share amounts have been </w:t>
      </w:r>
      <w:r>
        <w:rPr>
          <w:spacing w:val="2"/>
        </w:rPr>
        <w:t>restated </w:t>
      </w:r>
      <w:r>
        <w:rPr/>
        <w:t>for the 1998 three-for-two stock split </w:t>
      </w:r>
      <w:r>
        <w:rPr>
          <w:spacing w:val="2"/>
        </w:rPr>
        <w:t>(see </w:t>
      </w:r>
      <w:r>
        <w:rPr/>
        <w:t>Note 7 to the Consolidated </w:t>
      </w:r>
      <w:r>
        <w:rPr>
          <w:spacing w:val="3"/>
        </w:rPr>
        <w:t>Financial</w:t>
      </w:r>
      <w:r>
        <w:rPr>
          <w:spacing w:val="-5"/>
        </w:rPr>
        <w:t> </w:t>
      </w:r>
      <w:r>
        <w:rPr/>
        <w:t>Statements).</w:t>
      </w:r>
    </w:p>
    <w:p>
      <w:pPr>
        <w:pStyle w:val="BodyText"/>
        <w:spacing w:before="6"/>
        <w:rPr>
          <w:sz w:val="31"/>
        </w:rPr>
      </w:pPr>
    </w:p>
    <w:p>
      <w:pPr>
        <w:pStyle w:val="BodyText"/>
        <w:spacing w:line="312" w:lineRule="auto" w:before="1"/>
        <w:ind w:left="119" w:right="110" w:firstLine="182"/>
        <w:jc w:val="both"/>
      </w:pPr>
      <w:r>
        <w:rPr>
          <w:i/>
          <w:color w:val="000080"/>
        </w:rPr>
        <w:t>OPERATING REVENUES </w:t>
      </w:r>
      <w:r>
        <w:rPr/>
        <w:t>Consolidated operating </w:t>
      </w:r>
      <w:r>
        <w:rPr>
          <w:spacing w:val="2"/>
        </w:rPr>
        <w:t>revenues </w:t>
      </w:r>
      <w:r>
        <w:rPr/>
        <w:t>increased by 9.1 percent in 1998 to $4,164.0 million, compared to $3,816.8 million for  1997. </w:t>
      </w:r>
      <w:r>
        <w:rPr>
          <w:spacing w:val="3"/>
        </w:rPr>
        <w:t>This </w:t>
      </w:r>
      <w:r>
        <w:rPr/>
        <w:t>increase in 1998 operating </w:t>
      </w:r>
      <w:r>
        <w:rPr>
          <w:spacing w:val="2"/>
        </w:rPr>
        <w:t>revenues </w:t>
      </w:r>
      <w:r>
        <w:rPr/>
        <w:t>was derived primarily from an 8.9 percent increase in passenger </w:t>
      </w:r>
      <w:r>
        <w:rPr>
          <w:spacing w:val="2"/>
        </w:rPr>
        <w:t>revenues </w:t>
      </w:r>
      <w:r>
        <w:rPr/>
        <w:t>as a result of a 10.8 percent increase in </w:t>
      </w:r>
      <w:r>
        <w:rPr>
          <w:spacing w:val="2"/>
        </w:rPr>
        <w:t>revenue </w:t>
      </w:r>
      <w:r>
        <w:rPr/>
        <w:t>passenger miles (RPMs) offset by a 1.7 percent decrease in passenger </w:t>
      </w:r>
      <w:r>
        <w:rPr>
          <w:spacing w:val="2"/>
        </w:rPr>
        <w:t>revenue </w:t>
      </w:r>
      <w:r>
        <w:rPr/>
        <w:t>yield per RPM. </w:t>
      </w:r>
      <w:r>
        <w:rPr>
          <w:spacing w:val="4"/>
        </w:rPr>
        <w:t>While </w:t>
      </w:r>
      <w:r>
        <w:rPr/>
        <w:t>Southwest’s passenger </w:t>
      </w:r>
      <w:r>
        <w:rPr>
          <w:spacing w:val="2"/>
        </w:rPr>
        <w:t>revenues </w:t>
      </w:r>
      <w:r>
        <w:rPr/>
        <w:t>increased 8.9 percent in 1998, the RPM yield decline resulted from the higher load factors, a 6.0 percent increase in passenger trip lengths, and higher federal excise taxes on domestic tickets. Assuming load factors and passenger trip lengths continue to be above year-ago levels, RPM yields will continue this trend. </w:t>
      </w:r>
      <w:r>
        <w:rPr>
          <w:spacing w:val="2"/>
        </w:rPr>
        <w:t>(The </w:t>
      </w:r>
      <w:r>
        <w:rPr/>
        <w:t>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competitive </w:t>
      </w:r>
      <w:r>
        <w:rPr>
          <w:spacing w:val="2"/>
        </w:rPr>
        <w:t>responses </w:t>
      </w:r>
      <w:r>
        <w:rPr/>
        <w:t>from other air carriers and general economic</w:t>
      </w:r>
      <w:r>
        <w:rPr>
          <w:spacing w:val="4"/>
        </w:rPr>
        <w:t> </w:t>
      </w:r>
      <w:r>
        <w:rPr/>
        <w:t>conditions.)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2"/>
        <w:jc w:val="both"/>
      </w:pPr>
      <w:r>
        <w:rPr>
          <w:spacing w:val="2"/>
        </w:rPr>
        <w:t>The </w:t>
      </w:r>
      <w:r>
        <w:rPr/>
        <w:t>10.8 percent increase in RPMs in 1998 exceeded the 6.9 percent increase in available seat miles (ASMs), resulting in an increase in load factor from 63.7 percent in 1997 to 66.1 percent in 1998. </w:t>
      </w:r>
      <w:r>
        <w:rPr>
          <w:spacing w:val="2"/>
        </w:rPr>
        <w:t>The </w:t>
      </w:r>
      <w:r>
        <w:rPr/>
        <w:t>1998 </w:t>
      </w:r>
      <w:r>
        <w:rPr>
          <w:spacing w:val="-3"/>
        </w:rPr>
        <w:t>ASM </w:t>
      </w:r>
      <w:r>
        <w:rPr/>
        <w:t>growth resulted from the net addition of  19 </w:t>
      </w:r>
      <w:r>
        <w:rPr>
          <w:spacing w:val="2"/>
        </w:rPr>
        <w:t>aircraft </w:t>
      </w:r>
      <w:r>
        <w:rPr/>
        <w:t>during the year. </w:t>
      </w:r>
      <w:r>
        <w:rPr>
          <w:spacing w:val="2"/>
        </w:rPr>
        <w:t>The </w:t>
      </w:r>
      <w:r>
        <w:rPr/>
        <w:t>load factor was 59.2 percent in January 1999, up 5.2 points from January</w:t>
      </w:r>
      <w:r>
        <w:rPr>
          <w:spacing w:val="3"/>
        </w:rPr>
        <w:t> </w:t>
      </w:r>
      <w:r>
        <w:rPr/>
        <w:t>1998.</w:t>
      </w:r>
    </w:p>
    <w:p>
      <w:pPr>
        <w:pStyle w:val="BodyText"/>
        <w:spacing w:before="7"/>
        <w:rPr>
          <w:sz w:val="31"/>
        </w:rPr>
      </w:pPr>
    </w:p>
    <w:p>
      <w:pPr>
        <w:pStyle w:val="BodyText"/>
        <w:ind w:left="302"/>
      </w:pPr>
      <w:r>
        <w:rPr/>
        <w:t>Freight revenues in 1998 were $98.5 million, compared to $94.8 million in 1997.   The</w:t>
      </w:r>
    </w:p>
    <w:p>
      <w:pPr>
        <w:pStyle w:val="BodyText"/>
        <w:spacing w:line="312" w:lineRule="auto" w:before="83"/>
        <w:ind w:left="119" w:right="110"/>
        <w:jc w:val="both"/>
      </w:pPr>
      <w:r>
        <w:rPr/>
        <w:t>3.9 percent increase in freight </w:t>
      </w:r>
      <w:r>
        <w:rPr>
          <w:spacing w:val="2"/>
        </w:rPr>
        <w:t>revenues </w:t>
      </w:r>
      <w:r>
        <w:rPr/>
        <w:t>fell short of the 6.9 percent increase in ASMs for the same period. United </w:t>
      </w:r>
      <w:r>
        <w:rPr>
          <w:spacing w:val="-4"/>
        </w:rPr>
        <w:t>States </w:t>
      </w:r>
      <w:r>
        <w:rPr/>
        <w:t>mail </w:t>
      </w:r>
      <w:r>
        <w:rPr>
          <w:spacing w:val="2"/>
        </w:rPr>
        <w:t>revenue </w:t>
      </w:r>
      <w:r>
        <w:rPr/>
        <w:t>declined 2.5 percent in 1998 and 9.4 percent for fourth quarter 1998 as the postal service continues to shift away from commercial carriers. </w:t>
      </w:r>
      <w:r>
        <w:rPr>
          <w:spacing w:val="3"/>
        </w:rPr>
        <w:t>This </w:t>
      </w:r>
      <w:r>
        <w:rPr/>
        <w:t>trend is expected to continue in 1999. Other air freight </w:t>
      </w:r>
      <w:r>
        <w:rPr>
          <w:spacing w:val="2"/>
        </w:rPr>
        <w:t>revenues </w:t>
      </w:r>
      <w:r>
        <w:rPr/>
        <w:t>increased 8.5 percent in 1998 due to increased</w:t>
      </w:r>
      <w:r>
        <w:rPr>
          <w:spacing w:val="8"/>
        </w:rPr>
        <w:t> </w:t>
      </w:r>
      <w:r>
        <w:rPr/>
        <w:t>capacity.</w:t>
      </w:r>
    </w:p>
    <w:p>
      <w:pPr>
        <w:pStyle w:val="BodyText"/>
        <w:spacing w:before="6"/>
        <w:rPr>
          <w:sz w:val="31"/>
        </w:rPr>
      </w:pPr>
    </w:p>
    <w:p>
      <w:pPr>
        <w:pStyle w:val="BodyText"/>
        <w:ind w:left="302"/>
      </w:pPr>
      <w:r>
        <w:rPr/>
        <w:t>Other revenues increased by 22.7 percent in 1998 to $101.7 million, compared to</w:t>
      </w:r>
    </w:p>
    <w:p>
      <w:pPr>
        <w:pStyle w:val="BodyText"/>
        <w:spacing w:line="312" w:lineRule="auto" w:before="83"/>
        <w:ind w:left="119" w:right="118"/>
        <w:jc w:val="both"/>
      </w:pPr>
      <w:r>
        <w:rPr/>
        <w:t>$82.9 million in 1997. </w:t>
      </w:r>
      <w:r>
        <w:rPr>
          <w:spacing w:val="3"/>
        </w:rPr>
        <w:t>This </w:t>
      </w:r>
      <w:r>
        <w:rPr/>
        <w:t>increase is primarily due to increased </w:t>
      </w:r>
      <w:r>
        <w:rPr>
          <w:spacing w:val="2"/>
        </w:rPr>
        <w:t>revenues </w:t>
      </w:r>
      <w:r>
        <w:rPr/>
        <w:t>from the  sale of frequent flyer segment credits to participating partners in the Company’s Rapid Rewards frequent flyer</w:t>
      </w:r>
      <w:r>
        <w:rPr>
          <w:spacing w:val="-5"/>
        </w:rPr>
        <w:t> </w:t>
      </w:r>
      <w:r>
        <w:rPr/>
        <w:t>program.</w:t>
      </w:r>
    </w:p>
    <w:p>
      <w:pPr>
        <w:pStyle w:val="BodyText"/>
        <w:spacing w:before="6"/>
        <w:rPr>
          <w:sz w:val="31"/>
        </w:rPr>
      </w:pPr>
    </w:p>
    <w:p>
      <w:pPr>
        <w:pStyle w:val="BodyText"/>
        <w:spacing w:line="312" w:lineRule="auto"/>
        <w:ind w:left="119" w:right="117" w:firstLine="182"/>
        <w:jc w:val="both"/>
      </w:pPr>
      <w:r>
        <w:rPr>
          <w:i/>
          <w:color w:val="000080"/>
        </w:rPr>
        <w:t>OPERATING EXPENSES </w:t>
      </w:r>
      <w:r>
        <w:rPr/>
        <w:t>Consolidated operating expenses for 1998 were $3,480.4 million, compared to $3,292.6 million in 1997, an increase of 5.7 percent, compared to the 6.9 percent increase in capacity. Operating expenses per </w:t>
      </w:r>
      <w:r>
        <w:rPr>
          <w:spacing w:val="-3"/>
        </w:rPr>
        <w:t>ASM </w:t>
      </w:r>
      <w:r>
        <w:rPr/>
        <w:t>decreased 1.1 percent in 1998, compared to 1997, primarily due to a 26.9 percent decrease  in average jet fuel price. </w:t>
      </w:r>
      <w:r>
        <w:rPr>
          <w:spacing w:val="2"/>
        </w:rPr>
        <w:t>The </w:t>
      </w:r>
      <w:r>
        <w:rPr/>
        <w:t>decrease in average jet fuel prices was offset by a $36.1 million increase in Profitsharing and Employee savings plan contributions and an increase in maintenance costs primarily due to unusually low </w:t>
      </w:r>
      <w:r>
        <w:rPr>
          <w:spacing w:val="2"/>
        </w:rPr>
        <w:t>aircraft </w:t>
      </w:r>
      <w:r>
        <w:rPr/>
        <w:t>engine overhaul costs in the first half of</w:t>
      </w:r>
      <w:r>
        <w:rPr>
          <w:spacing w:val="17"/>
        </w:rPr>
        <w:t> </w:t>
      </w:r>
      <w:r>
        <w:rPr/>
        <w:t>1997.</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0" w:firstLine="182"/>
        <w:jc w:val="both"/>
      </w:pPr>
      <w:r>
        <w:rPr/>
        <w:t>Unit costs are expected to continue to benefit in first quarter 1999, versus first quarter 1998, from lower jet fuel prices. Excluding jet fuel costs, operating expenses per ASM are expected to increase in first quarter 1999 compared to first quarter 1998 primarily due to higher Profitsharing and Employee savings plan contributions and increased advertising primarily related to the opening of Islip, New York, on Long Island on March 14, 1999. (The immediately preceding two sentences are forward-looking statements which involve uncertainties that could result in actual results differing materially from expected results. Such uncertainties include, but may not be limited to, the largely unpredictable levels of jet fuel prices.)</w:t>
      </w:r>
    </w:p>
    <w:p>
      <w:pPr>
        <w:pStyle w:val="BodyText"/>
        <w:spacing w:before="7"/>
        <w:rPr>
          <w:sz w:val="31"/>
        </w:rPr>
      </w:pPr>
    </w:p>
    <w:p>
      <w:pPr>
        <w:pStyle w:val="BodyText"/>
        <w:ind w:left="302"/>
      </w:pPr>
      <w:r>
        <w:rPr/>
        <w:t>Operating expenses per ASM for 1998 and 1997 were as follows:</w:t>
      </w:r>
    </w:p>
    <w:p>
      <w:pPr>
        <w:pStyle w:val="BodyText"/>
        <w:spacing w:before="2"/>
        <w:rPr>
          <w:sz w:val="38"/>
        </w:rPr>
      </w:pPr>
    </w:p>
    <w:p>
      <w:pPr>
        <w:pStyle w:val="Heading4"/>
        <w:spacing w:after="7"/>
        <w:ind w:left="119"/>
      </w:pPr>
      <w:r>
        <w:rPr>
          <w:color w:val="808080"/>
        </w:rPr>
        <w:t>OPERATING EXPENSES PER ASM</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62"/>
        <w:gridCol w:w="898"/>
        <w:gridCol w:w="902"/>
        <w:gridCol w:w="1526"/>
        <w:gridCol w:w="1531"/>
      </w:tblGrid>
      <w:tr>
        <w:trPr>
          <w:trHeight w:val="734" w:hRule="exact"/>
        </w:trPr>
        <w:tc>
          <w:tcPr>
            <w:tcW w:w="3062" w:type="dxa"/>
          </w:tcPr>
          <w:p>
            <w:pP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1998</w:t>
            </w:r>
          </w:p>
        </w:tc>
        <w:tc>
          <w:tcPr>
            <w:tcW w:w="902" w:type="dxa"/>
          </w:tcPr>
          <w:p>
            <w:pPr>
              <w:pStyle w:val="TableParagraph"/>
              <w:jc w:val="left"/>
              <w:rPr>
                <w:b/>
                <w:sz w:val="22"/>
              </w:rPr>
            </w:pPr>
          </w:p>
          <w:p>
            <w:pPr>
              <w:pStyle w:val="TableParagraph"/>
              <w:spacing w:before="6"/>
              <w:jc w:val="left"/>
              <w:rPr>
                <w:b/>
                <w:sz w:val="20"/>
              </w:rPr>
            </w:pPr>
          </w:p>
          <w:p>
            <w:pPr>
              <w:pStyle w:val="TableParagraph"/>
              <w:ind w:left="175" w:right="171"/>
              <w:jc w:val="center"/>
              <w:rPr>
                <w:sz w:val="20"/>
              </w:rPr>
            </w:pPr>
            <w:r>
              <w:rPr>
                <w:sz w:val="20"/>
              </w:rPr>
              <w:t>1997</w:t>
            </w:r>
          </w:p>
        </w:tc>
        <w:tc>
          <w:tcPr>
            <w:tcW w:w="1526" w:type="dxa"/>
          </w:tcPr>
          <w:p>
            <w:pPr>
              <w:pStyle w:val="TableParagraph"/>
              <w:spacing w:line="360" w:lineRule="exact" w:before="29"/>
              <w:ind w:left="263" w:right="239" w:firstLine="110"/>
              <w:jc w:val="left"/>
              <w:rPr>
                <w:sz w:val="20"/>
              </w:rPr>
            </w:pPr>
            <w:r>
              <w:rPr>
                <w:sz w:val="20"/>
              </w:rPr>
              <w:t>Increase (Decrease)</w:t>
            </w:r>
          </w:p>
        </w:tc>
        <w:tc>
          <w:tcPr>
            <w:tcW w:w="1531" w:type="dxa"/>
          </w:tcPr>
          <w:p>
            <w:pPr>
              <w:pStyle w:val="TableParagraph"/>
              <w:spacing w:line="360" w:lineRule="exact" w:before="29"/>
              <w:ind w:left="412" w:firstLine="4"/>
              <w:jc w:val="left"/>
              <w:rPr>
                <w:sz w:val="20"/>
              </w:rPr>
            </w:pPr>
            <w:r>
              <w:rPr>
                <w:sz w:val="20"/>
              </w:rPr>
              <w:t>Percent Change</w:t>
            </w:r>
          </w:p>
        </w:tc>
      </w:tr>
      <w:tr>
        <w:trPr>
          <w:trHeight w:val="734" w:hRule="exact"/>
        </w:trPr>
        <w:tc>
          <w:tcPr>
            <w:tcW w:w="3062" w:type="dxa"/>
          </w:tcPr>
          <w:p>
            <w:pPr>
              <w:pStyle w:val="TableParagraph"/>
              <w:jc w:val="left"/>
              <w:rPr>
                <w:b/>
                <w:sz w:val="22"/>
              </w:rPr>
            </w:pPr>
          </w:p>
          <w:p>
            <w:pPr>
              <w:pStyle w:val="TableParagraph"/>
              <w:spacing w:before="6"/>
              <w:jc w:val="left"/>
              <w:rPr>
                <w:b/>
                <w:sz w:val="20"/>
              </w:rPr>
            </w:pPr>
          </w:p>
          <w:p>
            <w:pPr>
              <w:pStyle w:val="TableParagraph"/>
              <w:ind w:left="105"/>
              <w:jc w:val="left"/>
              <w:rPr>
                <w:sz w:val="20"/>
              </w:rPr>
            </w:pPr>
            <w:r>
              <w:rPr>
                <w:sz w:val="20"/>
              </w:rPr>
              <w:t>Salaries, wages, and benefits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2.35¢</w:t>
            </w:r>
          </w:p>
        </w:tc>
        <w:tc>
          <w:tcPr>
            <w:tcW w:w="902" w:type="dxa"/>
          </w:tcPr>
          <w:p>
            <w:pPr>
              <w:pStyle w:val="TableParagraph"/>
              <w:jc w:val="left"/>
              <w:rPr>
                <w:b/>
                <w:sz w:val="22"/>
              </w:rPr>
            </w:pPr>
          </w:p>
          <w:p>
            <w:pPr>
              <w:pStyle w:val="TableParagraph"/>
              <w:spacing w:before="6"/>
              <w:jc w:val="left"/>
              <w:rPr>
                <w:b/>
                <w:sz w:val="20"/>
              </w:rPr>
            </w:pPr>
          </w:p>
          <w:p>
            <w:pPr>
              <w:pStyle w:val="TableParagraph"/>
              <w:ind w:left="176" w:right="171"/>
              <w:jc w:val="center"/>
              <w:rPr>
                <w:sz w:val="20"/>
              </w:rPr>
            </w:pPr>
            <w:r>
              <w:rPr>
                <w:sz w:val="20"/>
              </w:rPr>
              <w:t>2.26¢</w:t>
            </w:r>
          </w:p>
        </w:tc>
        <w:tc>
          <w:tcPr>
            <w:tcW w:w="1526" w:type="dxa"/>
          </w:tcPr>
          <w:p>
            <w:pPr>
              <w:pStyle w:val="TableParagraph"/>
              <w:jc w:val="left"/>
              <w:rPr>
                <w:b/>
                <w:sz w:val="22"/>
              </w:rPr>
            </w:pPr>
          </w:p>
          <w:p>
            <w:pPr>
              <w:pStyle w:val="TableParagraph"/>
              <w:spacing w:before="6"/>
              <w:jc w:val="left"/>
              <w:rPr>
                <w:b/>
                <w:sz w:val="20"/>
              </w:rPr>
            </w:pPr>
          </w:p>
          <w:p>
            <w:pPr>
              <w:pStyle w:val="TableParagraph"/>
              <w:ind w:left="472" w:right="473"/>
              <w:jc w:val="center"/>
              <w:rPr>
                <w:sz w:val="20"/>
              </w:rPr>
            </w:pPr>
            <w:r>
              <w:rPr>
                <w:sz w:val="20"/>
              </w:rPr>
              <w:t>.09¢</w:t>
            </w:r>
          </w:p>
        </w:tc>
        <w:tc>
          <w:tcPr>
            <w:tcW w:w="1531" w:type="dxa"/>
          </w:tcPr>
          <w:p>
            <w:pPr>
              <w:pStyle w:val="TableParagraph"/>
              <w:jc w:val="left"/>
              <w:rPr>
                <w:b/>
                <w:sz w:val="22"/>
              </w:rPr>
            </w:pPr>
          </w:p>
          <w:p>
            <w:pPr>
              <w:pStyle w:val="TableParagraph"/>
              <w:spacing w:before="6"/>
              <w:jc w:val="left"/>
              <w:rPr>
                <w:b/>
                <w:sz w:val="20"/>
              </w:rPr>
            </w:pPr>
          </w:p>
          <w:p>
            <w:pPr>
              <w:pStyle w:val="TableParagraph"/>
              <w:ind w:left="445" w:right="438"/>
              <w:jc w:val="center"/>
              <w:rPr>
                <w:sz w:val="20"/>
              </w:rPr>
            </w:pPr>
            <w:r>
              <w:rPr>
                <w:sz w:val="20"/>
              </w:rPr>
              <w:t>4.0%</w:t>
            </w:r>
          </w:p>
        </w:tc>
      </w:tr>
      <w:tr>
        <w:trPr>
          <w:trHeight w:val="734" w:hRule="exact"/>
        </w:trPr>
        <w:tc>
          <w:tcPr>
            <w:tcW w:w="3062" w:type="dxa"/>
          </w:tcPr>
          <w:p>
            <w:pPr>
              <w:pStyle w:val="TableParagraph"/>
              <w:spacing w:line="360" w:lineRule="exact" w:before="29"/>
              <w:ind w:left="105"/>
              <w:jc w:val="left"/>
              <w:rPr>
                <w:sz w:val="20"/>
              </w:rPr>
            </w:pPr>
            <w:r>
              <w:rPr>
                <w:sz w:val="20"/>
              </w:rPr>
              <w:t>Employee profitsharing and savings plans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.35</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.30</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72"/>
              <w:jc w:val="center"/>
              <w:rPr>
                <w:sz w:val="20"/>
              </w:rPr>
            </w:pPr>
            <w:r>
              <w:rPr>
                <w:sz w:val="20"/>
              </w:rPr>
              <w:t>.05</w:t>
            </w:r>
          </w:p>
        </w:tc>
        <w:tc>
          <w:tcPr>
            <w:tcW w:w="1531" w:type="dxa"/>
          </w:tcPr>
          <w:p>
            <w:pPr>
              <w:pStyle w:val="TableParagraph"/>
              <w:jc w:val="left"/>
              <w:rPr>
                <w:b/>
                <w:sz w:val="22"/>
              </w:rPr>
            </w:pPr>
          </w:p>
          <w:p>
            <w:pPr>
              <w:pStyle w:val="TableParagraph"/>
              <w:spacing w:before="6"/>
              <w:jc w:val="left"/>
              <w:rPr>
                <w:b/>
                <w:sz w:val="20"/>
              </w:rPr>
            </w:pPr>
          </w:p>
          <w:p>
            <w:pPr>
              <w:pStyle w:val="TableParagraph"/>
              <w:ind w:left="443" w:right="438"/>
              <w:jc w:val="center"/>
              <w:rPr>
                <w:sz w:val="20"/>
              </w:rPr>
            </w:pPr>
            <w:r>
              <w:rPr>
                <w:sz w:val="20"/>
              </w:rPr>
              <w:t>16.7</w:t>
            </w:r>
          </w:p>
        </w:tc>
      </w:tr>
      <w:tr>
        <w:trPr>
          <w:trHeight w:val="374" w:hRule="exact"/>
        </w:trPr>
        <w:tc>
          <w:tcPr>
            <w:tcW w:w="3062" w:type="dxa"/>
          </w:tcPr>
          <w:p>
            <w:pPr>
              <w:pStyle w:val="TableParagraph"/>
              <w:spacing w:before="129"/>
              <w:ind w:left="105"/>
              <w:jc w:val="left"/>
              <w:rPr>
                <w:sz w:val="20"/>
              </w:rPr>
            </w:pPr>
            <w:r>
              <w:rPr>
                <w:sz w:val="20"/>
              </w:rPr>
              <w:t>Fuel and oil</w:t>
            </w:r>
          </w:p>
        </w:tc>
        <w:tc>
          <w:tcPr>
            <w:tcW w:w="898" w:type="dxa"/>
          </w:tcPr>
          <w:p>
            <w:pPr>
              <w:pStyle w:val="TableParagraph"/>
              <w:spacing w:before="124"/>
              <w:ind w:left="170" w:right="171"/>
              <w:jc w:val="center"/>
              <w:rPr>
                <w:b/>
                <w:sz w:val="20"/>
              </w:rPr>
            </w:pPr>
            <w:r>
              <w:rPr>
                <w:b/>
                <w:color w:val="000080"/>
                <w:sz w:val="20"/>
              </w:rPr>
              <w:t>.82</w:t>
            </w:r>
          </w:p>
        </w:tc>
        <w:tc>
          <w:tcPr>
            <w:tcW w:w="902" w:type="dxa"/>
          </w:tcPr>
          <w:p>
            <w:pPr>
              <w:pStyle w:val="TableParagraph"/>
              <w:spacing w:before="129"/>
              <w:ind w:left="176" w:right="166"/>
              <w:jc w:val="center"/>
              <w:rPr>
                <w:sz w:val="20"/>
              </w:rPr>
            </w:pPr>
            <w:r>
              <w:rPr>
                <w:sz w:val="20"/>
              </w:rPr>
              <w:t>1.11</w:t>
            </w:r>
          </w:p>
        </w:tc>
        <w:tc>
          <w:tcPr>
            <w:tcW w:w="1526" w:type="dxa"/>
          </w:tcPr>
          <w:p>
            <w:pPr>
              <w:pStyle w:val="TableParagraph"/>
              <w:spacing w:before="129"/>
              <w:ind w:left="475" w:right="468"/>
              <w:jc w:val="center"/>
              <w:rPr>
                <w:sz w:val="20"/>
              </w:rPr>
            </w:pPr>
            <w:r>
              <w:rPr>
                <w:sz w:val="20"/>
              </w:rPr>
              <w:t>(.29)</w:t>
            </w:r>
          </w:p>
        </w:tc>
        <w:tc>
          <w:tcPr>
            <w:tcW w:w="1531" w:type="dxa"/>
          </w:tcPr>
          <w:p>
            <w:pPr>
              <w:pStyle w:val="TableParagraph"/>
              <w:spacing w:before="129"/>
              <w:ind w:left="445" w:right="438"/>
              <w:jc w:val="center"/>
              <w:rPr>
                <w:sz w:val="20"/>
              </w:rPr>
            </w:pPr>
            <w:r>
              <w:rPr>
                <w:sz w:val="20"/>
              </w:rPr>
              <w:t>(26.1)</w:t>
            </w:r>
          </w:p>
        </w:tc>
      </w:tr>
      <w:tr>
        <w:trPr>
          <w:trHeight w:val="734" w:hRule="exact"/>
        </w:trPr>
        <w:tc>
          <w:tcPr>
            <w:tcW w:w="3062" w:type="dxa"/>
          </w:tcPr>
          <w:p>
            <w:pPr>
              <w:pStyle w:val="TableParagraph"/>
              <w:spacing w:line="360" w:lineRule="exact" w:before="29"/>
              <w:ind w:left="105" w:right="521"/>
              <w:jc w:val="left"/>
              <w:rPr>
                <w:sz w:val="20"/>
              </w:rPr>
            </w:pPr>
            <w:r>
              <w:rPr>
                <w:sz w:val="20"/>
              </w:rPr>
              <w:t>Maintenance materials and repairs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.64</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.58</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72"/>
              <w:jc w:val="center"/>
              <w:rPr>
                <w:sz w:val="20"/>
              </w:rPr>
            </w:pPr>
            <w:r>
              <w:rPr>
                <w:sz w:val="20"/>
              </w:rPr>
              <w:t>.06</w:t>
            </w:r>
          </w:p>
        </w:tc>
        <w:tc>
          <w:tcPr>
            <w:tcW w:w="1531" w:type="dxa"/>
          </w:tcPr>
          <w:p>
            <w:pPr>
              <w:pStyle w:val="TableParagraph"/>
              <w:jc w:val="left"/>
              <w:rPr>
                <w:b/>
                <w:sz w:val="22"/>
              </w:rPr>
            </w:pPr>
          </w:p>
          <w:p>
            <w:pPr>
              <w:pStyle w:val="TableParagraph"/>
              <w:spacing w:before="6"/>
              <w:jc w:val="left"/>
              <w:rPr>
                <w:b/>
                <w:sz w:val="20"/>
              </w:rPr>
            </w:pPr>
          </w:p>
          <w:p>
            <w:pPr>
              <w:pStyle w:val="TableParagraph"/>
              <w:ind w:left="443" w:right="438"/>
              <w:jc w:val="center"/>
              <w:rPr>
                <w:sz w:val="20"/>
              </w:rPr>
            </w:pPr>
            <w:r>
              <w:rPr>
                <w:sz w:val="20"/>
              </w:rPr>
              <w:t>10.3</w:t>
            </w:r>
          </w:p>
        </w:tc>
      </w:tr>
      <w:tr>
        <w:trPr>
          <w:trHeight w:val="374" w:hRule="exact"/>
        </w:trPr>
        <w:tc>
          <w:tcPr>
            <w:tcW w:w="3062" w:type="dxa"/>
          </w:tcPr>
          <w:p>
            <w:pPr>
              <w:pStyle w:val="TableParagraph"/>
              <w:spacing w:before="129"/>
              <w:ind w:left="105"/>
              <w:jc w:val="left"/>
              <w:rPr>
                <w:sz w:val="20"/>
              </w:rPr>
            </w:pPr>
            <w:r>
              <w:rPr>
                <w:sz w:val="20"/>
              </w:rPr>
              <w:t>Agency commissions</w:t>
            </w:r>
          </w:p>
        </w:tc>
        <w:tc>
          <w:tcPr>
            <w:tcW w:w="898" w:type="dxa"/>
          </w:tcPr>
          <w:p>
            <w:pPr>
              <w:pStyle w:val="TableParagraph"/>
              <w:spacing w:before="124"/>
              <w:ind w:left="170" w:right="171"/>
              <w:jc w:val="center"/>
              <w:rPr>
                <w:b/>
                <w:sz w:val="20"/>
              </w:rPr>
            </w:pPr>
            <w:r>
              <w:rPr>
                <w:b/>
                <w:color w:val="000080"/>
                <w:sz w:val="20"/>
              </w:rPr>
              <w:t>.33</w:t>
            </w:r>
          </w:p>
        </w:tc>
        <w:tc>
          <w:tcPr>
            <w:tcW w:w="902" w:type="dxa"/>
          </w:tcPr>
          <w:p>
            <w:pPr>
              <w:pStyle w:val="TableParagraph"/>
              <w:spacing w:before="129"/>
              <w:ind w:left="174" w:right="171"/>
              <w:jc w:val="center"/>
              <w:rPr>
                <w:sz w:val="20"/>
              </w:rPr>
            </w:pPr>
            <w:r>
              <w:rPr>
                <w:sz w:val="20"/>
              </w:rPr>
              <w:t>.35</w:t>
            </w:r>
          </w:p>
        </w:tc>
        <w:tc>
          <w:tcPr>
            <w:tcW w:w="1526" w:type="dxa"/>
          </w:tcPr>
          <w:p>
            <w:pPr>
              <w:pStyle w:val="TableParagraph"/>
              <w:spacing w:before="129"/>
              <w:ind w:left="475" w:right="468"/>
              <w:jc w:val="center"/>
              <w:rPr>
                <w:sz w:val="20"/>
              </w:rPr>
            </w:pPr>
            <w:r>
              <w:rPr>
                <w:sz w:val="20"/>
              </w:rPr>
              <w:t>(.02)</w:t>
            </w:r>
          </w:p>
        </w:tc>
        <w:tc>
          <w:tcPr>
            <w:tcW w:w="1531" w:type="dxa"/>
          </w:tcPr>
          <w:p>
            <w:pPr>
              <w:pStyle w:val="TableParagraph"/>
              <w:spacing w:before="129"/>
              <w:ind w:left="448" w:right="437"/>
              <w:jc w:val="center"/>
              <w:rPr>
                <w:sz w:val="20"/>
              </w:rPr>
            </w:pPr>
            <w:r>
              <w:rPr>
                <w:sz w:val="20"/>
              </w:rPr>
              <w:t>(5.7)</w:t>
            </w:r>
          </w:p>
        </w:tc>
      </w:tr>
      <w:tr>
        <w:trPr>
          <w:trHeight w:val="374" w:hRule="exact"/>
        </w:trPr>
        <w:tc>
          <w:tcPr>
            <w:tcW w:w="3062" w:type="dxa"/>
          </w:tcPr>
          <w:p>
            <w:pPr>
              <w:pStyle w:val="TableParagraph"/>
              <w:spacing w:before="129"/>
              <w:ind w:left="105"/>
              <w:jc w:val="left"/>
              <w:rPr>
                <w:sz w:val="20"/>
              </w:rPr>
            </w:pPr>
            <w:r>
              <w:rPr>
                <w:sz w:val="20"/>
              </w:rPr>
              <w:t>Aircraft rentals</w:t>
            </w:r>
          </w:p>
        </w:tc>
        <w:tc>
          <w:tcPr>
            <w:tcW w:w="898" w:type="dxa"/>
          </w:tcPr>
          <w:p>
            <w:pPr>
              <w:pStyle w:val="TableParagraph"/>
              <w:spacing w:before="124"/>
              <w:ind w:left="170" w:right="171"/>
              <w:jc w:val="center"/>
              <w:rPr>
                <w:b/>
                <w:sz w:val="20"/>
              </w:rPr>
            </w:pPr>
            <w:r>
              <w:rPr>
                <w:b/>
                <w:color w:val="000080"/>
                <w:sz w:val="20"/>
              </w:rPr>
              <w:t>.43</w:t>
            </w:r>
          </w:p>
        </w:tc>
        <w:tc>
          <w:tcPr>
            <w:tcW w:w="902" w:type="dxa"/>
          </w:tcPr>
          <w:p>
            <w:pPr>
              <w:pStyle w:val="TableParagraph"/>
              <w:spacing w:before="129"/>
              <w:ind w:left="174" w:right="171"/>
              <w:jc w:val="center"/>
              <w:rPr>
                <w:sz w:val="20"/>
              </w:rPr>
            </w:pPr>
            <w:r>
              <w:rPr>
                <w:sz w:val="20"/>
              </w:rPr>
              <w:t>.45</w:t>
            </w:r>
          </w:p>
        </w:tc>
        <w:tc>
          <w:tcPr>
            <w:tcW w:w="1526" w:type="dxa"/>
          </w:tcPr>
          <w:p>
            <w:pPr>
              <w:pStyle w:val="TableParagraph"/>
              <w:spacing w:before="129"/>
              <w:ind w:left="475" w:right="468"/>
              <w:jc w:val="center"/>
              <w:rPr>
                <w:sz w:val="20"/>
              </w:rPr>
            </w:pPr>
            <w:r>
              <w:rPr>
                <w:sz w:val="20"/>
              </w:rPr>
              <w:t>(.02)</w:t>
            </w:r>
          </w:p>
        </w:tc>
        <w:tc>
          <w:tcPr>
            <w:tcW w:w="1531" w:type="dxa"/>
          </w:tcPr>
          <w:p>
            <w:pPr>
              <w:pStyle w:val="TableParagraph"/>
              <w:spacing w:before="129"/>
              <w:ind w:left="448" w:right="437"/>
              <w:jc w:val="center"/>
              <w:rPr>
                <w:sz w:val="20"/>
              </w:rPr>
            </w:pPr>
            <w:r>
              <w:rPr>
                <w:sz w:val="20"/>
              </w:rPr>
              <w:t>(4.4)</w:t>
            </w:r>
          </w:p>
        </w:tc>
      </w:tr>
      <w:tr>
        <w:trPr>
          <w:trHeight w:val="734" w:hRule="exact"/>
        </w:trPr>
        <w:tc>
          <w:tcPr>
            <w:tcW w:w="3062" w:type="dxa"/>
          </w:tcPr>
          <w:p>
            <w:pPr>
              <w:pStyle w:val="TableParagraph"/>
              <w:jc w:val="left"/>
              <w:rPr>
                <w:b/>
                <w:sz w:val="22"/>
              </w:rPr>
            </w:pPr>
          </w:p>
          <w:p>
            <w:pPr>
              <w:pStyle w:val="TableParagraph"/>
              <w:spacing w:before="6"/>
              <w:jc w:val="left"/>
              <w:rPr>
                <w:b/>
                <w:sz w:val="20"/>
              </w:rPr>
            </w:pPr>
          </w:p>
          <w:p>
            <w:pPr>
              <w:pStyle w:val="TableParagraph"/>
              <w:ind w:left="105"/>
              <w:jc w:val="left"/>
              <w:rPr>
                <w:sz w:val="20"/>
              </w:rPr>
            </w:pPr>
            <w:r>
              <w:rPr>
                <w:sz w:val="20"/>
              </w:rPr>
              <w:t>Landing fees and other rentals</w:t>
            </w:r>
          </w:p>
        </w:tc>
        <w:tc>
          <w:tcPr>
            <w:tcW w:w="898" w:type="dxa"/>
          </w:tcPr>
          <w:p>
            <w:pPr>
              <w:pStyle w:val="TableParagraph"/>
              <w:jc w:val="left"/>
              <w:rPr>
                <w:b/>
                <w:sz w:val="22"/>
              </w:rPr>
            </w:pPr>
          </w:p>
          <w:p>
            <w:pPr>
              <w:pStyle w:val="TableParagraph"/>
              <w:spacing w:before="1"/>
              <w:jc w:val="left"/>
              <w:rPr>
                <w:b/>
                <w:sz w:val="20"/>
              </w:rPr>
            </w:pPr>
          </w:p>
          <w:p>
            <w:pPr>
              <w:pStyle w:val="TableParagraph"/>
              <w:ind w:left="170" w:right="171"/>
              <w:jc w:val="center"/>
              <w:rPr>
                <w:b/>
                <w:sz w:val="20"/>
              </w:rPr>
            </w:pPr>
            <w:r>
              <w:rPr>
                <w:b/>
                <w:color w:val="000080"/>
                <w:sz w:val="20"/>
              </w:rPr>
              <w:t>.45</w:t>
            </w:r>
          </w:p>
        </w:tc>
        <w:tc>
          <w:tcPr>
            <w:tcW w:w="902" w:type="dxa"/>
          </w:tcPr>
          <w:p>
            <w:pPr>
              <w:pStyle w:val="TableParagraph"/>
              <w:jc w:val="left"/>
              <w:rPr>
                <w:b/>
                <w:sz w:val="22"/>
              </w:rPr>
            </w:pPr>
          </w:p>
          <w:p>
            <w:pPr>
              <w:pStyle w:val="TableParagraph"/>
              <w:spacing w:before="6"/>
              <w:jc w:val="left"/>
              <w:rPr>
                <w:b/>
                <w:sz w:val="20"/>
              </w:rPr>
            </w:pPr>
          </w:p>
          <w:p>
            <w:pPr>
              <w:pStyle w:val="TableParagraph"/>
              <w:ind w:left="174" w:right="171"/>
              <w:jc w:val="center"/>
              <w:rPr>
                <w:sz w:val="20"/>
              </w:rPr>
            </w:pPr>
            <w:r>
              <w:rPr>
                <w:sz w:val="20"/>
              </w:rPr>
              <w:t>.46</w:t>
            </w:r>
          </w:p>
        </w:tc>
        <w:tc>
          <w:tcPr>
            <w:tcW w:w="1526" w:type="dxa"/>
          </w:tcPr>
          <w:p>
            <w:pPr>
              <w:pStyle w:val="TableParagraph"/>
              <w:jc w:val="left"/>
              <w:rPr>
                <w:b/>
                <w:sz w:val="22"/>
              </w:rPr>
            </w:pPr>
          </w:p>
          <w:p>
            <w:pPr>
              <w:pStyle w:val="TableParagraph"/>
              <w:spacing w:before="6"/>
              <w:jc w:val="left"/>
              <w:rPr>
                <w:b/>
                <w:sz w:val="20"/>
              </w:rPr>
            </w:pPr>
          </w:p>
          <w:p>
            <w:pPr>
              <w:pStyle w:val="TableParagraph"/>
              <w:ind w:left="475" w:right="468"/>
              <w:jc w:val="center"/>
              <w:rPr>
                <w:sz w:val="20"/>
              </w:rPr>
            </w:pPr>
            <w:r>
              <w:rPr>
                <w:sz w:val="20"/>
              </w:rPr>
              <w:t>(.01)</w:t>
            </w:r>
          </w:p>
        </w:tc>
        <w:tc>
          <w:tcPr>
            <w:tcW w:w="1531" w:type="dxa"/>
          </w:tcPr>
          <w:p>
            <w:pPr>
              <w:pStyle w:val="TableParagraph"/>
              <w:jc w:val="left"/>
              <w:rPr>
                <w:b/>
                <w:sz w:val="22"/>
              </w:rPr>
            </w:pPr>
          </w:p>
          <w:p>
            <w:pPr>
              <w:pStyle w:val="TableParagraph"/>
              <w:spacing w:before="6"/>
              <w:jc w:val="left"/>
              <w:rPr>
                <w:b/>
                <w:sz w:val="20"/>
              </w:rPr>
            </w:pPr>
          </w:p>
          <w:p>
            <w:pPr>
              <w:pStyle w:val="TableParagraph"/>
              <w:ind w:left="448" w:right="437"/>
              <w:jc w:val="center"/>
              <w:rPr>
                <w:sz w:val="20"/>
              </w:rPr>
            </w:pPr>
            <w:r>
              <w:rPr>
                <w:sz w:val="20"/>
              </w:rPr>
              <w:t>(2.2)</w:t>
            </w:r>
          </w:p>
        </w:tc>
      </w:tr>
      <w:tr>
        <w:trPr>
          <w:trHeight w:val="374" w:hRule="exact"/>
        </w:trPr>
        <w:tc>
          <w:tcPr>
            <w:tcW w:w="3062" w:type="dxa"/>
          </w:tcPr>
          <w:p>
            <w:pPr>
              <w:pStyle w:val="TableParagraph"/>
              <w:spacing w:before="129"/>
              <w:ind w:left="105"/>
              <w:jc w:val="left"/>
              <w:rPr>
                <w:sz w:val="20"/>
              </w:rPr>
            </w:pPr>
            <w:r>
              <w:rPr>
                <w:sz w:val="20"/>
              </w:rPr>
              <w:t>Depreciation</w:t>
            </w:r>
          </w:p>
        </w:tc>
        <w:tc>
          <w:tcPr>
            <w:tcW w:w="898" w:type="dxa"/>
          </w:tcPr>
          <w:p>
            <w:pPr>
              <w:pStyle w:val="TableParagraph"/>
              <w:spacing w:before="124"/>
              <w:ind w:left="170" w:right="171"/>
              <w:jc w:val="center"/>
              <w:rPr>
                <w:b/>
                <w:sz w:val="20"/>
              </w:rPr>
            </w:pPr>
            <w:r>
              <w:rPr>
                <w:b/>
                <w:color w:val="000080"/>
                <w:sz w:val="20"/>
              </w:rPr>
              <w:t>.47</w:t>
            </w:r>
          </w:p>
        </w:tc>
        <w:tc>
          <w:tcPr>
            <w:tcW w:w="902" w:type="dxa"/>
          </w:tcPr>
          <w:p>
            <w:pPr>
              <w:pStyle w:val="TableParagraph"/>
              <w:spacing w:before="129"/>
              <w:ind w:left="174" w:right="171"/>
              <w:jc w:val="center"/>
              <w:rPr>
                <w:sz w:val="20"/>
              </w:rPr>
            </w:pPr>
            <w:r>
              <w:rPr>
                <w:sz w:val="20"/>
              </w:rPr>
              <w:t>.44</w:t>
            </w:r>
          </w:p>
        </w:tc>
        <w:tc>
          <w:tcPr>
            <w:tcW w:w="1526" w:type="dxa"/>
          </w:tcPr>
          <w:p>
            <w:pPr>
              <w:pStyle w:val="TableParagraph"/>
              <w:spacing w:before="129"/>
              <w:ind w:left="475" w:right="472"/>
              <w:jc w:val="center"/>
              <w:rPr>
                <w:sz w:val="20"/>
              </w:rPr>
            </w:pPr>
            <w:r>
              <w:rPr>
                <w:sz w:val="20"/>
              </w:rPr>
              <w:t>.03</w:t>
            </w:r>
          </w:p>
        </w:tc>
        <w:tc>
          <w:tcPr>
            <w:tcW w:w="1531" w:type="dxa"/>
          </w:tcPr>
          <w:p>
            <w:pPr>
              <w:pStyle w:val="TableParagraph"/>
              <w:spacing w:before="129"/>
              <w:ind w:left="448" w:right="438"/>
              <w:jc w:val="center"/>
              <w:rPr>
                <w:sz w:val="20"/>
              </w:rPr>
            </w:pPr>
            <w:r>
              <w:rPr>
                <w:sz w:val="20"/>
              </w:rPr>
              <w:t>6.8</w:t>
            </w:r>
          </w:p>
        </w:tc>
      </w:tr>
      <w:tr>
        <w:trPr>
          <w:trHeight w:val="374" w:hRule="exact"/>
        </w:trPr>
        <w:tc>
          <w:tcPr>
            <w:tcW w:w="3062" w:type="dxa"/>
          </w:tcPr>
          <w:p>
            <w:pPr>
              <w:pStyle w:val="TableParagraph"/>
              <w:spacing w:before="129"/>
              <w:ind w:left="105"/>
              <w:jc w:val="left"/>
              <w:rPr>
                <w:sz w:val="20"/>
              </w:rPr>
            </w:pPr>
            <w:r>
              <w:rPr>
                <w:sz w:val="20"/>
              </w:rPr>
              <w:t>Other</w:t>
            </w:r>
          </w:p>
        </w:tc>
        <w:tc>
          <w:tcPr>
            <w:tcW w:w="898" w:type="dxa"/>
          </w:tcPr>
          <w:p>
            <w:pPr>
              <w:pStyle w:val="TableParagraph"/>
              <w:spacing w:before="124"/>
              <w:ind w:left="170" w:right="167"/>
              <w:jc w:val="center"/>
              <w:rPr>
                <w:b/>
                <w:sz w:val="20"/>
              </w:rPr>
            </w:pPr>
            <w:r>
              <w:rPr>
                <w:b/>
                <w:color w:val="000080"/>
                <w:sz w:val="20"/>
              </w:rPr>
              <w:t>1.48</w:t>
            </w:r>
          </w:p>
        </w:tc>
        <w:tc>
          <w:tcPr>
            <w:tcW w:w="902" w:type="dxa"/>
          </w:tcPr>
          <w:p>
            <w:pPr>
              <w:pStyle w:val="TableParagraph"/>
              <w:spacing w:before="129"/>
              <w:ind w:left="176" w:right="166"/>
              <w:jc w:val="center"/>
              <w:rPr>
                <w:sz w:val="20"/>
              </w:rPr>
            </w:pPr>
            <w:r>
              <w:rPr>
                <w:sz w:val="20"/>
              </w:rPr>
              <w:t>1.45</w:t>
            </w:r>
          </w:p>
        </w:tc>
        <w:tc>
          <w:tcPr>
            <w:tcW w:w="1526" w:type="dxa"/>
          </w:tcPr>
          <w:p>
            <w:pPr>
              <w:pStyle w:val="TableParagraph"/>
              <w:spacing w:before="129"/>
              <w:ind w:left="475" w:right="472"/>
              <w:jc w:val="center"/>
              <w:rPr>
                <w:sz w:val="20"/>
              </w:rPr>
            </w:pPr>
            <w:r>
              <w:rPr>
                <w:sz w:val="20"/>
              </w:rPr>
              <w:t>.03</w:t>
            </w:r>
          </w:p>
        </w:tc>
        <w:tc>
          <w:tcPr>
            <w:tcW w:w="1531" w:type="dxa"/>
          </w:tcPr>
          <w:p>
            <w:pPr>
              <w:pStyle w:val="TableParagraph"/>
              <w:spacing w:before="129"/>
              <w:ind w:left="448" w:right="438"/>
              <w:jc w:val="center"/>
              <w:rPr>
                <w:sz w:val="20"/>
              </w:rPr>
            </w:pPr>
            <w:r>
              <w:rPr>
                <w:sz w:val="20"/>
              </w:rPr>
              <w:t>2.1</w:t>
            </w:r>
          </w:p>
        </w:tc>
      </w:tr>
      <w:tr>
        <w:trPr>
          <w:trHeight w:val="374" w:hRule="exact"/>
        </w:trPr>
        <w:tc>
          <w:tcPr>
            <w:tcW w:w="3062" w:type="dxa"/>
          </w:tcPr>
          <w:p>
            <w:pPr>
              <w:pStyle w:val="TableParagraph"/>
              <w:spacing w:before="129"/>
              <w:ind w:left="105"/>
              <w:jc w:val="left"/>
              <w:rPr>
                <w:sz w:val="20"/>
              </w:rPr>
            </w:pPr>
            <w:r>
              <w:rPr>
                <w:sz w:val="20"/>
              </w:rPr>
              <w:t>Total</w:t>
            </w:r>
          </w:p>
        </w:tc>
        <w:tc>
          <w:tcPr>
            <w:tcW w:w="898" w:type="dxa"/>
          </w:tcPr>
          <w:p>
            <w:pPr>
              <w:pStyle w:val="TableParagraph"/>
              <w:spacing w:before="124"/>
              <w:ind w:left="170" w:right="171"/>
              <w:jc w:val="center"/>
              <w:rPr>
                <w:b/>
                <w:sz w:val="20"/>
              </w:rPr>
            </w:pPr>
            <w:r>
              <w:rPr>
                <w:b/>
                <w:color w:val="000080"/>
                <w:sz w:val="20"/>
              </w:rPr>
              <w:t>7.32¢</w:t>
            </w:r>
          </w:p>
        </w:tc>
        <w:tc>
          <w:tcPr>
            <w:tcW w:w="902" w:type="dxa"/>
          </w:tcPr>
          <w:p>
            <w:pPr>
              <w:pStyle w:val="TableParagraph"/>
              <w:spacing w:before="129"/>
              <w:ind w:left="176" w:right="171"/>
              <w:jc w:val="center"/>
              <w:rPr>
                <w:sz w:val="20"/>
              </w:rPr>
            </w:pPr>
            <w:r>
              <w:rPr>
                <w:sz w:val="20"/>
              </w:rPr>
              <w:t>7.40¢</w:t>
            </w:r>
          </w:p>
        </w:tc>
        <w:tc>
          <w:tcPr>
            <w:tcW w:w="1526" w:type="dxa"/>
          </w:tcPr>
          <w:p>
            <w:pPr>
              <w:pStyle w:val="TableParagraph"/>
              <w:spacing w:before="129"/>
              <w:ind w:left="475" w:right="473"/>
              <w:jc w:val="center"/>
              <w:rPr>
                <w:sz w:val="20"/>
              </w:rPr>
            </w:pPr>
            <w:r>
              <w:rPr>
                <w:sz w:val="20"/>
              </w:rPr>
              <w:t>(.08)¢</w:t>
            </w:r>
          </w:p>
        </w:tc>
        <w:tc>
          <w:tcPr>
            <w:tcW w:w="1531" w:type="dxa"/>
          </w:tcPr>
          <w:p>
            <w:pPr>
              <w:pStyle w:val="TableParagraph"/>
              <w:spacing w:before="129"/>
              <w:ind w:left="448" w:right="438"/>
              <w:jc w:val="center"/>
              <w:rPr>
                <w:sz w:val="20"/>
              </w:rPr>
            </w:pPr>
            <w:r>
              <w:rPr>
                <w:sz w:val="20"/>
              </w:rPr>
              <w:t>(1.1)%</w:t>
            </w:r>
          </w:p>
        </w:tc>
      </w:tr>
    </w:tbl>
    <w:p>
      <w:pPr>
        <w:spacing w:after="0"/>
        <w:jc w:val="center"/>
        <w:rPr>
          <w:sz w:val="20"/>
        </w:rPr>
        <w:sectPr>
          <w:pgSz w:w="12240" w:h="15840"/>
          <w:pgMar w:header="1448" w:footer="344" w:top="1700" w:bottom="540" w:left="1320" w:right="1320"/>
        </w:sectPr>
      </w:pPr>
    </w:p>
    <w:p>
      <w:pPr>
        <w:pStyle w:val="BodyText"/>
        <w:rPr>
          <w:b/>
          <w:sz w:val="20"/>
        </w:rPr>
      </w:pPr>
    </w:p>
    <w:p>
      <w:pPr>
        <w:pStyle w:val="BodyText"/>
        <w:spacing w:line="312" w:lineRule="auto" w:before="219"/>
        <w:ind w:left="119" w:right="116" w:firstLine="182"/>
        <w:jc w:val="both"/>
      </w:pPr>
      <w:r>
        <w:rPr/>
        <w:t>Salaries, wages, and benefits per </w:t>
      </w:r>
      <w:r>
        <w:rPr>
          <w:spacing w:val="-3"/>
        </w:rPr>
        <w:t>ASM </w:t>
      </w:r>
      <w:r>
        <w:rPr/>
        <w:t>increased 4.0 percent in 1998. </w:t>
      </w:r>
      <w:r>
        <w:rPr>
          <w:spacing w:val="3"/>
        </w:rPr>
        <w:t>This </w:t>
      </w:r>
      <w:r>
        <w:rPr/>
        <w:t>increase resulted primarily from a 6.9 percent increase in 1998 average salary and benefits cost per Employee. </w:t>
      </w:r>
      <w:r>
        <w:rPr>
          <w:spacing w:val="2"/>
        </w:rPr>
        <w:t>The </w:t>
      </w:r>
      <w:r>
        <w:rPr/>
        <w:t>increase in average salary and benefits cost per  Employee  primarily is due to higher effective wage </w:t>
      </w:r>
      <w:r>
        <w:rPr>
          <w:spacing w:val="2"/>
        </w:rPr>
        <w:t>rates, </w:t>
      </w:r>
      <w:r>
        <w:rPr/>
        <w:t>lower productivity in 1998 caused by Boeing </w:t>
      </w:r>
      <w:r>
        <w:rPr>
          <w:spacing w:val="2"/>
        </w:rPr>
        <w:t>aircraft </w:t>
      </w:r>
      <w:r>
        <w:rPr/>
        <w:t>delivery delays, and increased health care and workers’ compensation costs.</w:t>
      </w:r>
    </w:p>
    <w:p>
      <w:pPr>
        <w:pStyle w:val="BodyText"/>
        <w:spacing w:before="7"/>
        <w:rPr>
          <w:sz w:val="31"/>
        </w:rPr>
      </w:pPr>
    </w:p>
    <w:p>
      <w:pPr>
        <w:pStyle w:val="BodyText"/>
        <w:spacing w:line="312" w:lineRule="auto"/>
        <w:ind w:left="119" w:right="117" w:firstLine="182"/>
        <w:jc w:val="both"/>
      </w:pPr>
      <w:r>
        <w:rPr/>
        <w:t>Profitsharing and Employee savings plans expense per </w:t>
      </w:r>
      <w:r>
        <w:rPr>
          <w:spacing w:val="-3"/>
        </w:rPr>
        <w:t>ASM </w:t>
      </w:r>
      <w:r>
        <w:rPr/>
        <w:t>increased 16.7 percent  in 1998, primarily due to higher earnings available for</w:t>
      </w:r>
      <w:r>
        <w:rPr>
          <w:spacing w:val="48"/>
        </w:rPr>
        <w:t> </w:t>
      </w:r>
      <w:r>
        <w:rPr/>
        <w:t>profitsharing.</w:t>
      </w:r>
    </w:p>
    <w:p>
      <w:pPr>
        <w:pStyle w:val="BodyText"/>
        <w:spacing w:before="6"/>
        <w:rPr>
          <w:sz w:val="31"/>
        </w:rPr>
      </w:pPr>
    </w:p>
    <w:p>
      <w:pPr>
        <w:pStyle w:val="BodyText"/>
        <w:spacing w:before="1"/>
        <w:ind w:left="302"/>
      </w:pPr>
      <w:r>
        <w:rPr/>
        <w:t>Fuel and oil expenses per ASM decreased 26.1 percent in 1998, primarily due to a</w:t>
      </w:r>
    </w:p>
    <w:p>
      <w:pPr>
        <w:pStyle w:val="BodyText"/>
        <w:spacing w:line="312" w:lineRule="auto" w:before="84"/>
        <w:ind w:left="119" w:right="117"/>
        <w:jc w:val="both"/>
      </w:pPr>
      <w:r>
        <w:rPr/>
        <w:t>26.9 percent decrease from 1997 in the average jet fuel cost per gallon. The average price paid for jet fuel in 1998 was $.4567 compared to $.6246 in 1997. During fourth quarter 1998, the average cost per gallon decreased 28.0 percent to $.4346 compared to $.6040 in fourth quarter 1997. In January    1999, fuel prices averaged approximately</w:t>
      </w:r>
    </w:p>
    <w:p>
      <w:pPr>
        <w:pStyle w:val="BodyText"/>
        <w:spacing w:line="312" w:lineRule="auto" w:before="3"/>
        <w:ind w:left="119" w:right="115"/>
        <w:jc w:val="both"/>
      </w:pPr>
      <w:r>
        <w:rPr/>
        <w:t>$.38 per gallon. </w:t>
      </w:r>
      <w:r>
        <w:rPr>
          <w:spacing w:val="-4"/>
        </w:rPr>
        <w:t>Year-over-year </w:t>
      </w:r>
      <w:r>
        <w:rPr/>
        <w:t>decreases in jet fuel prices are expected to continue in first quarter 1999 due to the continued oversupply of crude oil and related products, along with the effects of the Company’s current fuel hedging positions. (The  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the largely unpredictable levels of jet fuel</w:t>
      </w:r>
      <w:r>
        <w:rPr>
          <w:spacing w:val="13"/>
        </w:rPr>
        <w:t> </w:t>
      </w:r>
      <w:r>
        <w:rPr/>
        <w:t>prices.)</w:t>
      </w:r>
    </w:p>
    <w:p>
      <w:pPr>
        <w:pStyle w:val="BodyText"/>
        <w:spacing w:before="6"/>
        <w:rPr>
          <w:sz w:val="31"/>
        </w:rPr>
      </w:pPr>
    </w:p>
    <w:p>
      <w:pPr>
        <w:pStyle w:val="BodyText"/>
        <w:spacing w:line="312" w:lineRule="auto"/>
        <w:ind w:left="119" w:right="116" w:firstLine="182"/>
        <w:jc w:val="both"/>
      </w:pPr>
      <w:r>
        <w:rPr/>
        <w:t>Maintenance materials and repairs per </w:t>
      </w:r>
      <w:r>
        <w:rPr>
          <w:spacing w:val="-3"/>
        </w:rPr>
        <w:t>ASM </w:t>
      </w:r>
      <w:r>
        <w:rPr/>
        <w:t>increased 10.3 percent in 1998, compared to 1997, primarily as a result of an unusually low number of </w:t>
      </w:r>
      <w:r>
        <w:rPr>
          <w:spacing w:val="2"/>
        </w:rPr>
        <w:t>aircraft </w:t>
      </w:r>
      <w:r>
        <w:rPr/>
        <w:t>engine overhauls in the first six months of 1997. </w:t>
      </w:r>
      <w:r>
        <w:rPr>
          <w:spacing w:val="3"/>
        </w:rPr>
        <w:t>Fourth </w:t>
      </w:r>
      <w:r>
        <w:rPr/>
        <w:t>quarter 1998 maintenance materials and repairs per </w:t>
      </w:r>
      <w:r>
        <w:rPr>
          <w:spacing w:val="-3"/>
        </w:rPr>
        <w:t>ASM </w:t>
      </w:r>
      <w:r>
        <w:rPr/>
        <w:t>increased 3.2 percent over fourth quarter 1997. </w:t>
      </w:r>
      <w:r>
        <w:rPr>
          <w:spacing w:val="6"/>
        </w:rPr>
        <w:t>We  </w:t>
      </w:r>
      <w:r>
        <w:rPr/>
        <w:t>expect modest year-over-year unit-cost growth for maintenance materials and repairs in 1999. </w:t>
      </w:r>
      <w:r>
        <w:rPr>
          <w:spacing w:val="2"/>
        </w:rPr>
        <w:t>(The </w:t>
      </w:r>
      <w:r>
        <w:rPr/>
        <w:t>immediately preceding sentence is a forward-looking statement which involves uncertainties that could result in actual results differing materially from  expected  results. </w:t>
      </w:r>
      <w:r>
        <w:rPr>
          <w:spacing w:val="-3"/>
        </w:rPr>
        <w:t>Such </w:t>
      </w:r>
      <w:r>
        <w:rPr/>
        <w:t>uncertainties include, but </w:t>
      </w:r>
      <w:r>
        <w:rPr>
          <w:spacing w:val="-3"/>
        </w:rPr>
        <w:t>may </w:t>
      </w:r>
      <w:r>
        <w:rPr/>
        <w:t>not be limited to, any  unanticipated  required </w:t>
      </w:r>
      <w:r>
        <w:rPr>
          <w:spacing w:val="2"/>
        </w:rPr>
        <w:t>aircraft </w:t>
      </w:r>
      <w:r>
        <w:rPr/>
        <w:t>airframe or engine</w:t>
      </w:r>
      <w:r>
        <w:rPr>
          <w:spacing w:val="14"/>
        </w:rPr>
        <w:t> </w:t>
      </w:r>
      <w:r>
        <w:rPr/>
        <w:t>repairs.)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8" w:firstLine="182"/>
        <w:jc w:val="both"/>
      </w:pPr>
      <w:r>
        <w:rPr/>
        <w:t>Agency commissions per ASM decreased 5.7 percent in 1998, when compared to 1997, primarily due to a decrease in the percentage of commissionable sales.</w:t>
      </w:r>
    </w:p>
    <w:p>
      <w:pPr>
        <w:pStyle w:val="BodyText"/>
        <w:spacing w:before="7"/>
        <w:rPr>
          <w:sz w:val="31"/>
        </w:rPr>
      </w:pPr>
    </w:p>
    <w:p>
      <w:pPr>
        <w:pStyle w:val="BodyText"/>
        <w:spacing w:line="312" w:lineRule="auto"/>
        <w:ind w:left="119" w:right="119" w:firstLine="182"/>
        <w:jc w:val="both"/>
      </w:pPr>
      <w:r>
        <w:rPr/>
        <w:t>Aircraft rentals per ASM decreased 4.4 percent in 1998, compared to 1997, primarily due to a lower percentage of the aircraft fleet being leased.</w:t>
      </w:r>
    </w:p>
    <w:p>
      <w:pPr>
        <w:pStyle w:val="BodyText"/>
        <w:spacing w:before="6"/>
        <w:rPr>
          <w:sz w:val="31"/>
        </w:rPr>
      </w:pPr>
    </w:p>
    <w:p>
      <w:pPr>
        <w:pStyle w:val="BodyText"/>
        <w:spacing w:line="312" w:lineRule="auto" w:before="1"/>
        <w:ind w:left="119" w:right="116" w:firstLine="182"/>
        <w:jc w:val="both"/>
      </w:pPr>
      <w:r>
        <w:rPr/>
        <w:t>Depreciation expense per ASM increased 6.8 percent in 1998, compared to 1997, primarily due to a higher percentage of the aircraft fleet being owned. Effective January 1, 1999, the Company will revise its estimated useful lives of its Boeing 737-300/500 aircraft from 20 years to 23 years. This change in accounting estimate will decrease aircraft depreciation by approximately $25 million in 1999.</w:t>
      </w:r>
    </w:p>
    <w:p>
      <w:pPr>
        <w:pStyle w:val="BodyText"/>
        <w:spacing w:before="7"/>
        <w:rPr>
          <w:sz w:val="31"/>
        </w:rPr>
      </w:pPr>
    </w:p>
    <w:p>
      <w:pPr>
        <w:pStyle w:val="BodyText"/>
        <w:spacing w:line="312" w:lineRule="auto"/>
        <w:ind w:left="119" w:right="115" w:firstLine="182"/>
        <w:jc w:val="both"/>
      </w:pPr>
      <w:r>
        <w:rPr/>
        <w:t>Other operating expenses per ASM increased 2.1 percent in 1998, compared to 1997, primarily due to increased costs resulting from the Year 2000 remediation program and increased revenue related costs such as credit card processing and communications, offset by lower insurance costs. Advertising costs are expected to increase in first quarter 1999 as a result of opening a new city in March 1999. (The immediately preceding sentence is a forward-looking statement which involves uncertainties that could result in actual results differing materially from expected results.  Such uncertainties include, but may not be limited to, competitive responses from other air carriers and general economic conditions.)</w:t>
      </w:r>
    </w:p>
    <w:p>
      <w:pPr>
        <w:pStyle w:val="BodyText"/>
        <w:spacing w:before="6"/>
        <w:rPr>
          <w:sz w:val="31"/>
        </w:rPr>
      </w:pPr>
    </w:p>
    <w:p>
      <w:pPr>
        <w:pStyle w:val="BodyText"/>
        <w:spacing w:line="312" w:lineRule="auto" w:before="1"/>
        <w:ind w:left="119" w:right="115" w:firstLine="182"/>
        <w:jc w:val="both"/>
      </w:pPr>
      <w:r>
        <w:rPr>
          <w:i/>
          <w:color w:val="000080"/>
        </w:rPr>
        <w:t>OTHER </w:t>
      </w:r>
      <w:r>
        <w:rPr/>
        <w:t>“Other expenses (income)” included interest expense, capitalized interest, interest income, and nonoperating gains and losses. Interest expense decreased $7.2 million in 1998 primarily due to the </w:t>
      </w:r>
      <w:r>
        <w:rPr>
          <w:spacing w:val="3"/>
        </w:rPr>
        <w:t>February </w:t>
      </w:r>
      <w:r>
        <w:rPr/>
        <w:t>1998 redemption of $100 million of senior unsecured 9 1/4% Notes originally issued in </w:t>
      </w:r>
      <w:r>
        <w:rPr>
          <w:spacing w:val="3"/>
        </w:rPr>
        <w:t>February </w:t>
      </w:r>
      <w:r>
        <w:rPr/>
        <w:t>1991. Capitalized interest increased $5.8 million in 1998 as a result of higher 1998 progress payment balances. Interest income for 1998 decreased primarily due to lower invested cash balances. Nonoperating gains in 1998 primarily included contractual  penalties due from Boeing  as a result of </w:t>
      </w:r>
      <w:r>
        <w:rPr>
          <w:spacing w:val="2"/>
        </w:rPr>
        <w:t>aircraft </w:t>
      </w:r>
      <w:r>
        <w:rPr/>
        <w:t>delivery</w:t>
      </w:r>
      <w:r>
        <w:rPr>
          <w:spacing w:val="12"/>
        </w:rPr>
        <w:t> </w:t>
      </w:r>
      <w:r>
        <w:rPr/>
        <w:t>delays.</w:t>
      </w:r>
    </w:p>
    <w:p>
      <w:pPr>
        <w:spacing w:after="0" w:line="312" w:lineRule="auto"/>
        <w:jc w:val="both"/>
        <w:sectPr>
          <w:footerReference w:type="default" r:id="rId12"/>
          <w:pgSz w:w="12240" w:h="15840"/>
          <w:pgMar w:footer="344" w:header="1448" w:top="1700" w:bottom="540" w:left="1320" w:right="1320"/>
        </w:sectPr>
      </w:pPr>
    </w:p>
    <w:p>
      <w:pPr>
        <w:pStyle w:val="BodyText"/>
        <w:rPr>
          <w:sz w:val="20"/>
        </w:rPr>
      </w:pPr>
    </w:p>
    <w:p>
      <w:pPr>
        <w:pStyle w:val="BodyText"/>
        <w:spacing w:line="312" w:lineRule="auto" w:before="219"/>
        <w:ind w:left="119" w:right="118" w:firstLine="182"/>
        <w:jc w:val="both"/>
      </w:pPr>
      <w:r>
        <w:rPr>
          <w:i/>
          <w:color w:val="000080"/>
        </w:rPr>
        <w:t>INCOME TAXES </w:t>
      </w:r>
      <w:r>
        <w:rPr/>
        <w:t>The provision for income taxes, as a percentage of income before taxes, was unchanged from 1997 to 1998.</w:t>
      </w:r>
    </w:p>
    <w:p>
      <w:pPr>
        <w:pStyle w:val="BodyText"/>
        <w:spacing w:before="2"/>
        <w:rPr>
          <w:sz w:val="31"/>
        </w:rPr>
      </w:pPr>
    </w:p>
    <w:p>
      <w:pPr>
        <w:spacing w:before="0"/>
        <w:ind w:left="302" w:right="0" w:firstLine="0"/>
        <w:jc w:val="left"/>
        <w:rPr>
          <w:sz w:val="24"/>
        </w:rPr>
      </w:pPr>
      <w:r>
        <w:rPr>
          <w:b/>
          <w:color w:val="808080"/>
          <w:sz w:val="24"/>
        </w:rPr>
        <w:t>1997 COMPARED WITH 1996 </w:t>
      </w:r>
      <w:r>
        <w:rPr>
          <w:sz w:val="24"/>
        </w:rPr>
        <w:t>The Company’s consolidated net income for 1997 was</w:t>
      </w:r>
    </w:p>
    <w:p>
      <w:pPr>
        <w:pStyle w:val="BodyText"/>
        <w:spacing w:line="312" w:lineRule="auto" w:before="88"/>
        <w:ind w:left="119" w:right="119"/>
        <w:jc w:val="both"/>
      </w:pPr>
      <w:r>
        <w:rPr/>
        <w:t>$317.8 million </w:t>
      </w:r>
      <w:r>
        <w:rPr>
          <w:spacing w:val="2"/>
        </w:rPr>
        <w:t>($.93 </w:t>
      </w:r>
      <w:r>
        <w:rPr/>
        <w:t>per share, diluted), as compared to the corresponding 1996  amount of $207.3 million </w:t>
      </w:r>
      <w:r>
        <w:rPr>
          <w:spacing w:val="2"/>
        </w:rPr>
        <w:t>($.61 </w:t>
      </w:r>
      <w:r>
        <w:rPr/>
        <w:t>per share, diluted), an increase of 53.3</w:t>
      </w:r>
      <w:r>
        <w:rPr>
          <w:spacing w:val="17"/>
        </w:rPr>
        <w:t> </w:t>
      </w:r>
      <w:r>
        <w:rPr/>
        <w:t>percent.</w:t>
      </w:r>
    </w:p>
    <w:p>
      <w:pPr>
        <w:pStyle w:val="BodyText"/>
        <w:spacing w:before="6"/>
        <w:rPr>
          <w:sz w:val="31"/>
        </w:rPr>
      </w:pPr>
    </w:p>
    <w:p>
      <w:pPr>
        <w:pStyle w:val="BodyText"/>
        <w:spacing w:line="312" w:lineRule="auto"/>
        <w:ind w:left="119" w:right="116" w:firstLine="182"/>
        <w:jc w:val="both"/>
      </w:pPr>
      <w:r>
        <w:rPr>
          <w:i/>
          <w:color w:val="000080"/>
        </w:rPr>
        <w:t>OPERATING REVENUES </w:t>
      </w:r>
      <w:r>
        <w:rPr/>
        <w:t>Consolidated operating </w:t>
      </w:r>
      <w:r>
        <w:rPr>
          <w:spacing w:val="2"/>
        </w:rPr>
        <w:t>revenues </w:t>
      </w:r>
      <w:r>
        <w:rPr/>
        <w:t>increased by 12.1 percent in 1997 to $3,816.8 million, compared to $3,406.2 million for 1996. This  increase in 1997 operating </w:t>
      </w:r>
      <w:r>
        <w:rPr>
          <w:spacing w:val="2"/>
        </w:rPr>
        <w:t>revenues </w:t>
      </w:r>
      <w:r>
        <w:rPr/>
        <w:t>was derived primarily from an 11.3 percent increase</w:t>
      </w:r>
      <w:r>
        <w:rPr>
          <w:spacing w:val="21"/>
        </w:rPr>
        <w:t> </w:t>
      </w:r>
      <w:r>
        <w:rPr/>
        <w:t>in</w:t>
      </w:r>
      <w:r>
        <w:rPr>
          <w:spacing w:val="28"/>
        </w:rPr>
        <w:t> </w:t>
      </w:r>
      <w:r>
        <w:rPr/>
        <w:t>passenger</w:t>
      </w:r>
      <w:r>
        <w:rPr>
          <w:spacing w:val="19"/>
        </w:rPr>
        <w:t> </w:t>
      </w:r>
      <w:r>
        <w:rPr>
          <w:spacing w:val="2"/>
        </w:rPr>
        <w:t>revenues</w:t>
      </w:r>
      <w:r>
        <w:rPr>
          <w:spacing w:val="9"/>
        </w:rPr>
        <w:t> </w:t>
      </w:r>
      <w:r>
        <w:rPr/>
        <w:t>as</w:t>
      </w:r>
      <w:r>
        <w:rPr>
          <w:spacing w:val="26"/>
        </w:rPr>
        <w:t> </w:t>
      </w:r>
      <w:r>
        <w:rPr/>
        <w:t>a</w:t>
      </w:r>
      <w:r>
        <w:rPr>
          <w:spacing w:val="28"/>
        </w:rPr>
        <w:t> </w:t>
      </w:r>
      <w:r>
        <w:rPr/>
        <w:t>result</w:t>
      </w:r>
      <w:r>
        <w:rPr>
          <w:spacing w:val="28"/>
        </w:rPr>
        <w:t> </w:t>
      </w:r>
      <w:r>
        <w:rPr/>
        <w:t>of</w:t>
      </w:r>
      <w:r>
        <w:rPr>
          <w:spacing w:val="27"/>
        </w:rPr>
        <w:t> </w:t>
      </w:r>
      <w:r>
        <w:rPr/>
        <w:t>a</w:t>
      </w:r>
      <w:r>
        <w:rPr>
          <w:spacing w:val="28"/>
        </w:rPr>
        <w:t> </w:t>
      </w:r>
      <w:r>
        <w:rPr/>
        <w:t>4.7</w:t>
      </w:r>
      <w:r>
        <w:rPr>
          <w:spacing w:val="26"/>
        </w:rPr>
        <w:t> </w:t>
      </w:r>
      <w:r>
        <w:rPr/>
        <w:t>percent</w:t>
      </w:r>
      <w:r>
        <w:rPr>
          <w:spacing w:val="22"/>
        </w:rPr>
        <w:t> </w:t>
      </w:r>
      <w:r>
        <w:rPr/>
        <w:t>increase</w:t>
      </w:r>
      <w:r>
        <w:rPr>
          <w:spacing w:val="21"/>
        </w:rPr>
        <w:t> </w:t>
      </w:r>
      <w:r>
        <w:rPr/>
        <w:t>in</w:t>
      </w:r>
      <w:r>
        <w:rPr>
          <w:spacing w:val="28"/>
        </w:rPr>
        <w:t> </w:t>
      </w:r>
      <w:r>
        <w:rPr/>
        <w:t>RPMs</w:t>
      </w:r>
      <w:r>
        <w:rPr>
          <w:spacing w:val="27"/>
        </w:rPr>
        <w:t> </w:t>
      </w:r>
      <w:r>
        <w:rPr/>
        <w:t>and</w:t>
      </w:r>
      <w:r>
        <w:rPr>
          <w:spacing w:val="26"/>
        </w:rPr>
        <w:t> </w:t>
      </w:r>
      <w:r>
        <w:rPr/>
        <w:t>a</w:t>
      </w:r>
    </w:p>
    <w:p>
      <w:pPr>
        <w:pStyle w:val="BodyText"/>
        <w:spacing w:line="312" w:lineRule="auto" w:before="3"/>
        <w:ind w:left="119" w:right="116"/>
        <w:jc w:val="both"/>
      </w:pPr>
      <w:r>
        <w:rPr/>
        <w:t>6.4 percent increase in passenger </w:t>
      </w:r>
      <w:r>
        <w:rPr>
          <w:spacing w:val="2"/>
        </w:rPr>
        <w:t>revenue </w:t>
      </w:r>
      <w:r>
        <w:rPr/>
        <w:t>yield per RPM. Southwest’s passenger </w:t>
      </w:r>
      <w:r>
        <w:rPr>
          <w:spacing w:val="2"/>
        </w:rPr>
        <w:t>revenues </w:t>
      </w:r>
      <w:r>
        <w:rPr/>
        <w:t>benefited from a strong U.S. economy, strong demand for air travel,  increased fares, and a favorable mix of higher yielding</w:t>
      </w:r>
      <w:r>
        <w:rPr>
          <w:spacing w:val="23"/>
        </w:rPr>
        <w:t> </w:t>
      </w:r>
      <w:r>
        <w:rPr/>
        <w:t>fares.</w:t>
      </w:r>
    </w:p>
    <w:p>
      <w:pPr>
        <w:pStyle w:val="BodyText"/>
        <w:spacing w:before="7"/>
        <w:rPr>
          <w:sz w:val="31"/>
        </w:rPr>
      </w:pPr>
    </w:p>
    <w:p>
      <w:pPr>
        <w:pStyle w:val="BodyText"/>
        <w:spacing w:line="312" w:lineRule="auto"/>
        <w:ind w:left="119" w:right="117" w:firstLine="182"/>
        <w:jc w:val="both"/>
      </w:pPr>
      <w:r>
        <w:rPr>
          <w:spacing w:val="2"/>
        </w:rPr>
        <w:t>The </w:t>
      </w:r>
      <w:r>
        <w:rPr/>
        <w:t>4.7 percent increase in RPMs in 1997, coupled with a 9.2 percent increase in </w:t>
      </w:r>
      <w:r>
        <w:rPr>
          <w:spacing w:val="-4"/>
        </w:rPr>
        <w:t>ASMs,  </w:t>
      </w:r>
      <w:r>
        <w:rPr/>
        <w:t>resulted in a decrease in load factor from 66.5 percent in 1996 to 63.7 percent   in 1997. </w:t>
      </w:r>
      <w:r>
        <w:rPr>
          <w:spacing w:val="2"/>
        </w:rPr>
        <w:t>The </w:t>
      </w:r>
      <w:r>
        <w:rPr/>
        <w:t>decrease in load factor was primarily the result of less promotional fare activity in 1997. </w:t>
      </w:r>
      <w:r>
        <w:rPr>
          <w:spacing w:val="2"/>
        </w:rPr>
        <w:t>The </w:t>
      </w:r>
      <w:r>
        <w:rPr/>
        <w:t>1997 </w:t>
      </w:r>
      <w:r>
        <w:rPr>
          <w:spacing w:val="-3"/>
        </w:rPr>
        <w:t>ASM </w:t>
      </w:r>
      <w:r>
        <w:rPr/>
        <w:t>growth resulted from the addition of 18 </w:t>
      </w:r>
      <w:r>
        <w:rPr>
          <w:spacing w:val="2"/>
        </w:rPr>
        <w:t>aircraft </w:t>
      </w:r>
      <w:r>
        <w:rPr/>
        <w:t>during the year.</w:t>
      </w:r>
    </w:p>
    <w:p>
      <w:pPr>
        <w:pStyle w:val="BodyText"/>
        <w:spacing w:before="6"/>
        <w:rPr>
          <w:sz w:val="31"/>
        </w:rPr>
      </w:pPr>
    </w:p>
    <w:p>
      <w:pPr>
        <w:pStyle w:val="BodyText"/>
        <w:spacing w:before="1"/>
        <w:ind w:left="302"/>
      </w:pPr>
      <w:r>
        <w:rPr/>
        <w:t>Freight revenues in 1997 were $94.8 million, compared to $80.0 million in 1996.   The</w:t>
      </w:r>
    </w:p>
    <w:p>
      <w:pPr>
        <w:pStyle w:val="BodyText"/>
        <w:spacing w:line="312" w:lineRule="auto" w:before="84"/>
        <w:ind w:left="119" w:right="118"/>
        <w:jc w:val="both"/>
      </w:pPr>
      <w:r>
        <w:rPr/>
        <w:t>18.4 percent increase in freight </w:t>
      </w:r>
      <w:r>
        <w:rPr>
          <w:spacing w:val="2"/>
        </w:rPr>
        <w:t>revenues </w:t>
      </w:r>
      <w:r>
        <w:rPr/>
        <w:t>exceeded the 9.2 percent increase in ASMs for the same period primarily due to an increase in United </w:t>
      </w:r>
      <w:r>
        <w:rPr>
          <w:spacing w:val="-4"/>
        </w:rPr>
        <w:t>States </w:t>
      </w:r>
      <w:r>
        <w:rPr/>
        <w:t>mail services and increased air freight volumes resulting, in part, from the United Parcel Service labor strike during third quarter</w:t>
      </w:r>
      <w:r>
        <w:rPr>
          <w:spacing w:val="20"/>
        </w:rPr>
        <w:t> </w:t>
      </w:r>
      <w:r>
        <w:rPr/>
        <w:t>1997.</w:t>
      </w:r>
    </w:p>
    <w:p>
      <w:pPr>
        <w:pStyle w:val="BodyText"/>
        <w:spacing w:before="6"/>
        <w:rPr>
          <w:sz w:val="31"/>
        </w:rPr>
      </w:pPr>
    </w:p>
    <w:p>
      <w:pPr>
        <w:pStyle w:val="BodyText"/>
        <w:spacing w:before="1"/>
        <w:ind w:left="302"/>
      </w:pPr>
      <w:r>
        <w:rPr/>
        <w:t>Other  revenues increased by  45.6 percent in  1997  to  $82.9 million,  compared    to</w:t>
      </w:r>
    </w:p>
    <w:p>
      <w:pPr>
        <w:pStyle w:val="BodyText"/>
        <w:spacing w:line="312" w:lineRule="auto" w:before="84"/>
        <w:ind w:left="119" w:right="120"/>
        <w:jc w:val="both"/>
      </w:pPr>
      <w:r>
        <w:rPr/>
        <w:t>$56.9 million in 1996. </w:t>
      </w:r>
      <w:r>
        <w:rPr>
          <w:spacing w:val="3"/>
        </w:rPr>
        <w:t>This </w:t>
      </w:r>
      <w:r>
        <w:rPr/>
        <w:t>increase is primarily due to the sale of frequent  flyer segment credits to participating partners in the Company’s Rapid Rewards  frequent flyer program.</w:t>
      </w:r>
    </w:p>
    <w:p>
      <w:pPr>
        <w:spacing w:after="0" w:line="312" w:lineRule="auto"/>
        <w:jc w:val="both"/>
        <w:sectPr>
          <w:footerReference w:type="default" r:id="rId13"/>
          <w:pgSz w:w="12240" w:h="15840"/>
          <w:pgMar w:footer="344" w:header="1448" w:top="1700" w:bottom="540" w:left="1320" w:right="1320"/>
          <w:pgNumType w:start="31"/>
        </w:sectPr>
      </w:pPr>
    </w:p>
    <w:p>
      <w:pPr>
        <w:pStyle w:val="BodyText"/>
        <w:rPr>
          <w:sz w:val="20"/>
        </w:rPr>
      </w:pPr>
    </w:p>
    <w:p>
      <w:pPr>
        <w:pStyle w:val="BodyText"/>
        <w:spacing w:line="312" w:lineRule="auto" w:before="219"/>
        <w:ind w:left="119" w:right="113" w:firstLine="182"/>
        <w:jc w:val="both"/>
      </w:pPr>
      <w:r>
        <w:rPr>
          <w:i/>
          <w:color w:val="000080"/>
        </w:rPr>
        <w:t>OPERATING EXPENSES </w:t>
      </w:r>
      <w:r>
        <w:rPr/>
        <w:t>Consolidated operating expenses for 1997 were $3,292.6 million, compared to $3,055.3 million in 1996, an increase of 7.8 percent, compared to the 9.2 percent increase in capacity. Operating expenses per ASM decreased 1.3 percent in 1997, compared to 1996, primarily due to lower jet fuel prices; lower aircraft engine repair costs; and favorable results from numerous Companywide cost reduction efforts.</w:t>
      </w:r>
    </w:p>
    <w:p>
      <w:pPr>
        <w:pStyle w:val="BodyText"/>
        <w:spacing w:before="7"/>
        <w:rPr>
          <w:sz w:val="31"/>
        </w:rPr>
      </w:pPr>
    </w:p>
    <w:p>
      <w:pPr>
        <w:pStyle w:val="BodyText"/>
        <w:spacing w:line="312" w:lineRule="auto"/>
        <w:ind w:left="119" w:right="115" w:firstLine="182"/>
        <w:jc w:val="both"/>
      </w:pPr>
      <w:r>
        <w:rPr/>
        <w:t>Salaries, wages, and benefits per </w:t>
      </w:r>
      <w:r>
        <w:rPr>
          <w:spacing w:val="-3"/>
        </w:rPr>
        <w:t>ASM </w:t>
      </w:r>
      <w:r>
        <w:rPr/>
        <w:t>increased 1.8 percent in 1997. </w:t>
      </w:r>
      <w:r>
        <w:rPr>
          <w:spacing w:val="3"/>
        </w:rPr>
        <w:t>This </w:t>
      </w:r>
      <w:r>
        <w:rPr/>
        <w:t>increase resulted primarily from a 2.4 percent increase in 1997 average salary and benefits cost per Employee, partially offset by slower growth in the number of Employees. </w:t>
      </w:r>
      <w:r>
        <w:rPr>
          <w:spacing w:val="2"/>
        </w:rPr>
        <w:t>The </w:t>
      </w:r>
      <w:r>
        <w:rPr/>
        <w:t>increase in average salary and benefits cost per Employee primarily is  due  to  increased health care</w:t>
      </w:r>
      <w:r>
        <w:rPr>
          <w:spacing w:val="12"/>
        </w:rPr>
        <w:t> </w:t>
      </w:r>
      <w:r>
        <w:rPr/>
        <w:t>costs.</w:t>
      </w:r>
    </w:p>
    <w:p>
      <w:pPr>
        <w:pStyle w:val="BodyText"/>
        <w:spacing w:before="6"/>
        <w:rPr>
          <w:sz w:val="31"/>
        </w:rPr>
      </w:pPr>
    </w:p>
    <w:p>
      <w:pPr>
        <w:pStyle w:val="BodyText"/>
        <w:spacing w:line="312" w:lineRule="auto" w:before="1"/>
        <w:ind w:left="119" w:right="108" w:firstLine="182"/>
        <w:jc w:val="both"/>
      </w:pPr>
      <w:r>
        <w:rPr/>
        <w:t>The Company’s Flight Attendants are subject to an agreement with the Transport Workers Union of America, AFL-CIO (TWU), which became amendable May 31, 1996. The Company reached an agreement with the TWU, which was ratified by its membership in December 1997. The new contract becomes amendable in May 2002.</w:t>
      </w:r>
    </w:p>
    <w:p>
      <w:pPr>
        <w:pStyle w:val="BodyText"/>
        <w:spacing w:before="7"/>
        <w:rPr>
          <w:sz w:val="31"/>
        </w:rPr>
      </w:pPr>
    </w:p>
    <w:p>
      <w:pPr>
        <w:pStyle w:val="BodyText"/>
        <w:spacing w:line="312" w:lineRule="auto"/>
        <w:ind w:left="119" w:right="117" w:firstLine="182"/>
        <w:jc w:val="both"/>
      </w:pPr>
      <w:r>
        <w:rPr/>
        <w:t>Profitsharing and Employee savings plans expense per </w:t>
      </w:r>
      <w:r>
        <w:rPr>
          <w:spacing w:val="-3"/>
        </w:rPr>
        <w:t>ASM </w:t>
      </w:r>
      <w:r>
        <w:rPr/>
        <w:t>increased 30.4 percent  in 1997, primarily due to higher earnings available for</w:t>
      </w:r>
      <w:r>
        <w:rPr>
          <w:spacing w:val="48"/>
        </w:rPr>
        <w:t> </w:t>
      </w:r>
      <w:r>
        <w:rPr/>
        <w:t>profitsharing.</w:t>
      </w:r>
    </w:p>
    <w:p>
      <w:pPr>
        <w:pStyle w:val="BodyText"/>
        <w:spacing w:before="6"/>
        <w:rPr>
          <w:sz w:val="31"/>
        </w:rPr>
      </w:pPr>
    </w:p>
    <w:p>
      <w:pPr>
        <w:pStyle w:val="BodyText"/>
        <w:spacing w:line="312" w:lineRule="auto" w:before="1"/>
        <w:ind w:left="119" w:right="117" w:firstLine="182"/>
        <w:jc w:val="both"/>
      </w:pPr>
      <w:r>
        <w:rPr/>
        <w:t>Fuel and oil expenses per ASM decreased 6.7 percent in 1997, primarily due to a 4.6 percent decrease from 1996 in the average jet fuel cost per gallon, coupled with a slight decrease in the average fuel burn rate from 1996. The average price paid for jet fuel in 1997 was $.6246 compared to $.6547 in 1996. During fourth quarter 1997, the average cost per gallon decreased 17.5 percent to $.6040 compared to $.7323 in fourth quarter 1996.</w:t>
      </w:r>
    </w:p>
    <w:p>
      <w:pPr>
        <w:pStyle w:val="BodyText"/>
        <w:spacing w:before="7"/>
        <w:rPr>
          <w:sz w:val="31"/>
        </w:rPr>
      </w:pPr>
    </w:p>
    <w:p>
      <w:pPr>
        <w:pStyle w:val="BodyText"/>
        <w:spacing w:line="312" w:lineRule="auto"/>
        <w:ind w:left="119" w:right="117" w:firstLine="182"/>
        <w:jc w:val="both"/>
      </w:pPr>
      <w:r>
        <w:rPr/>
        <w:t>Maintenance materials and repairs per ASM decreased 6.5 percent  in  1997, compared to 1996, primarily as a result of lower engine overhaul costs in the first three quarters of 1997, when compared to the same periods in 1996.</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2"/>
        <w:jc w:val="both"/>
      </w:pPr>
      <w:r>
        <w:rPr/>
        <w:t>On </w:t>
      </w:r>
      <w:r>
        <w:rPr>
          <w:spacing w:val="-4"/>
        </w:rPr>
        <w:t>August </w:t>
      </w:r>
      <w:r>
        <w:rPr/>
        <w:t>1, 1997, the Company signed a ten-year engine maintenance contract with General Electric Engine Services, Inc. (General Electric). Under the terms of the contract, Southwest will pay General Electric a </w:t>
      </w:r>
      <w:r>
        <w:rPr>
          <w:spacing w:val="2"/>
        </w:rPr>
        <w:t>rate </w:t>
      </w:r>
      <w:r>
        <w:rPr/>
        <w:t>per flight hour in exchange for General Electric performing substantially all engine maintenance for the CFM56-3 engines on the 737-300 and 737-500 </w:t>
      </w:r>
      <w:r>
        <w:rPr>
          <w:spacing w:val="2"/>
        </w:rPr>
        <w:t>aircraft. The </w:t>
      </w:r>
      <w:r>
        <w:rPr/>
        <w:t>Company has a similar agreement with General Electric with </w:t>
      </w:r>
      <w:r>
        <w:rPr>
          <w:spacing w:val="2"/>
        </w:rPr>
        <w:t>respect </w:t>
      </w:r>
      <w:r>
        <w:rPr/>
        <w:t>to the engines on the 737-700 </w:t>
      </w:r>
      <w:r>
        <w:rPr>
          <w:spacing w:val="2"/>
        </w:rPr>
        <w:t>aircraft. </w:t>
      </w:r>
      <w:r>
        <w:rPr/>
        <w:t>Maintenance on the </w:t>
      </w:r>
      <w:r>
        <w:rPr>
          <w:spacing w:val="-4"/>
        </w:rPr>
        <w:t>Pratt </w:t>
      </w:r>
      <w:r>
        <w:rPr/>
        <w:t>&amp; </w:t>
      </w:r>
      <w:r>
        <w:rPr>
          <w:spacing w:val="2"/>
        </w:rPr>
        <w:t>Whitney </w:t>
      </w:r>
      <w:r>
        <w:rPr/>
        <w:t>JT8-D engines on the 737-200 </w:t>
      </w:r>
      <w:r>
        <w:rPr>
          <w:spacing w:val="2"/>
        </w:rPr>
        <w:t>aircraft </w:t>
      </w:r>
      <w:r>
        <w:rPr/>
        <w:t>will continue to be performed by General Electric on a time and materials basis. By consolidating its  engine repair work and committing to ten years, Southwest believes it will spend substantially less over the course of the contract versus what it would have spent  absent this new agreement. </w:t>
      </w:r>
      <w:r>
        <w:rPr>
          <w:spacing w:val="2"/>
        </w:rPr>
        <w:t>(The </w:t>
      </w:r>
      <w:r>
        <w:rPr/>
        <w:t>immediately preceding sentence is a forward-looking statement which involves uncertainties that could result in actual results differing materially from expected results; such uncertainties include the number of unscheduled engine removals, labor </w:t>
      </w:r>
      <w:r>
        <w:rPr>
          <w:spacing w:val="2"/>
        </w:rPr>
        <w:t>rates, </w:t>
      </w:r>
      <w:r>
        <w:rPr/>
        <w:t>and competition in the engine overhaul</w:t>
      </w:r>
      <w:r>
        <w:rPr>
          <w:spacing w:val="5"/>
        </w:rPr>
        <w:t> </w:t>
      </w:r>
      <w:r>
        <w:rPr/>
        <w:t>market.)</w:t>
      </w:r>
    </w:p>
    <w:p>
      <w:pPr>
        <w:pStyle w:val="BodyText"/>
        <w:spacing w:before="7"/>
        <w:rPr>
          <w:sz w:val="31"/>
        </w:rPr>
      </w:pPr>
    </w:p>
    <w:p>
      <w:pPr>
        <w:pStyle w:val="BodyText"/>
        <w:spacing w:line="312" w:lineRule="auto"/>
        <w:ind w:left="119" w:right="118" w:firstLine="182"/>
        <w:jc w:val="both"/>
      </w:pPr>
      <w:r>
        <w:rPr/>
        <w:t>Agency commissions per ASM remained unchanged in 1997, when  compared  to 1996, as the mix of commissionable sales was relatively unchanged.</w:t>
      </w:r>
    </w:p>
    <w:p>
      <w:pPr>
        <w:pStyle w:val="BodyText"/>
        <w:spacing w:before="6"/>
        <w:rPr>
          <w:sz w:val="31"/>
        </w:rPr>
      </w:pPr>
    </w:p>
    <w:p>
      <w:pPr>
        <w:pStyle w:val="BodyText"/>
        <w:spacing w:line="312" w:lineRule="auto" w:before="1"/>
        <w:ind w:left="119" w:right="119" w:firstLine="182"/>
        <w:jc w:val="both"/>
      </w:pPr>
      <w:r>
        <w:rPr/>
        <w:t>Aircraft rentals per ASM decreased 4.3 percent in 1997, compared to 1996, primarily due to a lower percentage of the aircraft fleet being leased.</w:t>
      </w:r>
    </w:p>
    <w:p>
      <w:pPr>
        <w:pStyle w:val="BodyText"/>
        <w:spacing w:before="7"/>
        <w:rPr>
          <w:sz w:val="31"/>
        </w:rPr>
      </w:pPr>
    </w:p>
    <w:p>
      <w:pPr>
        <w:pStyle w:val="BodyText"/>
        <w:spacing w:line="312" w:lineRule="auto"/>
        <w:ind w:left="119" w:right="117" w:firstLine="182"/>
        <w:jc w:val="both"/>
      </w:pPr>
      <w:r>
        <w:rPr/>
        <w:t>Depreciation expense per </w:t>
      </w:r>
      <w:r>
        <w:rPr>
          <w:spacing w:val="-3"/>
        </w:rPr>
        <w:t>ASM </w:t>
      </w:r>
      <w:r>
        <w:rPr/>
        <w:t>decreased 2.2 percent in 1997, compared to 1996, due to an increase in the average life of depreciable</w:t>
      </w:r>
      <w:r>
        <w:rPr>
          <w:spacing w:val="31"/>
        </w:rPr>
        <w:t> </w:t>
      </w:r>
      <w:r>
        <w:rPr/>
        <w:t>assets.</w:t>
      </w:r>
    </w:p>
    <w:p>
      <w:pPr>
        <w:pStyle w:val="BodyText"/>
        <w:spacing w:before="6"/>
        <w:rPr>
          <w:sz w:val="31"/>
        </w:rPr>
      </w:pPr>
    </w:p>
    <w:p>
      <w:pPr>
        <w:pStyle w:val="BodyText"/>
        <w:spacing w:line="312" w:lineRule="auto" w:before="1"/>
        <w:ind w:left="119" w:right="116" w:firstLine="182"/>
        <w:jc w:val="both"/>
      </w:pPr>
      <w:r>
        <w:rPr/>
        <w:t>Other operating expenses per </w:t>
      </w:r>
      <w:r>
        <w:rPr>
          <w:spacing w:val="-3"/>
        </w:rPr>
        <w:t>ASM </w:t>
      </w:r>
      <w:r>
        <w:rPr/>
        <w:t>decreased 4.0 percent in 1997, compared to  1996, primarily due to lower credit card processing costs, insurance </w:t>
      </w:r>
      <w:r>
        <w:rPr>
          <w:spacing w:val="2"/>
        </w:rPr>
        <w:t>rates, </w:t>
      </w:r>
      <w:r>
        <w:rPr/>
        <w:t>passenger costs, communications costs, and favorable results from numerous other Companywide cost reduction</w:t>
      </w:r>
      <w:r>
        <w:rPr>
          <w:spacing w:val="6"/>
        </w:rPr>
        <w:t> </w:t>
      </w:r>
      <w:r>
        <w:rPr/>
        <w:t>efforts.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6" w:firstLine="182"/>
        <w:jc w:val="both"/>
      </w:pPr>
      <w:r>
        <w:rPr>
          <w:i/>
          <w:color w:val="000080"/>
        </w:rPr>
        <w:t>OTHER </w:t>
      </w:r>
      <w:r>
        <w:rPr/>
        <w:t>“Other expenses (income)” included interest expense, capitalized interest, interest income, and nonoperating gains and losses. Interest expense increased $4.2 million in 1997 primarily due to the February 1997 issuance of $100 million of senior unsecured 7 3/8% Debentures due March 1, 2027. Capitalized interest decreased $2.5 million in 1997 as a result of the timing of payments related to aircraft purchase contracts. Interest income for 1997 increased $10.8 million primarily due to higher invested cash balances.</w:t>
      </w:r>
    </w:p>
    <w:p>
      <w:pPr>
        <w:pStyle w:val="BodyText"/>
        <w:spacing w:before="7"/>
        <w:rPr>
          <w:sz w:val="31"/>
        </w:rPr>
      </w:pPr>
    </w:p>
    <w:p>
      <w:pPr>
        <w:pStyle w:val="BodyText"/>
        <w:spacing w:line="312" w:lineRule="auto"/>
        <w:ind w:left="119" w:right="113" w:firstLine="182"/>
        <w:jc w:val="both"/>
      </w:pPr>
      <w:r>
        <w:rPr>
          <w:i/>
          <w:color w:val="000080"/>
        </w:rPr>
        <w:t>INCOME TAXES </w:t>
      </w:r>
      <w:r>
        <w:rPr/>
        <w:t>The provision for income taxes, as a percentage of income before taxes, decreased in 1997 to 38.5 percent from 39.3 percent in 1996. The decrease resulted from lower effective state tax rates, including a reduced California income tax rate.</w:t>
      </w:r>
    </w:p>
    <w:p>
      <w:pPr>
        <w:pStyle w:val="BodyText"/>
        <w:spacing w:before="2"/>
        <w:rPr>
          <w:sz w:val="31"/>
        </w:rPr>
      </w:pPr>
    </w:p>
    <w:p>
      <w:pPr>
        <w:pStyle w:val="Heading4"/>
        <w:ind w:left="119"/>
      </w:pPr>
      <w:r>
        <w:rPr>
          <w:color w:val="000080"/>
        </w:rPr>
        <w:t>LIQUIDITY AND CAPITAL RESOURCES</w:t>
      </w:r>
    </w:p>
    <w:p>
      <w:pPr>
        <w:pStyle w:val="BodyText"/>
        <w:spacing w:line="312" w:lineRule="auto" w:before="88"/>
        <w:ind w:left="119" w:right="117" w:firstLine="182"/>
        <w:jc w:val="both"/>
      </w:pPr>
      <w:r>
        <w:rPr/>
        <w:t>Cash provided from operations was $886.1 million in 1998, compared  to  $610.6 million in 1997.</w:t>
      </w:r>
    </w:p>
    <w:p>
      <w:pPr>
        <w:pStyle w:val="BodyText"/>
        <w:spacing w:before="6"/>
        <w:rPr>
          <w:sz w:val="31"/>
        </w:rPr>
      </w:pPr>
    </w:p>
    <w:p>
      <w:pPr>
        <w:pStyle w:val="BodyText"/>
        <w:spacing w:line="312" w:lineRule="auto"/>
        <w:ind w:left="119" w:right="113" w:firstLine="182"/>
        <w:jc w:val="both"/>
      </w:pPr>
      <w:r>
        <w:rPr/>
        <w:t>During 1998, capital expenditures of $947.1 million primarily were for the purchase of 22 new 737-700 aircraft and four used 737-300 aircraft along with progress payments for future aircraft deliveries. In February 1998, the Company redeemed $100 million of senior unsecured 9 1/4% Notes originally issued in February 1991. At December 31, 1998, capital commitments of the Company primarily consisted of scheduled aircraft acquisitions and related flight equipment.</w:t>
      </w:r>
    </w:p>
    <w:p>
      <w:pPr>
        <w:pStyle w:val="BodyText"/>
        <w:spacing w:before="6"/>
        <w:rPr>
          <w:sz w:val="31"/>
        </w:rPr>
      </w:pPr>
    </w:p>
    <w:p>
      <w:pPr>
        <w:pStyle w:val="BodyText"/>
        <w:spacing w:line="312" w:lineRule="auto"/>
        <w:ind w:left="119" w:right="117" w:firstLine="182"/>
        <w:jc w:val="both"/>
      </w:pPr>
      <w:r>
        <w:rPr/>
        <w:t>As of July 22, 1998, the Board of Directors increased the Company’s authorization to repurchase shares of its outstanding common stock to $100 million. The Company completed this repurchase program during third quarter 1998, resulting in the repurchase of approximately 4.9 million post-split shares.</w:t>
      </w:r>
    </w:p>
    <w:p>
      <w:pPr>
        <w:pStyle w:val="BodyText"/>
        <w:spacing w:before="6"/>
        <w:rPr>
          <w:sz w:val="31"/>
        </w:rPr>
      </w:pPr>
    </w:p>
    <w:p>
      <w:pPr>
        <w:pStyle w:val="BodyText"/>
        <w:spacing w:line="312" w:lineRule="auto"/>
        <w:ind w:left="119" w:right="98" w:firstLine="182"/>
        <w:jc w:val="both"/>
      </w:pPr>
      <w:r>
        <w:rPr/>
        <w:t>As of December 31, 1998, Southwest had 105 new 737-700s on firm order, including 32 to be delivered in 1999, with options to purchase another 62. Aggregate funding required for firm commitments approximated $2,492.5 million through the year 2004, of which $715.9 million related to 1999. See Note 2 to the Consolidated Financial Statements for further information.</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2"/>
        <w:jc w:val="both"/>
      </w:pPr>
      <w:r>
        <w:rPr/>
        <w:t>The Company has various options available to meet its capital and operating commitments, including cash on hand at December 31, 1998, of $378.5 million, internally generated funds, and a revolving credit line with a group of banks of up to</w:t>
      </w:r>
    </w:p>
    <w:p>
      <w:pPr>
        <w:pStyle w:val="BodyText"/>
        <w:spacing w:line="312" w:lineRule="auto" w:before="3"/>
        <w:ind w:left="119" w:right="117"/>
        <w:jc w:val="both"/>
      </w:pPr>
      <w:r>
        <w:rPr/>
        <w:t>$475 million (none of which had been drawn at December 31, 1998). In addition, the Company will also consider various borrowing or leasing options to maximize earnings and supplement cash requirements.</w:t>
      </w:r>
    </w:p>
    <w:p>
      <w:pPr>
        <w:pStyle w:val="BodyText"/>
        <w:spacing w:before="6"/>
        <w:rPr>
          <w:sz w:val="31"/>
        </w:rPr>
      </w:pPr>
    </w:p>
    <w:p>
      <w:pPr>
        <w:pStyle w:val="BodyText"/>
        <w:spacing w:line="312" w:lineRule="auto"/>
        <w:ind w:left="119" w:right="113" w:firstLine="187"/>
        <w:jc w:val="both"/>
      </w:pPr>
      <w:r>
        <w:rPr>
          <w:spacing w:val="2"/>
        </w:rPr>
        <w:t>The </w:t>
      </w:r>
      <w:r>
        <w:rPr/>
        <w:t>Company currently has outstanding shelf registrations for the issuance of $318.8 million of public debt securities, which it currently intends to utilize  for  aircraft  financings in 1999 and</w:t>
      </w:r>
      <w:r>
        <w:rPr>
          <w:spacing w:val="14"/>
        </w:rPr>
        <w:t> </w:t>
      </w:r>
      <w:r>
        <w:rPr/>
        <w:t>2000.</w:t>
      </w:r>
    </w:p>
    <w:p>
      <w:pPr>
        <w:pStyle w:val="BodyText"/>
        <w:spacing w:before="1"/>
        <w:rPr>
          <w:sz w:val="31"/>
        </w:rPr>
      </w:pPr>
    </w:p>
    <w:p>
      <w:pPr>
        <w:pStyle w:val="Heading4"/>
        <w:spacing w:before="1"/>
        <w:ind w:left="119"/>
        <w:jc w:val="both"/>
      </w:pPr>
      <w:r>
        <w:rPr>
          <w:color w:val="000080"/>
        </w:rPr>
        <w:t>MARKET RISK</w:t>
      </w:r>
    </w:p>
    <w:p>
      <w:pPr>
        <w:pStyle w:val="BodyText"/>
        <w:spacing w:line="312" w:lineRule="auto" w:before="89"/>
        <w:ind w:left="119" w:right="117" w:firstLine="187"/>
        <w:jc w:val="both"/>
      </w:pPr>
      <w:r>
        <w:rPr/>
        <w:t>In 1997, the Securities and Exchange Commission issued new rules (Item 305 of Regulation S-K) which require disclosure of material risks, as defined in  Item 305, related to market risk sensitive financial instruments. As defined, Southwest currently has market risk sensitive instruments related to jet fuel prices and interest rates.</w:t>
      </w:r>
    </w:p>
    <w:p>
      <w:pPr>
        <w:pStyle w:val="BodyText"/>
        <w:spacing w:before="7"/>
        <w:rPr>
          <w:sz w:val="31"/>
        </w:rPr>
      </w:pPr>
    </w:p>
    <w:p>
      <w:pPr>
        <w:pStyle w:val="BodyText"/>
        <w:spacing w:line="312" w:lineRule="auto"/>
        <w:ind w:left="119" w:right="115" w:firstLine="187"/>
        <w:jc w:val="both"/>
      </w:pPr>
      <w:r>
        <w:rPr/>
        <w:t>Airline operators are inherently dependent upon energy to operate and, therefore, are impacted by changes in jet fuel prices. Jet fuel consumed in 1998 and 1997 </w:t>
      </w:r>
      <w:r>
        <w:rPr>
          <w:spacing w:val="2"/>
        </w:rPr>
        <w:t>represented </w:t>
      </w:r>
      <w:r>
        <w:rPr/>
        <w:t>approximately 11.2 and 15.0 percent of Southwest’s operating expenses, respectively. Southwest endeavors to acquire jet fuel at the lowest prevailing prices possible.</w:t>
      </w:r>
    </w:p>
    <w:p>
      <w:pPr>
        <w:pStyle w:val="BodyText"/>
        <w:spacing w:before="6"/>
        <w:rPr>
          <w:sz w:val="31"/>
        </w:rPr>
      </w:pPr>
    </w:p>
    <w:p>
      <w:pPr>
        <w:pStyle w:val="BodyText"/>
        <w:spacing w:line="312" w:lineRule="auto" w:before="1"/>
        <w:ind w:left="119" w:right="117" w:firstLine="187"/>
        <w:jc w:val="both"/>
      </w:pPr>
      <w:r>
        <w:rPr>
          <w:spacing w:val="2"/>
        </w:rPr>
        <w:t>The </w:t>
      </w:r>
      <w:r>
        <w:rPr/>
        <w:t>Company has historically hedged its exposure to jet fuel price market risk only on a conservative, limited basis. In December 1998, in order to take advantage of historically low jet fuel prices, Southwest increased its fuel hedging activity by entering into fixed price swap agreements hedging approximately 77 percent and 56 percent of its jet fuel needs in first and second quarter 1999, respectively. In January 1999, the Company increased its hedging position for second quarter 1999 to 74 percent. During 1999, the Company </w:t>
      </w:r>
      <w:r>
        <w:rPr>
          <w:spacing w:val="-3"/>
        </w:rPr>
        <w:t>may </w:t>
      </w:r>
      <w:r>
        <w:rPr/>
        <w:t>continue its fuel hedging activities at these higher levels to  take advantage of the historically low jet fuel</w:t>
      </w:r>
      <w:r>
        <w:rPr>
          <w:spacing w:val="24"/>
        </w:rPr>
        <w:t> </w:t>
      </w:r>
      <w:r>
        <w:rPr/>
        <w:t>prices.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9" w:firstLine="187"/>
        <w:jc w:val="both"/>
      </w:pPr>
      <w:r>
        <w:rPr/>
        <w:t>The fair values of outstanding fixed price swap agreements and purchased crude oil call options related to the Company’s jet fuel price market risk at December 31, 1998 and 1997, and during the years then ended, were not material. A hypothetical ten percent increase or decrease in the underlying fuel related commodity prices from the December 31, 1998, prices would correspondingly change the fair value of these derivative commodity instruments and their related cash flows by approximately $10 million.</w:t>
      </w:r>
    </w:p>
    <w:p>
      <w:pPr>
        <w:pStyle w:val="BodyText"/>
        <w:spacing w:before="7"/>
        <w:rPr>
          <w:sz w:val="31"/>
        </w:rPr>
      </w:pPr>
    </w:p>
    <w:p>
      <w:pPr>
        <w:pStyle w:val="BodyText"/>
        <w:spacing w:line="312" w:lineRule="auto"/>
        <w:ind w:left="119" w:right="117" w:firstLine="187"/>
        <w:jc w:val="both"/>
      </w:pPr>
      <w:r>
        <w:rPr/>
        <w:t>Airline operators are also inherently capital intensive, as the vast majority of the Company’s assets are aircraft, which are long lived. The Company’s strategy is to capitalize itself conservatively and grow capacity steadily and profitably. While Southwest does use financial leverage, it has maintained a strong balance sheet and “A-” or equivalent credit ratings on its senior unsecured debt with three rating agencies (Standard &amp; Poor’s, Moody’s, and Duff &amp; Phelps).</w:t>
      </w:r>
    </w:p>
    <w:p>
      <w:pPr>
        <w:pStyle w:val="BodyText"/>
        <w:spacing w:before="6"/>
        <w:rPr>
          <w:sz w:val="31"/>
        </w:rPr>
      </w:pPr>
    </w:p>
    <w:p>
      <w:pPr>
        <w:pStyle w:val="BodyText"/>
        <w:spacing w:line="312" w:lineRule="auto" w:before="1"/>
        <w:ind w:left="119" w:right="113" w:firstLine="187"/>
        <w:jc w:val="both"/>
      </w:pPr>
      <w:r>
        <w:rPr/>
        <w:t>As disclosed in Note 4 to the Consolidated </w:t>
      </w:r>
      <w:r>
        <w:rPr>
          <w:spacing w:val="3"/>
        </w:rPr>
        <w:t>Financial </w:t>
      </w:r>
      <w:r>
        <w:rPr/>
        <w:t>Statements, the Company had outstanding unsecured debt of $500 million and $600 million at  December  31, 1998 and 1997, respectively, of which only $500 million was long-term at December 31,  1997. </w:t>
      </w:r>
      <w:r>
        <w:rPr>
          <w:spacing w:val="3"/>
        </w:rPr>
        <w:t>This </w:t>
      </w:r>
      <w:r>
        <w:rPr/>
        <w:t>long-term debt </w:t>
      </w:r>
      <w:r>
        <w:rPr>
          <w:spacing w:val="2"/>
        </w:rPr>
        <w:t>represents </w:t>
      </w:r>
      <w:r>
        <w:rPr/>
        <w:t>only 12.1 percent and 14.5 percent of total noncurrent assets at December 31, 1998 and 1997, respectively. </w:t>
      </w:r>
      <w:r>
        <w:rPr>
          <w:spacing w:val="2"/>
        </w:rPr>
        <w:t>The </w:t>
      </w:r>
      <w:r>
        <w:rPr/>
        <w:t>Company currently has an average maturity of ten years for the long-term debt at fixed rates averaging 8.3 percent, which is comparable to average </w:t>
      </w:r>
      <w:r>
        <w:rPr>
          <w:spacing w:val="2"/>
        </w:rPr>
        <w:t>rates </w:t>
      </w:r>
      <w:r>
        <w:rPr/>
        <w:t>prevailing over the last   ten years.</w:t>
      </w:r>
    </w:p>
    <w:p>
      <w:pPr>
        <w:pStyle w:val="BodyText"/>
        <w:spacing w:before="7"/>
        <w:rPr>
          <w:sz w:val="31"/>
        </w:rPr>
      </w:pPr>
    </w:p>
    <w:p>
      <w:pPr>
        <w:pStyle w:val="BodyText"/>
        <w:spacing w:line="312" w:lineRule="auto"/>
        <w:ind w:left="119" w:right="118" w:firstLine="187"/>
        <w:jc w:val="both"/>
      </w:pPr>
      <w:r>
        <w:rPr/>
        <w:t>At December 31, 1998, the Company operated 112 </w:t>
      </w:r>
      <w:r>
        <w:rPr>
          <w:spacing w:val="2"/>
        </w:rPr>
        <w:t>aircraft </w:t>
      </w:r>
      <w:r>
        <w:rPr/>
        <w:t>under operating  and capital leases at </w:t>
      </w:r>
      <w:r>
        <w:rPr>
          <w:spacing w:val="2"/>
        </w:rPr>
        <w:t>rates </w:t>
      </w:r>
      <w:r>
        <w:rPr/>
        <w:t>that are substantially fixed. As defined in Item 305, leases are  not market risk sensitive financial instruments and, therefore, are not included in the interest </w:t>
      </w:r>
      <w:r>
        <w:rPr>
          <w:spacing w:val="2"/>
        </w:rPr>
        <w:t>rate </w:t>
      </w:r>
      <w:r>
        <w:rPr/>
        <w:t>sensitivity analysis below. Commitments related to leases are disclosed in Note 5 to the Consolidated </w:t>
      </w:r>
      <w:r>
        <w:rPr>
          <w:spacing w:val="3"/>
        </w:rPr>
        <w:t>Financial</w:t>
      </w:r>
      <w:r>
        <w:rPr>
          <w:spacing w:val="-7"/>
        </w:rPr>
        <w:t> </w:t>
      </w:r>
      <w:r>
        <w:rPr/>
        <w:t>Statements.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spacing w:val="2"/>
        </w:rPr>
        <w:t>The </w:t>
      </w:r>
      <w:r>
        <w:rPr/>
        <w:t>Company does not have significant exposure to changing interest </w:t>
      </w:r>
      <w:r>
        <w:rPr>
          <w:spacing w:val="2"/>
        </w:rPr>
        <w:t>rates </w:t>
      </w:r>
      <w:r>
        <w:rPr/>
        <w:t>on its long-term debt because the interest </w:t>
      </w:r>
      <w:r>
        <w:rPr>
          <w:spacing w:val="2"/>
        </w:rPr>
        <w:t>rates </w:t>
      </w:r>
      <w:r>
        <w:rPr/>
        <w:t>are fixed and the financial leverage  is  modest. Additionally, the Company does not have significant exposure to changing interest </w:t>
      </w:r>
      <w:r>
        <w:rPr>
          <w:spacing w:val="2"/>
        </w:rPr>
        <w:t>rates </w:t>
      </w:r>
      <w:r>
        <w:rPr/>
        <w:t>on invested cash, which was $379 million and $623 million at December 31, 1998 and 1997, respectively. </w:t>
      </w:r>
      <w:r>
        <w:rPr>
          <w:spacing w:val="2"/>
        </w:rPr>
        <w:t>The </w:t>
      </w:r>
      <w:r>
        <w:rPr/>
        <w:t>Company invests available cash in certificates of deposit and investment grade commercial paper that have maturities of three months or less. As a result, the interest </w:t>
      </w:r>
      <w:r>
        <w:rPr>
          <w:spacing w:val="2"/>
        </w:rPr>
        <w:t>rate </w:t>
      </w:r>
      <w:r>
        <w:rPr/>
        <w:t>market risk implicit in these investments at December 31, 1998, is low, as the investments mature within three months. </w:t>
      </w:r>
      <w:r>
        <w:rPr>
          <w:spacing w:val="2"/>
        </w:rPr>
        <w:t>The </w:t>
      </w:r>
      <w:r>
        <w:rPr/>
        <w:t>Company has not undertaken any additional actions to cover interest </w:t>
      </w:r>
      <w:r>
        <w:rPr>
          <w:spacing w:val="2"/>
        </w:rPr>
        <w:t>rate </w:t>
      </w:r>
      <w:r>
        <w:rPr/>
        <w:t>market risk and is not a party to any other interest </w:t>
      </w:r>
      <w:r>
        <w:rPr>
          <w:spacing w:val="2"/>
        </w:rPr>
        <w:t>rate </w:t>
      </w:r>
      <w:r>
        <w:rPr/>
        <w:t>market risk management</w:t>
      </w:r>
      <w:r>
        <w:rPr>
          <w:spacing w:val="-10"/>
        </w:rPr>
        <w:t> </w:t>
      </w:r>
      <w:r>
        <w:rPr/>
        <w:t>activities.</w:t>
      </w:r>
    </w:p>
    <w:p>
      <w:pPr>
        <w:pStyle w:val="BodyText"/>
        <w:spacing w:before="7"/>
        <w:rPr>
          <w:sz w:val="31"/>
        </w:rPr>
      </w:pPr>
    </w:p>
    <w:p>
      <w:pPr>
        <w:pStyle w:val="BodyText"/>
        <w:spacing w:line="312" w:lineRule="auto"/>
        <w:ind w:left="119" w:right="118" w:firstLine="187"/>
        <w:jc w:val="both"/>
      </w:pPr>
      <w:r>
        <w:rPr/>
        <w:t>A hypothetical ten percent change in market interest </w:t>
      </w:r>
      <w:r>
        <w:rPr>
          <w:spacing w:val="2"/>
        </w:rPr>
        <w:t>rates </w:t>
      </w:r>
      <w:r>
        <w:rPr/>
        <w:t>over the next year would not impact the Company’s earnings or cash flow as the interest </w:t>
      </w:r>
      <w:r>
        <w:rPr>
          <w:spacing w:val="2"/>
        </w:rPr>
        <w:t>rates </w:t>
      </w:r>
      <w:r>
        <w:rPr/>
        <w:t>on the Company’s long-term debt are fixed and its cash investments are short-term. A ten percent change in market interest </w:t>
      </w:r>
      <w:r>
        <w:rPr>
          <w:spacing w:val="2"/>
        </w:rPr>
        <w:t>rates </w:t>
      </w:r>
      <w:r>
        <w:rPr/>
        <w:t>would not have a material effect on the fair value of the Company’s publicly traded long-term debt or its short-term cash</w:t>
      </w:r>
      <w:r>
        <w:rPr>
          <w:spacing w:val="1"/>
        </w:rPr>
        <w:t> </w:t>
      </w:r>
      <w:r>
        <w:rPr/>
        <w:t>investments.</w:t>
      </w:r>
    </w:p>
    <w:p>
      <w:pPr>
        <w:pStyle w:val="BodyText"/>
        <w:spacing w:before="6"/>
        <w:rPr>
          <w:sz w:val="31"/>
        </w:rPr>
      </w:pPr>
    </w:p>
    <w:p>
      <w:pPr>
        <w:pStyle w:val="BodyText"/>
        <w:spacing w:line="312" w:lineRule="auto" w:before="1"/>
        <w:ind w:left="119" w:right="119" w:firstLine="187"/>
        <w:jc w:val="both"/>
      </w:pPr>
      <w:r>
        <w:rPr/>
        <w:t>The Company does not purchase or hold any derivative financial instruments for trading purposes.</w:t>
      </w:r>
    </w:p>
    <w:p>
      <w:pPr>
        <w:pStyle w:val="BodyText"/>
        <w:spacing w:before="2"/>
        <w:rPr>
          <w:sz w:val="31"/>
        </w:rPr>
      </w:pPr>
    </w:p>
    <w:p>
      <w:pPr>
        <w:pStyle w:val="Heading4"/>
        <w:ind w:left="119"/>
      </w:pPr>
      <w:r>
        <w:rPr>
          <w:color w:val="000080"/>
        </w:rPr>
        <w:t>IMPACT OF THE YEAR 2000</w:t>
      </w:r>
    </w:p>
    <w:p>
      <w:pPr>
        <w:pStyle w:val="BodyText"/>
        <w:spacing w:line="312" w:lineRule="auto" w:before="88"/>
        <w:ind w:left="119" w:right="112" w:firstLine="187"/>
        <w:jc w:val="both"/>
      </w:pPr>
      <w:r>
        <w:rPr/>
        <w:t>The Company is in the process of converting its computer systems to be Year 2000 ready. This project encompasses information technology systems as well as embedded technology assets. The project also includes an assessment of material third-party relationships and associated risks. The project as it relates to internal systems and equipment consists of four phases: identification, assessment, remediation, and testing. This project is expected to be substantially completed by June 30, 1999.</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5" w:firstLine="187"/>
        <w:jc w:val="both"/>
      </w:pPr>
      <w:r>
        <w:rPr>
          <w:i/>
          <w:color w:val="000080"/>
        </w:rPr>
        <w:t>FLIGHT SAFETY SYSTEMS </w:t>
      </w:r>
      <w:r>
        <w:rPr>
          <w:spacing w:val="2"/>
        </w:rPr>
        <w:t>The </w:t>
      </w:r>
      <w:r>
        <w:rPr/>
        <w:t>Company has completed all phases of  its  Year 2000 project as it relates to its </w:t>
      </w:r>
      <w:r>
        <w:rPr>
          <w:spacing w:val="2"/>
        </w:rPr>
        <w:t>aircraft </w:t>
      </w:r>
      <w:r>
        <w:rPr/>
        <w:t>fleet and onboard support systems. </w:t>
      </w:r>
      <w:r>
        <w:rPr>
          <w:spacing w:val="2"/>
        </w:rPr>
        <w:t>The  </w:t>
      </w:r>
      <w:r>
        <w:rPr/>
        <w:t>Company has determined there are no safety issues with these</w:t>
      </w:r>
      <w:r>
        <w:rPr>
          <w:spacing w:val="-7"/>
        </w:rPr>
        <w:t> </w:t>
      </w:r>
      <w:r>
        <w:rPr/>
        <w:t>systems.</w:t>
      </w:r>
    </w:p>
    <w:p>
      <w:pPr>
        <w:pStyle w:val="BodyText"/>
        <w:spacing w:before="7"/>
        <w:rPr>
          <w:sz w:val="31"/>
        </w:rPr>
      </w:pPr>
    </w:p>
    <w:p>
      <w:pPr>
        <w:pStyle w:val="BodyText"/>
        <w:spacing w:line="312" w:lineRule="auto"/>
        <w:ind w:left="119" w:right="117" w:firstLine="187"/>
        <w:jc w:val="both"/>
      </w:pPr>
      <w:r>
        <w:rPr/>
        <w:t>The Company also utilizes ground computer systems and equipment essential for the maintenance of aircraft and the management of flight operations. The identification, assessment, and remediation phases of the project with respect to these systems and equipment are completed. The Company expects to complete testing by mid-1999.</w:t>
      </w:r>
    </w:p>
    <w:p>
      <w:pPr>
        <w:pStyle w:val="BodyText"/>
        <w:spacing w:before="6"/>
        <w:rPr>
          <w:sz w:val="31"/>
        </w:rPr>
      </w:pPr>
    </w:p>
    <w:p>
      <w:pPr>
        <w:pStyle w:val="BodyText"/>
        <w:spacing w:line="312" w:lineRule="auto" w:before="1"/>
        <w:ind w:left="119" w:right="115" w:firstLine="187"/>
        <w:jc w:val="both"/>
      </w:pPr>
      <w:r>
        <w:rPr>
          <w:i/>
          <w:color w:val="000080"/>
        </w:rPr>
        <w:t>INTERNAL SYSTEMS </w:t>
      </w:r>
      <w:r>
        <w:rPr>
          <w:spacing w:val="2"/>
        </w:rPr>
        <w:t>The </w:t>
      </w:r>
      <w:r>
        <w:rPr/>
        <w:t>Company’s critical internal systems include computer hardware, software, and related equipment for customer reservations, ticketing, flight and crew scheduling, </w:t>
      </w:r>
      <w:r>
        <w:rPr>
          <w:spacing w:val="2"/>
        </w:rPr>
        <w:t>revenue </w:t>
      </w:r>
      <w:r>
        <w:rPr/>
        <w:t>management, accounting functions, and payroll, as well as </w:t>
      </w:r>
      <w:r>
        <w:rPr>
          <w:spacing w:val="2"/>
        </w:rPr>
        <w:t>airport </w:t>
      </w:r>
      <w:r>
        <w:rPr/>
        <w:t>activities including </w:t>
      </w:r>
      <w:r>
        <w:rPr>
          <w:spacing w:val="2"/>
        </w:rPr>
        <w:t>aircraft </w:t>
      </w:r>
      <w:r>
        <w:rPr/>
        <w:t>ground handling, bag handling, and security. </w:t>
      </w:r>
      <w:r>
        <w:rPr>
          <w:spacing w:val="2"/>
        </w:rPr>
        <w:t>The </w:t>
      </w:r>
      <w:r>
        <w:rPr/>
        <w:t>computing hardware and telecommunications equipment in the Company’s central data center are essentially </w:t>
      </w:r>
      <w:r>
        <w:rPr>
          <w:spacing w:val="-3"/>
        </w:rPr>
        <w:t>Year </w:t>
      </w:r>
      <w:r>
        <w:rPr/>
        <w:t>2000 </w:t>
      </w:r>
      <w:r>
        <w:rPr>
          <w:spacing w:val="2"/>
        </w:rPr>
        <w:t>ready </w:t>
      </w:r>
      <w:r>
        <w:rPr/>
        <w:t>at this time. </w:t>
      </w:r>
      <w:r>
        <w:rPr>
          <w:spacing w:val="2"/>
        </w:rPr>
        <w:t>The </w:t>
      </w:r>
      <w:r>
        <w:rPr/>
        <w:t>majority of the Company’s vital and critical software systems are either in testing or have </w:t>
      </w:r>
      <w:r>
        <w:rPr>
          <w:spacing w:val="2"/>
        </w:rPr>
        <w:t>already </w:t>
      </w:r>
      <w:r>
        <w:rPr/>
        <w:t>been made Year  2000 </w:t>
      </w:r>
      <w:r>
        <w:rPr>
          <w:spacing w:val="2"/>
        </w:rPr>
        <w:t>ready. </w:t>
      </w:r>
      <w:r>
        <w:rPr>
          <w:spacing w:val="4"/>
        </w:rPr>
        <w:t>While </w:t>
      </w:r>
      <w:r>
        <w:rPr/>
        <w:t>some systems are currently in the testing phase, with a  small number in the remediation phase, the Company expects the majority of vital and critical systems to be </w:t>
      </w:r>
      <w:r>
        <w:rPr>
          <w:spacing w:val="-3"/>
        </w:rPr>
        <w:t>Year </w:t>
      </w:r>
      <w:r>
        <w:rPr/>
        <w:t>2000 </w:t>
      </w:r>
      <w:r>
        <w:rPr>
          <w:spacing w:val="2"/>
        </w:rPr>
        <w:t>ready </w:t>
      </w:r>
      <w:r>
        <w:rPr/>
        <w:t>by</w:t>
      </w:r>
      <w:r>
        <w:rPr>
          <w:spacing w:val="-3"/>
        </w:rPr>
        <w:t> </w:t>
      </w:r>
      <w:r>
        <w:rPr/>
        <w:t>mid-1999.</w:t>
      </w:r>
    </w:p>
    <w:p>
      <w:pPr>
        <w:pStyle w:val="BodyText"/>
        <w:spacing w:before="7"/>
        <w:rPr>
          <w:sz w:val="31"/>
        </w:rPr>
      </w:pPr>
    </w:p>
    <w:p>
      <w:pPr>
        <w:pStyle w:val="BodyText"/>
        <w:spacing w:line="312" w:lineRule="auto"/>
        <w:ind w:left="119" w:right="111" w:firstLine="187"/>
        <w:jc w:val="both"/>
      </w:pPr>
      <w:r>
        <w:rPr>
          <w:i/>
          <w:color w:val="000080"/>
        </w:rPr>
        <w:t>THIRD PARTIES </w:t>
      </w:r>
      <w:r>
        <w:rPr>
          <w:spacing w:val="2"/>
        </w:rPr>
        <w:t>The </w:t>
      </w:r>
      <w:r>
        <w:rPr/>
        <w:t>Company has categorized its third party vendors with respect   to their potential impact on Company operations in the event any such third party  vendor has </w:t>
      </w:r>
      <w:r>
        <w:rPr>
          <w:spacing w:val="-3"/>
        </w:rPr>
        <w:t>Year </w:t>
      </w:r>
      <w:r>
        <w:rPr/>
        <w:t>2000 issues which are not dealt with on a timely basis. </w:t>
      </w:r>
      <w:r>
        <w:rPr>
          <w:spacing w:val="2"/>
        </w:rPr>
        <w:t>The </w:t>
      </w:r>
      <w:r>
        <w:rPr/>
        <w:t>Company  is also identifying and assessing the impact of </w:t>
      </w:r>
      <w:r>
        <w:rPr>
          <w:spacing w:val="-3"/>
        </w:rPr>
        <w:t>Year </w:t>
      </w:r>
      <w:r>
        <w:rPr/>
        <w:t>2000 issues as they </w:t>
      </w:r>
      <w:r>
        <w:rPr>
          <w:spacing w:val="-3"/>
        </w:rPr>
        <w:t>may </w:t>
      </w:r>
      <w:r>
        <w:rPr/>
        <w:t>affect the vendors’ businesses (which, in turn, could affect the Company). </w:t>
      </w:r>
      <w:r>
        <w:rPr>
          <w:spacing w:val="2"/>
        </w:rPr>
        <w:t>The </w:t>
      </w:r>
      <w:r>
        <w:rPr/>
        <w:t>Company has made initial contacts with all of its material third party vendors and is in the process of evaluating their statements of </w:t>
      </w:r>
      <w:r>
        <w:rPr>
          <w:spacing w:val="-3"/>
        </w:rPr>
        <w:t>Year </w:t>
      </w:r>
      <w:r>
        <w:rPr/>
        <w:t>2000 compliance. In addition, the Company continues to work with other members of the Air </w:t>
      </w:r>
      <w:r>
        <w:rPr>
          <w:spacing w:val="3"/>
        </w:rPr>
        <w:t>Transport </w:t>
      </w:r>
      <w:r>
        <w:rPr/>
        <w:t>Association, the airline industry trade group, to share information and </w:t>
      </w:r>
      <w:r>
        <w:rPr>
          <w:spacing w:val="2"/>
        </w:rPr>
        <w:t>resources </w:t>
      </w:r>
      <w:r>
        <w:rPr/>
        <w:t>regarding vendors which are </w:t>
      </w:r>
      <w:r>
        <w:rPr>
          <w:spacing w:val="-3"/>
        </w:rPr>
        <w:t>common </w:t>
      </w:r>
      <w:r>
        <w:rPr/>
        <w:t>to the entire</w:t>
      </w:r>
      <w:r>
        <w:rPr>
          <w:spacing w:val="17"/>
        </w:rPr>
        <w:t> </w:t>
      </w:r>
      <w:r>
        <w:rPr/>
        <w:t>industry.</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t>In management’s experience, it is not always possible to obtain written certification of </w:t>
      </w:r>
      <w:r>
        <w:rPr>
          <w:spacing w:val="-3"/>
        </w:rPr>
        <w:t>Year </w:t>
      </w:r>
      <w:r>
        <w:rPr/>
        <w:t>2000 compliance from third party vendors. Accordingly, in such cases, the Company is basing its assessment on its own testing, other materials made available  by such vendors, and other publicly available information. Upon the conclusion of such assessment, the Company will evaluate the need for contingency plans which </w:t>
      </w:r>
      <w:r>
        <w:rPr>
          <w:spacing w:val="-3"/>
        </w:rPr>
        <w:t>may </w:t>
      </w:r>
      <w:r>
        <w:rPr/>
        <w:t>be needed in the event any such vendor cannot demonstrate to the Company, on a timely basis, its </w:t>
      </w:r>
      <w:r>
        <w:rPr>
          <w:spacing w:val="-3"/>
        </w:rPr>
        <w:t>Year </w:t>
      </w:r>
      <w:r>
        <w:rPr/>
        <w:t>2000</w:t>
      </w:r>
      <w:r>
        <w:rPr>
          <w:spacing w:val="24"/>
        </w:rPr>
        <w:t> </w:t>
      </w:r>
      <w:r>
        <w:rPr/>
        <w:t>compliance.</w:t>
      </w:r>
    </w:p>
    <w:p>
      <w:pPr>
        <w:pStyle w:val="BodyText"/>
        <w:spacing w:before="7"/>
        <w:rPr>
          <w:sz w:val="31"/>
        </w:rPr>
      </w:pPr>
    </w:p>
    <w:p>
      <w:pPr>
        <w:pStyle w:val="BodyText"/>
        <w:spacing w:line="312" w:lineRule="auto"/>
        <w:ind w:left="119" w:right="115" w:firstLine="187"/>
        <w:jc w:val="both"/>
      </w:pPr>
      <w:r>
        <w:rPr/>
        <w:t>The Company expects this evaluation and assessment will be an ongoing process through the balance of 1999.</w:t>
      </w:r>
    </w:p>
    <w:p>
      <w:pPr>
        <w:pStyle w:val="BodyText"/>
        <w:spacing w:before="6"/>
        <w:rPr>
          <w:sz w:val="31"/>
        </w:rPr>
      </w:pPr>
    </w:p>
    <w:p>
      <w:pPr>
        <w:pStyle w:val="BodyText"/>
        <w:spacing w:line="312" w:lineRule="auto" w:before="1"/>
        <w:ind w:left="119" w:right="119" w:firstLine="187"/>
        <w:jc w:val="both"/>
      </w:pPr>
      <w:r>
        <w:rPr>
          <w:i/>
          <w:color w:val="000080"/>
        </w:rPr>
        <w:t>YEAR 2000 COSTS </w:t>
      </w:r>
      <w:r>
        <w:rPr/>
        <w:t>The Company has expensed $11.0 million ($7.1 million in 1998) of costs incurred to date related to the Year 2000 issue. The total remaining cost of the Year 2000 project is presently estimated at approximately $7 million, which will be expensed as incurred.</w:t>
      </w:r>
    </w:p>
    <w:p>
      <w:pPr>
        <w:pStyle w:val="BodyText"/>
        <w:spacing w:before="7"/>
        <w:rPr>
          <w:sz w:val="31"/>
        </w:rPr>
      </w:pPr>
    </w:p>
    <w:p>
      <w:pPr>
        <w:pStyle w:val="BodyText"/>
        <w:spacing w:line="312" w:lineRule="auto"/>
        <w:ind w:left="119" w:right="117" w:firstLine="187"/>
        <w:jc w:val="both"/>
      </w:pPr>
      <w:r>
        <w:rPr>
          <w:i/>
          <w:color w:val="000080"/>
        </w:rPr>
        <w:t>RISK OF YEAR 2000 ISSUES </w:t>
      </w:r>
      <w:r>
        <w:rPr>
          <w:spacing w:val="2"/>
        </w:rPr>
        <w:t>The </w:t>
      </w:r>
      <w:r>
        <w:rPr/>
        <w:t>Company believes its project to convert its computer systems to be </w:t>
      </w:r>
      <w:r>
        <w:rPr>
          <w:spacing w:val="-3"/>
        </w:rPr>
        <w:t>Year </w:t>
      </w:r>
      <w:r>
        <w:rPr/>
        <w:t>2000 </w:t>
      </w:r>
      <w:r>
        <w:rPr>
          <w:spacing w:val="2"/>
        </w:rPr>
        <w:t>ready </w:t>
      </w:r>
      <w:r>
        <w:rPr/>
        <w:t>will  be completed in a timely manner and  </w:t>
      </w:r>
      <w:r>
        <w:rPr>
          <w:spacing w:val="-3"/>
        </w:rPr>
        <w:t>Year </w:t>
      </w:r>
      <w:r>
        <w:rPr/>
        <w:t>2000 issues will not have a material adverse effect on operations. However, it is possible the Company’s or third parties’ systems and equipment could fail and result in the reduction or suspension of the Company’s operations. </w:t>
      </w:r>
      <w:r>
        <w:rPr>
          <w:spacing w:val="2"/>
        </w:rPr>
        <w:t>The </w:t>
      </w:r>
      <w:r>
        <w:rPr/>
        <w:t>Company is currently in the process of developing contingency plans related to internal business critical  systems and for those critical relationships with third parties. </w:t>
      </w:r>
      <w:r>
        <w:rPr>
          <w:spacing w:val="3"/>
        </w:rPr>
        <w:t>There </w:t>
      </w:r>
      <w:r>
        <w:rPr/>
        <w:t>can be no guarantee, however, that the Company’s systems and equipment or third parties’ systems and equipment on which Southwest relies will be </w:t>
      </w:r>
      <w:r>
        <w:rPr>
          <w:spacing w:val="-3"/>
        </w:rPr>
        <w:t>Year </w:t>
      </w:r>
      <w:r>
        <w:rPr/>
        <w:t>2000 </w:t>
      </w:r>
      <w:r>
        <w:rPr>
          <w:spacing w:val="2"/>
        </w:rPr>
        <w:t>ready </w:t>
      </w:r>
      <w:r>
        <w:rPr/>
        <w:t>in a timely manner or that contingency plans will mitigate the impact of any failure to complete  plans in a timely</w:t>
      </w:r>
      <w:r>
        <w:rPr>
          <w:spacing w:val="1"/>
        </w:rPr>
        <w:t> </w:t>
      </w:r>
      <w:r>
        <w:rPr/>
        <w:t>manner.</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spacing w:val="2"/>
        </w:rPr>
        <w:t>The </w:t>
      </w:r>
      <w:r>
        <w:rPr/>
        <w:t>costs of the project, the dates on which the Company believes it will complete the </w:t>
      </w:r>
      <w:r>
        <w:rPr>
          <w:spacing w:val="-3"/>
        </w:rPr>
        <w:t>Year  </w:t>
      </w:r>
      <w:r>
        <w:rPr/>
        <w:t>2000 modifications and assessments, and the Company’s analysis of its risk in  this area are based on management’s best estimates, which were derived utilizing numerous assumptions of future events, including the continued availability of certain </w:t>
      </w:r>
      <w:r>
        <w:rPr>
          <w:spacing w:val="2"/>
        </w:rPr>
        <w:t>resources. </w:t>
      </w:r>
      <w:r>
        <w:rPr>
          <w:spacing w:val="3"/>
        </w:rPr>
        <w:t>There </w:t>
      </w:r>
      <w:r>
        <w:rPr/>
        <w:t>can be no guarantee that these estimates will be achieved and actual results could differ materially from those anticipated. Specific factors that might cause such material differences include, but are not limited to, the availability and cost of personnel trained in this area and the ability to locate and correct all relevant computer code, as well as the cooperation needed from third party vendors and others upon whom the Company must</w:t>
      </w:r>
      <w:r>
        <w:rPr>
          <w:spacing w:val="-26"/>
        </w:rPr>
        <w:t> </w:t>
      </w:r>
      <w:r>
        <w:rPr/>
        <w:t>rely.</w:t>
      </w:r>
    </w:p>
    <w:p>
      <w:pPr>
        <w:spacing w:after="0" w:line="312" w:lineRule="auto"/>
        <w:jc w:val="both"/>
        <w:sectPr>
          <w:footerReference w:type="default" r:id="rId14"/>
          <w:pgSz w:w="12240" w:h="15840"/>
          <w:pgMar w:footer="344" w:header="1448" w:top="1700" w:bottom="540" w:left="1320" w:right="1320"/>
        </w:sectPr>
      </w:pPr>
    </w:p>
    <w:p>
      <w:pPr>
        <w:pStyle w:val="BodyText"/>
        <w:rPr>
          <w:sz w:val="20"/>
        </w:rPr>
      </w:pPr>
    </w:p>
    <w:p>
      <w:pPr>
        <w:spacing w:after="0"/>
        <w:rPr>
          <w:sz w:val="20"/>
        </w:rPr>
        <w:sectPr>
          <w:footerReference w:type="default" r:id="rId15"/>
          <w:pgSz w:w="12240" w:h="15840"/>
          <w:pgMar w:footer="344" w:header="1448" w:top="1700" w:bottom="540" w:left="1340" w:right="1280"/>
          <w:pgNumType w:start="41"/>
        </w:sectPr>
      </w:pPr>
    </w:p>
    <w:p>
      <w:pPr>
        <w:pStyle w:val="Heading4"/>
        <w:spacing w:before="214"/>
      </w:pPr>
      <w:r>
        <w:rPr>
          <w:color w:val="808080"/>
        </w:rPr>
        <w:t>CONSOLIDATED BALANCE</w:t>
      </w:r>
      <w:r>
        <w:rPr>
          <w:color w:val="808080"/>
          <w:spacing w:val="-24"/>
        </w:rPr>
        <w:t> </w:t>
      </w:r>
      <w:r>
        <w:rPr>
          <w:color w:val="808080"/>
        </w:rPr>
        <w:t>SHEET</w:t>
      </w:r>
    </w:p>
    <w:p>
      <w:pPr>
        <w:pStyle w:val="BodyText"/>
        <w:rPr>
          <w:b/>
          <w:sz w:val="22"/>
        </w:rPr>
      </w:pPr>
      <w:r>
        <w:rPr/>
        <w:br w:type="column"/>
      </w:r>
      <w:r>
        <w:rPr>
          <w:b/>
          <w:sz w:val="22"/>
        </w:rPr>
      </w:r>
    </w:p>
    <w:p>
      <w:pPr>
        <w:pStyle w:val="BodyText"/>
        <w:rPr>
          <w:b/>
          <w:sz w:val="22"/>
        </w:rPr>
      </w:pPr>
    </w:p>
    <w:p>
      <w:pPr>
        <w:spacing w:before="0"/>
        <w:ind w:left="100" w:right="0" w:firstLine="0"/>
        <w:jc w:val="left"/>
        <w:rPr>
          <w:sz w:val="20"/>
        </w:rPr>
      </w:pPr>
      <w:r>
        <w:rPr>
          <w:sz w:val="20"/>
        </w:rPr>
        <w:t>DECEMBER 31,</w:t>
      </w:r>
    </w:p>
    <w:p>
      <w:pPr>
        <w:spacing w:after="0"/>
        <w:jc w:val="left"/>
        <w:rPr>
          <w:sz w:val="20"/>
        </w:rPr>
        <w:sectPr>
          <w:type w:val="continuous"/>
          <w:pgSz w:w="12240" w:h="15840"/>
          <w:pgMar w:top="1680" w:bottom="540" w:left="1340" w:right="1280"/>
          <w:cols w:num="2" w:equalWidth="0">
            <w:col w:w="4107" w:space="2988"/>
            <w:col w:w="2525"/>
          </w:cols>
        </w:sectPr>
      </w:pPr>
    </w:p>
    <w:tbl>
      <w:tblPr>
        <w:tblW w:w="0" w:type="auto"/>
        <w:jc w:val="left"/>
        <w:tblInd w:w="16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300"/>
        <w:gridCol w:w="1636"/>
        <w:gridCol w:w="1419"/>
      </w:tblGrid>
      <w:tr>
        <w:trPr>
          <w:trHeight w:val="235" w:hRule="exact"/>
        </w:trPr>
        <w:tc>
          <w:tcPr>
            <w:tcW w:w="6300" w:type="dxa"/>
          </w:tcPr>
          <w:p>
            <w:pPr>
              <w:pStyle w:val="TableParagraph"/>
              <w:spacing w:line="230" w:lineRule="exact"/>
              <w:ind w:left="50"/>
              <w:jc w:val="left"/>
              <w:rPr>
                <w:sz w:val="20"/>
              </w:rPr>
            </w:pPr>
            <w:r>
              <w:rPr>
                <w:sz w:val="20"/>
              </w:rPr>
              <w:t>(In thousands except share and per share amounts)</w:t>
            </w:r>
          </w:p>
        </w:tc>
        <w:tc>
          <w:tcPr>
            <w:tcW w:w="1636" w:type="dxa"/>
          </w:tcPr>
          <w:p>
            <w:pPr>
              <w:pStyle w:val="TableParagraph"/>
              <w:spacing w:line="225" w:lineRule="exact"/>
              <w:ind w:left="484"/>
              <w:jc w:val="left"/>
              <w:rPr>
                <w:b/>
                <w:sz w:val="20"/>
              </w:rPr>
            </w:pPr>
            <w:r>
              <w:rPr>
                <w:b/>
                <w:color w:val="000080"/>
                <w:sz w:val="20"/>
              </w:rPr>
              <w:t>1998</w:t>
            </w:r>
          </w:p>
        </w:tc>
        <w:tc>
          <w:tcPr>
            <w:tcW w:w="1419" w:type="dxa"/>
          </w:tcPr>
          <w:p>
            <w:pPr>
              <w:pStyle w:val="TableParagraph"/>
              <w:spacing w:line="230" w:lineRule="exact"/>
              <w:ind w:left="379"/>
              <w:jc w:val="left"/>
              <w:rPr>
                <w:sz w:val="20"/>
              </w:rPr>
            </w:pPr>
            <w:r>
              <w:rPr>
                <w:sz w:val="20"/>
              </w:rPr>
              <w:t>1997</w:t>
            </w:r>
          </w:p>
        </w:tc>
      </w:tr>
      <w:tr>
        <w:trPr>
          <w:trHeight w:val="240" w:hRule="exact"/>
        </w:trPr>
        <w:tc>
          <w:tcPr>
            <w:tcW w:w="6300" w:type="dxa"/>
          </w:tcPr>
          <w:p>
            <w:pPr>
              <w:pStyle w:val="TableParagraph"/>
              <w:ind w:left="50"/>
              <w:jc w:val="left"/>
              <w:rPr>
                <w:b/>
                <w:sz w:val="20"/>
              </w:rPr>
            </w:pPr>
            <w:r>
              <w:rPr>
                <w:b/>
                <w:color w:val="000080"/>
                <w:sz w:val="20"/>
              </w:rPr>
              <w:t>ASSETS</w:t>
            </w:r>
          </w:p>
        </w:tc>
        <w:tc>
          <w:tcPr>
            <w:tcW w:w="1636" w:type="dxa"/>
          </w:tcPr>
          <w:p>
            <w:pPr/>
          </w:p>
        </w:tc>
        <w:tc>
          <w:tcPr>
            <w:tcW w:w="1419" w:type="dxa"/>
          </w:tcPr>
          <w:p>
            <w:pPr/>
          </w:p>
        </w:tc>
      </w:tr>
      <w:tr>
        <w:trPr>
          <w:trHeight w:val="240" w:hRule="exact"/>
        </w:trPr>
        <w:tc>
          <w:tcPr>
            <w:tcW w:w="6300" w:type="dxa"/>
          </w:tcPr>
          <w:p>
            <w:pPr>
              <w:pStyle w:val="TableParagraph"/>
              <w:spacing w:before="4"/>
              <w:ind w:left="50"/>
              <w:jc w:val="left"/>
              <w:rPr>
                <w:sz w:val="20"/>
              </w:rPr>
            </w:pPr>
            <w:r>
              <w:rPr>
                <w:sz w:val="20"/>
              </w:rPr>
              <w:t>Current assets:</w:t>
            </w:r>
          </w:p>
        </w:tc>
        <w:tc>
          <w:tcPr>
            <w:tcW w:w="1636" w:type="dxa"/>
          </w:tcPr>
          <w:p>
            <w:pPr/>
          </w:p>
        </w:tc>
        <w:tc>
          <w:tcPr>
            <w:tcW w:w="1419" w:type="dxa"/>
          </w:tcPr>
          <w:p>
            <w:pPr/>
          </w:p>
        </w:tc>
      </w:tr>
      <w:tr>
        <w:trPr>
          <w:trHeight w:val="240" w:hRule="exact"/>
        </w:trPr>
        <w:tc>
          <w:tcPr>
            <w:tcW w:w="6300" w:type="dxa"/>
          </w:tcPr>
          <w:p>
            <w:pPr>
              <w:pStyle w:val="TableParagraph"/>
              <w:spacing w:before="4"/>
              <w:ind w:left="232"/>
              <w:jc w:val="left"/>
              <w:rPr>
                <w:sz w:val="20"/>
              </w:rPr>
            </w:pPr>
            <w:r>
              <w:rPr>
                <w:sz w:val="20"/>
              </w:rPr>
              <w:t>Cash and cash equivalents</w:t>
            </w:r>
          </w:p>
        </w:tc>
        <w:tc>
          <w:tcPr>
            <w:tcW w:w="1636" w:type="dxa"/>
          </w:tcPr>
          <w:p>
            <w:pPr>
              <w:pStyle w:val="TableParagraph"/>
              <w:ind w:left="532"/>
              <w:jc w:val="left"/>
              <w:rPr>
                <w:b/>
                <w:sz w:val="20"/>
              </w:rPr>
            </w:pPr>
            <w:r>
              <w:rPr>
                <w:b/>
                <w:color w:val="000080"/>
                <w:sz w:val="20"/>
              </w:rPr>
              <w:t>$378,511</w:t>
            </w:r>
          </w:p>
        </w:tc>
        <w:tc>
          <w:tcPr>
            <w:tcW w:w="1419" w:type="dxa"/>
          </w:tcPr>
          <w:p>
            <w:pPr>
              <w:pStyle w:val="TableParagraph"/>
              <w:spacing w:before="4"/>
              <w:ind w:left="427"/>
              <w:jc w:val="left"/>
              <w:rPr>
                <w:sz w:val="20"/>
              </w:rPr>
            </w:pPr>
            <w:r>
              <w:rPr>
                <w:sz w:val="20"/>
              </w:rPr>
              <w:t>$623,343</w:t>
            </w:r>
          </w:p>
        </w:tc>
      </w:tr>
      <w:tr>
        <w:trPr>
          <w:trHeight w:val="240" w:hRule="exact"/>
        </w:trPr>
        <w:tc>
          <w:tcPr>
            <w:tcW w:w="6300" w:type="dxa"/>
          </w:tcPr>
          <w:p>
            <w:pPr>
              <w:pStyle w:val="TableParagraph"/>
              <w:spacing w:before="4"/>
              <w:ind w:left="232"/>
              <w:jc w:val="left"/>
              <w:rPr>
                <w:sz w:val="20"/>
              </w:rPr>
            </w:pPr>
            <w:r>
              <w:rPr>
                <w:sz w:val="20"/>
              </w:rPr>
              <w:t>Accounts receivable</w:t>
            </w:r>
          </w:p>
        </w:tc>
        <w:tc>
          <w:tcPr>
            <w:tcW w:w="1636" w:type="dxa"/>
          </w:tcPr>
          <w:p>
            <w:pPr>
              <w:pStyle w:val="TableParagraph"/>
              <w:ind w:right="272"/>
              <w:rPr>
                <w:b/>
                <w:sz w:val="20"/>
              </w:rPr>
            </w:pPr>
            <w:r>
              <w:rPr>
                <w:b/>
                <w:color w:val="000080"/>
                <w:sz w:val="20"/>
              </w:rPr>
              <w:t>88,799</w:t>
            </w:r>
          </w:p>
        </w:tc>
        <w:tc>
          <w:tcPr>
            <w:tcW w:w="1419" w:type="dxa"/>
          </w:tcPr>
          <w:p>
            <w:pPr>
              <w:pStyle w:val="TableParagraph"/>
              <w:spacing w:before="4"/>
              <w:ind w:right="158"/>
              <w:rPr>
                <w:sz w:val="20"/>
              </w:rPr>
            </w:pPr>
            <w:r>
              <w:rPr>
                <w:sz w:val="20"/>
              </w:rPr>
              <w:t>76,530</w:t>
            </w:r>
          </w:p>
        </w:tc>
      </w:tr>
      <w:tr>
        <w:trPr>
          <w:trHeight w:val="240" w:hRule="exact"/>
        </w:trPr>
        <w:tc>
          <w:tcPr>
            <w:tcW w:w="6300" w:type="dxa"/>
          </w:tcPr>
          <w:p>
            <w:pPr>
              <w:pStyle w:val="TableParagraph"/>
              <w:spacing w:before="4"/>
              <w:ind w:left="232"/>
              <w:jc w:val="left"/>
              <w:rPr>
                <w:sz w:val="20"/>
              </w:rPr>
            </w:pPr>
            <w:r>
              <w:rPr>
                <w:sz w:val="20"/>
              </w:rPr>
              <w:t>Inventories of parts and supplies, at cost</w:t>
            </w:r>
          </w:p>
        </w:tc>
        <w:tc>
          <w:tcPr>
            <w:tcW w:w="1636" w:type="dxa"/>
          </w:tcPr>
          <w:p>
            <w:pPr>
              <w:pStyle w:val="TableParagraph"/>
              <w:ind w:right="272"/>
              <w:rPr>
                <w:b/>
                <w:sz w:val="20"/>
              </w:rPr>
            </w:pPr>
            <w:r>
              <w:rPr>
                <w:b/>
                <w:color w:val="000080"/>
                <w:sz w:val="20"/>
              </w:rPr>
              <w:t>50,035</w:t>
            </w:r>
          </w:p>
        </w:tc>
        <w:tc>
          <w:tcPr>
            <w:tcW w:w="1419" w:type="dxa"/>
          </w:tcPr>
          <w:p>
            <w:pPr>
              <w:pStyle w:val="TableParagraph"/>
              <w:spacing w:before="4"/>
              <w:ind w:right="158"/>
              <w:rPr>
                <w:sz w:val="20"/>
              </w:rPr>
            </w:pPr>
            <w:r>
              <w:rPr>
                <w:sz w:val="20"/>
              </w:rPr>
              <w:t>52,376</w:t>
            </w:r>
          </w:p>
        </w:tc>
      </w:tr>
      <w:tr>
        <w:trPr>
          <w:trHeight w:val="240" w:hRule="exact"/>
        </w:trPr>
        <w:tc>
          <w:tcPr>
            <w:tcW w:w="6300" w:type="dxa"/>
          </w:tcPr>
          <w:p>
            <w:pPr>
              <w:pStyle w:val="TableParagraph"/>
              <w:spacing w:before="4"/>
              <w:ind w:left="232"/>
              <w:jc w:val="left"/>
              <w:rPr>
                <w:sz w:val="20"/>
              </w:rPr>
            </w:pPr>
            <w:r>
              <w:rPr>
                <w:sz w:val="20"/>
              </w:rPr>
              <w:t>Deferred income taxes (Note 10)</w:t>
            </w:r>
          </w:p>
        </w:tc>
        <w:tc>
          <w:tcPr>
            <w:tcW w:w="1636" w:type="dxa"/>
          </w:tcPr>
          <w:p>
            <w:pPr>
              <w:pStyle w:val="TableParagraph"/>
              <w:ind w:right="272"/>
              <w:rPr>
                <w:b/>
                <w:sz w:val="20"/>
              </w:rPr>
            </w:pPr>
            <w:r>
              <w:rPr>
                <w:b/>
                <w:color w:val="000080"/>
                <w:sz w:val="20"/>
              </w:rPr>
              <w:t>20,734</w:t>
            </w:r>
          </w:p>
        </w:tc>
        <w:tc>
          <w:tcPr>
            <w:tcW w:w="1419" w:type="dxa"/>
          </w:tcPr>
          <w:p>
            <w:pPr>
              <w:pStyle w:val="TableParagraph"/>
              <w:spacing w:before="4"/>
              <w:ind w:right="158"/>
              <w:rPr>
                <w:sz w:val="20"/>
              </w:rPr>
            </w:pPr>
            <w:r>
              <w:rPr>
                <w:sz w:val="20"/>
              </w:rPr>
              <w:t>18,843</w:t>
            </w:r>
          </w:p>
        </w:tc>
      </w:tr>
      <w:tr>
        <w:trPr>
          <w:trHeight w:val="240" w:hRule="exact"/>
        </w:trPr>
        <w:tc>
          <w:tcPr>
            <w:tcW w:w="6300" w:type="dxa"/>
          </w:tcPr>
          <w:p>
            <w:pPr>
              <w:pStyle w:val="TableParagraph"/>
              <w:spacing w:before="4"/>
              <w:ind w:left="232"/>
              <w:jc w:val="left"/>
              <w:rPr>
                <w:sz w:val="20"/>
              </w:rPr>
            </w:pPr>
            <w:r>
              <w:rPr>
                <w:sz w:val="20"/>
              </w:rPr>
              <w:t>Prepaid expenses and other current assets</w:t>
            </w:r>
          </w:p>
        </w:tc>
        <w:tc>
          <w:tcPr>
            <w:tcW w:w="1636" w:type="dxa"/>
          </w:tcPr>
          <w:p>
            <w:pPr>
              <w:pStyle w:val="TableParagraph"/>
              <w:tabs>
                <w:tab w:pos="752" w:val="left" w:leader="none"/>
              </w:tabs>
              <w:ind w:left="350"/>
              <w:jc w:val="left"/>
              <w:rPr>
                <w:b/>
                <w:sz w:val="20"/>
              </w:rPr>
            </w:pPr>
            <w:r>
              <w:rPr>
                <w:b/>
                <w:color w:val="000080"/>
                <w:w w:val="100"/>
                <w:sz w:val="20"/>
                <w:u w:val="single" w:color="000080"/>
              </w:rPr>
              <w:t> </w:t>
            </w:r>
            <w:r>
              <w:rPr>
                <w:b/>
                <w:color w:val="000080"/>
                <w:sz w:val="20"/>
                <w:u w:val="single" w:color="000080"/>
              </w:rPr>
              <w:tab/>
            </w:r>
            <w:r>
              <w:rPr>
                <w:b/>
                <w:color w:val="000080"/>
                <w:spacing w:val="-2"/>
                <w:sz w:val="20"/>
                <w:u w:val="single" w:color="000080"/>
              </w:rPr>
              <w:t>36,076</w:t>
            </w:r>
          </w:p>
        </w:tc>
        <w:tc>
          <w:tcPr>
            <w:tcW w:w="1419" w:type="dxa"/>
          </w:tcPr>
          <w:p>
            <w:pPr>
              <w:pStyle w:val="TableParagraph"/>
              <w:tabs>
                <w:tab w:pos="648" w:val="left" w:leader="none"/>
              </w:tabs>
              <w:spacing w:before="4"/>
              <w:ind w:left="245"/>
              <w:jc w:val="left"/>
              <w:rPr>
                <w:sz w:val="20"/>
              </w:rPr>
            </w:pPr>
            <w:r>
              <w:rPr>
                <w:w w:val="100"/>
                <w:sz w:val="20"/>
                <w:u w:val="single"/>
              </w:rPr>
              <w:t> </w:t>
            </w:r>
            <w:r>
              <w:rPr>
                <w:sz w:val="20"/>
                <w:u w:val="single"/>
              </w:rPr>
              <w:tab/>
            </w:r>
            <w:r>
              <w:rPr>
                <w:spacing w:val="-2"/>
                <w:sz w:val="20"/>
                <w:u w:val="single"/>
              </w:rPr>
              <w:t>35,324</w:t>
            </w:r>
          </w:p>
        </w:tc>
      </w:tr>
      <w:tr>
        <w:trPr>
          <w:trHeight w:val="235" w:hRule="exact"/>
        </w:trPr>
        <w:tc>
          <w:tcPr>
            <w:tcW w:w="6300" w:type="dxa"/>
          </w:tcPr>
          <w:p>
            <w:pPr>
              <w:pStyle w:val="TableParagraph"/>
              <w:spacing w:before="4"/>
              <w:ind w:left="410"/>
              <w:jc w:val="left"/>
              <w:rPr>
                <w:sz w:val="20"/>
              </w:rPr>
            </w:pPr>
            <w:r>
              <w:rPr>
                <w:sz w:val="20"/>
              </w:rPr>
              <w:t>Total current assets</w:t>
            </w:r>
          </w:p>
        </w:tc>
        <w:tc>
          <w:tcPr>
            <w:tcW w:w="1636" w:type="dxa"/>
          </w:tcPr>
          <w:p>
            <w:pPr>
              <w:pStyle w:val="TableParagraph"/>
              <w:ind w:right="273"/>
              <w:rPr>
                <w:b/>
                <w:sz w:val="20"/>
              </w:rPr>
            </w:pPr>
            <w:r>
              <w:rPr>
                <w:b/>
                <w:color w:val="000080"/>
                <w:sz w:val="20"/>
              </w:rPr>
              <w:t>574,155</w:t>
            </w:r>
          </w:p>
        </w:tc>
        <w:tc>
          <w:tcPr>
            <w:tcW w:w="1419" w:type="dxa"/>
          </w:tcPr>
          <w:p>
            <w:pPr>
              <w:pStyle w:val="TableParagraph"/>
              <w:spacing w:before="4"/>
              <w:ind w:right="158"/>
              <w:rPr>
                <w:sz w:val="20"/>
              </w:rPr>
            </w:pPr>
            <w:r>
              <w:rPr>
                <w:sz w:val="20"/>
              </w:rPr>
              <w:t>806,416</w:t>
            </w:r>
          </w:p>
        </w:tc>
      </w:tr>
      <w:tr>
        <w:trPr>
          <w:trHeight w:val="480" w:hRule="exact"/>
        </w:trPr>
        <w:tc>
          <w:tcPr>
            <w:tcW w:w="6300" w:type="dxa"/>
          </w:tcPr>
          <w:p>
            <w:pPr>
              <w:pStyle w:val="TableParagraph"/>
              <w:spacing w:before="8"/>
              <w:jc w:val="left"/>
              <w:rPr>
                <w:sz w:val="21"/>
              </w:rPr>
            </w:pPr>
          </w:p>
          <w:p>
            <w:pPr>
              <w:pStyle w:val="TableParagraph"/>
              <w:ind w:left="50"/>
              <w:jc w:val="left"/>
              <w:rPr>
                <w:sz w:val="20"/>
              </w:rPr>
            </w:pPr>
            <w:r>
              <w:rPr>
                <w:sz w:val="20"/>
              </w:rPr>
              <w:t>Property  and equipment, at cost (Notes 2 and 5):</w:t>
            </w:r>
          </w:p>
        </w:tc>
        <w:tc>
          <w:tcPr>
            <w:tcW w:w="1636" w:type="dxa"/>
          </w:tcPr>
          <w:p>
            <w:pPr/>
          </w:p>
        </w:tc>
        <w:tc>
          <w:tcPr>
            <w:tcW w:w="1419" w:type="dxa"/>
          </w:tcPr>
          <w:p>
            <w:pPr/>
          </w:p>
        </w:tc>
      </w:tr>
      <w:tr>
        <w:trPr>
          <w:trHeight w:val="245" w:hRule="exact"/>
        </w:trPr>
        <w:tc>
          <w:tcPr>
            <w:tcW w:w="6300" w:type="dxa"/>
          </w:tcPr>
          <w:p>
            <w:pPr>
              <w:pStyle w:val="TableParagraph"/>
              <w:spacing w:line="230" w:lineRule="exact"/>
              <w:ind w:left="232"/>
              <w:jc w:val="left"/>
              <w:rPr>
                <w:sz w:val="20"/>
              </w:rPr>
            </w:pPr>
            <w:r>
              <w:rPr>
                <w:sz w:val="20"/>
              </w:rPr>
              <w:t>Flight equipment</w:t>
            </w:r>
          </w:p>
        </w:tc>
        <w:tc>
          <w:tcPr>
            <w:tcW w:w="1636" w:type="dxa"/>
          </w:tcPr>
          <w:p>
            <w:pPr>
              <w:pStyle w:val="TableParagraph"/>
              <w:spacing w:line="225" w:lineRule="exact"/>
              <w:ind w:left="475"/>
              <w:jc w:val="left"/>
              <w:rPr>
                <w:b/>
                <w:sz w:val="20"/>
              </w:rPr>
            </w:pPr>
            <w:r>
              <w:rPr>
                <w:b/>
                <w:color w:val="000080"/>
                <w:sz w:val="20"/>
              </w:rPr>
              <w:t>4,709,059</w:t>
            </w:r>
          </w:p>
        </w:tc>
        <w:tc>
          <w:tcPr>
            <w:tcW w:w="1419" w:type="dxa"/>
          </w:tcPr>
          <w:p>
            <w:pPr>
              <w:pStyle w:val="TableParagraph"/>
              <w:spacing w:line="230" w:lineRule="exact"/>
              <w:ind w:left="370"/>
              <w:jc w:val="left"/>
              <w:rPr>
                <w:sz w:val="20"/>
              </w:rPr>
            </w:pPr>
            <w:r>
              <w:rPr>
                <w:sz w:val="20"/>
              </w:rPr>
              <w:t>3,987,493</w:t>
            </w:r>
          </w:p>
        </w:tc>
      </w:tr>
      <w:tr>
        <w:trPr>
          <w:trHeight w:val="240" w:hRule="exact"/>
        </w:trPr>
        <w:tc>
          <w:tcPr>
            <w:tcW w:w="6300" w:type="dxa"/>
          </w:tcPr>
          <w:p>
            <w:pPr>
              <w:pStyle w:val="TableParagraph"/>
              <w:spacing w:before="4"/>
              <w:ind w:left="232"/>
              <w:jc w:val="left"/>
              <w:rPr>
                <w:sz w:val="20"/>
              </w:rPr>
            </w:pPr>
            <w:r>
              <w:rPr>
                <w:sz w:val="20"/>
              </w:rPr>
              <w:t>Ground property and equipment</w:t>
            </w:r>
          </w:p>
        </w:tc>
        <w:tc>
          <w:tcPr>
            <w:tcW w:w="1636" w:type="dxa"/>
          </w:tcPr>
          <w:p>
            <w:pPr>
              <w:pStyle w:val="TableParagraph"/>
              <w:ind w:right="273"/>
              <w:rPr>
                <w:b/>
                <w:sz w:val="20"/>
              </w:rPr>
            </w:pPr>
            <w:r>
              <w:rPr>
                <w:b/>
                <w:color w:val="000080"/>
                <w:sz w:val="20"/>
              </w:rPr>
              <w:t>720,604</w:t>
            </w:r>
          </w:p>
        </w:tc>
        <w:tc>
          <w:tcPr>
            <w:tcW w:w="1419" w:type="dxa"/>
          </w:tcPr>
          <w:p>
            <w:pPr>
              <w:pStyle w:val="TableParagraph"/>
              <w:spacing w:before="4"/>
              <w:ind w:right="158"/>
              <w:rPr>
                <w:sz w:val="20"/>
              </w:rPr>
            </w:pPr>
            <w:r>
              <w:rPr>
                <w:sz w:val="20"/>
              </w:rPr>
              <w:t>601,957</w:t>
            </w:r>
          </w:p>
        </w:tc>
      </w:tr>
      <w:tr>
        <w:trPr>
          <w:trHeight w:val="240" w:hRule="exact"/>
        </w:trPr>
        <w:tc>
          <w:tcPr>
            <w:tcW w:w="6300" w:type="dxa"/>
          </w:tcPr>
          <w:p>
            <w:pPr>
              <w:pStyle w:val="TableParagraph"/>
              <w:spacing w:before="4"/>
              <w:ind w:left="232"/>
              <w:jc w:val="left"/>
              <w:rPr>
                <w:sz w:val="20"/>
              </w:rPr>
            </w:pPr>
            <w:r>
              <w:rPr>
                <w:sz w:val="20"/>
              </w:rPr>
              <w:t>Deposits on flight equipment purchase contracts</w:t>
            </w:r>
          </w:p>
        </w:tc>
        <w:tc>
          <w:tcPr>
            <w:tcW w:w="1636" w:type="dxa"/>
          </w:tcPr>
          <w:p>
            <w:pPr>
              <w:pStyle w:val="TableParagraph"/>
              <w:tabs>
                <w:tab w:pos="642" w:val="left" w:leader="none"/>
              </w:tabs>
              <w:ind w:left="355"/>
              <w:jc w:val="left"/>
              <w:rPr>
                <w:b/>
                <w:sz w:val="20"/>
              </w:rPr>
            </w:pPr>
            <w:r>
              <w:rPr>
                <w:b/>
                <w:color w:val="000080"/>
                <w:w w:val="100"/>
                <w:sz w:val="20"/>
                <w:u w:val="single" w:color="000080"/>
              </w:rPr>
              <w:t> </w:t>
            </w:r>
            <w:r>
              <w:rPr>
                <w:b/>
                <w:color w:val="000080"/>
                <w:sz w:val="20"/>
                <w:u w:val="single" w:color="000080"/>
              </w:rPr>
              <w:tab/>
              <w:t>309,356</w:t>
            </w:r>
          </w:p>
        </w:tc>
        <w:tc>
          <w:tcPr>
            <w:tcW w:w="1419" w:type="dxa"/>
          </w:tcPr>
          <w:p>
            <w:pPr>
              <w:pStyle w:val="TableParagraph"/>
              <w:tabs>
                <w:tab w:pos="537" w:val="left" w:leader="none"/>
              </w:tabs>
              <w:spacing w:before="4"/>
              <w:ind w:left="250"/>
              <w:jc w:val="left"/>
              <w:rPr>
                <w:sz w:val="20"/>
              </w:rPr>
            </w:pPr>
            <w:r>
              <w:rPr>
                <w:w w:val="100"/>
                <w:sz w:val="20"/>
                <w:u w:val="single"/>
              </w:rPr>
              <w:t> </w:t>
            </w:r>
            <w:r>
              <w:rPr>
                <w:sz w:val="20"/>
                <w:u w:val="single"/>
              </w:rPr>
              <w:tab/>
              <w:t>221,874</w:t>
            </w:r>
          </w:p>
        </w:tc>
      </w:tr>
      <w:tr>
        <w:trPr>
          <w:trHeight w:val="240" w:hRule="exact"/>
        </w:trPr>
        <w:tc>
          <w:tcPr>
            <w:tcW w:w="6300" w:type="dxa"/>
          </w:tcPr>
          <w:p>
            <w:pPr/>
          </w:p>
        </w:tc>
        <w:tc>
          <w:tcPr>
            <w:tcW w:w="1636" w:type="dxa"/>
          </w:tcPr>
          <w:p>
            <w:pPr>
              <w:pStyle w:val="TableParagraph"/>
              <w:ind w:left="475"/>
              <w:jc w:val="left"/>
              <w:rPr>
                <w:b/>
                <w:sz w:val="20"/>
              </w:rPr>
            </w:pPr>
            <w:r>
              <w:rPr>
                <w:b/>
                <w:color w:val="000080"/>
                <w:sz w:val="20"/>
              </w:rPr>
              <w:t>5,739,019</w:t>
            </w:r>
          </w:p>
        </w:tc>
        <w:tc>
          <w:tcPr>
            <w:tcW w:w="1419" w:type="dxa"/>
          </w:tcPr>
          <w:p>
            <w:pPr>
              <w:pStyle w:val="TableParagraph"/>
              <w:spacing w:before="4"/>
              <w:ind w:left="370"/>
              <w:jc w:val="left"/>
              <w:rPr>
                <w:sz w:val="20"/>
              </w:rPr>
            </w:pPr>
            <w:r>
              <w:rPr>
                <w:sz w:val="20"/>
              </w:rPr>
              <w:t>4,811,324</w:t>
            </w:r>
          </w:p>
        </w:tc>
      </w:tr>
      <w:tr>
        <w:trPr>
          <w:trHeight w:val="240" w:hRule="exact"/>
        </w:trPr>
        <w:tc>
          <w:tcPr>
            <w:tcW w:w="6300" w:type="dxa"/>
          </w:tcPr>
          <w:p>
            <w:pPr>
              <w:pStyle w:val="TableParagraph"/>
              <w:spacing w:before="4"/>
              <w:ind w:left="232"/>
              <w:jc w:val="left"/>
              <w:rPr>
                <w:sz w:val="20"/>
              </w:rPr>
            </w:pPr>
            <w:r>
              <w:rPr>
                <w:sz w:val="20"/>
              </w:rPr>
              <w:t>Less allowance for depreciation</w:t>
            </w:r>
          </w:p>
        </w:tc>
        <w:tc>
          <w:tcPr>
            <w:tcW w:w="1636" w:type="dxa"/>
          </w:tcPr>
          <w:p>
            <w:pPr>
              <w:pStyle w:val="TableParagraph"/>
              <w:ind w:left="359"/>
              <w:jc w:val="left"/>
              <w:rPr>
                <w:b/>
                <w:sz w:val="20"/>
              </w:rPr>
            </w:pPr>
            <w:r>
              <w:rPr>
                <w:b/>
                <w:color w:val="000080"/>
                <w:w w:val="100"/>
                <w:sz w:val="20"/>
                <w:u w:val="single" w:color="000080"/>
              </w:rPr>
              <w:t> </w:t>
            </w:r>
            <w:r>
              <w:rPr>
                <w:b/>
                <w:color w:val="000080"/>
                <w:sz w:val="20"/>
                <w:u w:val="single" w:color="000080"/>
              </w:rPr>
              <w:t> 1,601,409</w:t>
            </w:r>
          </w:p>
        </w:tc>
        <w:tc>
          <w:tcPr>
            <w:tcW w:w="1419" w:type="dxa"/>
          </w:tcPr>
          <w:p>
            <w:pPr>
              <w:pStyle w:val="TableParagraph"/>
              <w:spacing w:before="4"/>
              <w:ind w:left="255"/>
              <w:jc w:val="left"/>
              <w:rPr>
                <w:sz w:val="20"/>
              </w:rPr>
            </w:pPr>
            <w:r>
              <w:rPr>
                <w:w w:val="100"/>
                <w:sz w:val="20"/>
                <w:u w:val="single"/>
              </w:rPr>
              <w:t> </w:t>
            </w:r>
            <w:r>
              <w:rPr>
                <w:sz w:val="20"/>
                <w:u w:val="single"/>
              </w:rPr>
              <w:t> 1,375,631</w:t>
            </w:r>
          </w:p>
        </w:tc>
      </w:tr>
      <w:tr>
        <w:trPr>
          <w:trHeight w:val="240" w:hRule="exact"/>
        </w:trPr>
        <w:tc>
          <w:tcPr>
            <w:tcW w:w="6300" w:type="dxa"/>
          </w:tcPr>
          <w:p>
            <w:pPr/>
          </w:p>
        </w:tc>
        <w:tc>
          <w:tcPr>
            <w:tcW w:w="1636" w:type="dxa"/>
          </w:tcPr>
          <w:p>
            <w:pPr>
              <w:pStyle w:val="TableParagraph"/>
              <w:ind w:left="475"/>
              <w:jc w:val="left"/>
              <w:rPr>
                <w:b/>
                <w:sz w:val="20"/>
              </w:rPr>
            </w:pPr>
            <w:r>
              <w:rPr>
                <w:b/>
                <w:color w:val="000080"/>
                <w:sz w:val="20"/>
              </w:rPr>
              <w:t>4,137,610</w:t>
            </w:r>
          </w:p>
        </w:tc>
        <w:tc>
          <w:tcPr>
            <w:tcW w:w="1419" w:type="dxa"/>
          </w:tcPr>
          <w:p>
            <w:pPr>
              <w:pStyle w:val="TableParagraph"/>
              <w:spacing w:before="4"/>
              <w:ind w:left="370"/>
              <w:jc w:val="left"/>
              <w:rPr>
                <w:sz w:val="20"/>
              </w:rPr>
            </w:pPr>
            <w:r>
              <w:rPr>
                <w:sz w:val="20"/>
              </w:rPr>
              <w:t>3,435,693</w:t>
            </w:r>
          </w:p>
        </w:tc>
      </w:tr>
      <w:tr>
        <w:trPr>
          <w:trHeight w:val="240" w:hRule="exact"/>
        </w:trPr>
        <w:tc>
          <w:tcPr>
            <w:tcW w:w="6300" w:type="dxa"/>
          </w:tcPr>
          <w:p>
            <w:pPr>
              <w:pStyle w:val="TableParagraph"/>
              <w:spacing w:before="4"/>
              <w:ind w:left="50"/>
              <w:jc w:val="left"/>
              <w:rPr>
                <w:sz w:val="20"/>
              </w:rPr>
            </w:pPr>
            <w:r>
              <w:rPr>
                <w:sz w:val="20"/>
              </w:rPr>
              <w:t>Other assets</w:t>
            </w:r>
          </w:p>
        </w:tc>
        <w:tc>
          <w:tcPr>
            <w:tcW w:w="1636" w:type="dxa"/>
          </w:tcPr>
          <w:p>
            <w:pPr>
              <w:pStyle w:val="TableParagraph"/>
              <w:tabs>
                <w:tab w:pos="863" w:val="left" w:leader="none"/>
              </w:tabs>
              <w:ind w:left="287"/>
              <w:jc w:val="left"/>
              <w:rPr>
                <w:b/>
                <w:sz w:val="20"/>
              </w:rPr>
            </w:pPr>
            <w:r>
              <w:rPr>
                <w:b/>
                <w:color w:val="000080"/>
                <w:w w:val="100"/>
                <w:sz w:val="20"/>
                <w:u w:val="single" w:color="000080"/>
              </w:rPr>
              <w:t> </w:t>
            </w:r>
            <w:r>
              <w:rPr>
                <w:b/>
                <w:color w:val="000080"/>
                <w:sz w:val="20"/>
                <w:u w:val="single" w:color="000080"/>
              </w:rPr>
              <w:tab/>
              <w:t>4,231</w:t>
            </w:r>
          </w:p>
        </w:tc>
        <w:tc>
          <w:tcPr>
            <w:tcW w:w="1419" w:type="dxa"/>
          </w:tcPr>
          <w:p>
            <w:pPr>
              <w:pStyle w:val="TableParagraph"/>
              <w:tabs>
                <w:tab w:pos="758" w:val="left" w:leader="none"/>
              </w:tabs>
              <w:spacing w:before="4"/>
              <w:ind w:left="183"/>
              <w:jc w:val="left"/>
              <w:rPr>
                <w:sz w:val="20"/>
              </w:rPr>
            </w:pPr>
            <w:r>
              <w:rPr>
                <w:w w:val="100"/>
                <w:sz w:val="20"/>
                <w:u w:val="single"/>
              </w:rPr>
              <w:t> </w:t>
            </w:r>
            <w:r>
              <w:rPr>
                <w:sz w:val="20"/>
                <w:u w:val="single"/>
              </w:rPr>
              <w:tab/>
              <w:t>4,051</w:t>
            </w:r>
          </w:p>
        </w:tc>
      </w:tr>
      <w:tr>
        <w:trPr>
          <w:trHeight w:val="240" w:hRule="exact"/>
        </w:trPr>
        <w:tc>
          <w:tcPr>
            <w:tcW w:w="6300" w:type="dxa"/>
          </w:tcPr>
          <w:p>
            <w:pPr/>
          </w:p>
        </w:tc>
        <w:tc>
          <w:tcPr>
            <w:tcW w:w="1636" w:type="dxa"/>
          </w:tcPr>
          <w:p>
            <w:pPr>
              <w:pStyle w:val="TableParagraph"/>
              <w:ind w:left="364"/>
              <w:jc w:val="left"/>
              <w:rPr>
                <w:b/>
                <w:sz w:val="20"/>
              </w:rPr>
            </w:pPr>
            <w:r>
              <w:rPr>
                <w:b/>
                <w:color w:val="000080"/>
                <w:sz w:val="20"/>
                <w:u w:val="thick" w:color="000080"/>
              </w:rPr>
              <w:t>$4,715,996</w:t>
            </w:r>
          </w:p>
        </w:tc>
        <w:tc>
          <w:tcPr>
            <w:tcW w:w="1419" w:type="dxa"/>
          </w:tcPr>
          <w:p>
            <w:pPr>
              <w:pStyle w:val="TableParagraph"/>
              <w:spacing w:before="4"/>
              <w:ind w:left="259"/>
              <w:jc w:val="left"/>
              <w:rPr>
                <w:sz w:val="20"/>
              </w:rPr>
            </w:pPr>
            <w:r>
              <w:rPr>
                <w:sz w:val="20"/>
                <w:u w:val="thick"/>
              </w:rPr>
              <w:t>$4,246,160</w:t>
            </w:r>
          </w:p>
        </w:tc>
      </w:tr>
      <w:tr>
        <w:trPr>
          <w:trHeight w:val="240" w:hRule="exact"/>
        </w:trPr>
        <w:tc>
          <w:tcPr>
            <w:tcW w:w="6300" w:type="dxa"/>
          </w:tcPr>
          <w:p>
            <w:pPr>
              <w:pStyle w:val="TableParagraph"/>
              <w:ind w:left="50"/>
              <w:jc w:val="left"/>
              <w:rPr>
                <w:b/>
                <w:sz w:val="20"/>
              </w:rPr>
            </w:pPr>
            <w:r>
              <w:rPr>
                <w:b/>
                <w:color w:val="000080"/>
                <w:sz w:val="20"/>
              </w:rPr>
              <w:t>LIABILITIES AND STOCKHOLDERS’ EQUITY</w:t>
            </w:r>
          </w:p>
        </w:tc>
        <w:tc>
          <w:tcPr>
            <w:tcW w:w="1636" w:type="dxa"/>
          </w:tcPr>
          <w:p>
            <w:pPr/>
          </w:p>
        </w:tc>
        <w:tc>
          <w:tcPr>
            <w:tcW w:w="1419" w:type="dxa"/>
          </w:tcPr>
          <w:p>
            <w:pPr/>
          </w:p>
        </w:tc>
      </w:tr>
      <w:tr>
        <w:trPr>
          <w:trHeight w:val="240" w:hRule="exact"/>
        </w:trPr>
        <w:tc>
          <w:tcPr>
            <w:tcW w:w="6300" w:type="dxa"/>
          </w:tcPr>
          <w:p>
            <w:pPr>
              <w:pStyle w:val="TableParagraph"/>
              <w:spacing w:before="4"/>
              <w:ind w:left="50"/>
              <w:jc w:val="left"/>
              <w:rPr>
                <w:sz w:val="20"/>
              </w:rPr>
            </w:pPr>
            <w:r>
              <w:rPr>
                <w:sz w:val="20"/>
              </w:rPr>
              <w:t>Current liabilities:</w:t>
            </w:r>
          </w:p>
        </w:tc>
        <w:tc>
          <w:tcPr>
            <w:tcW w:w="1636" w:type="dxa"/>
          </w:tcPr>
          <w:p>
            <w:pPr/>
          </w:p>
        </w:tc>
        <w:tc>
          <w:tcPr>
            <w:tcW w:w="1419" w:type="dxa"/>
          </w:tcPr>
          <w:p>
            <w:pPr/>
          </w:p>
        </w:tc>
      </w:tr>
      <w:tr>
        <w:trPr>
          <w:trHeight w:val="240" w:hRule="exact"/>
        </w:trPr>
        <w:tc>
          <w:tcPr>
            <w:tcW w:w="6300" w:type="dxa"/>
          </w:tcPr>
          <w:p>
            <w:pPr>
              <w:pStyle w:val="TableParagraph"/>
              <w:spacing w:before="4"/>
              <w:ind w:left="232"/>
              <w:jc w:val="left"/>
              <w:rPr>
                <w:sz w:val="20"/>
              </w:rPr>
            </w:pPr>
            <w:r>
              <w:rPr>
                <w:sz w:val="20"/>
              </w:rPr>
              <w:t>Accounts payable</w:t>
            </w:r>
          </w:p>
        </w:tc>
        <w:tc>
          <w:tcPr>
            <w:tcW w:w="1636" w:type="dxa"/>
          </w:tcPr>
          <w:p>
            <w:pPr>
              <w:pStyle w:val="TableParagraph"/>
              <w:ind w:right="182"/>
              <w:rPr>
                <w:b/>
                <w:sz w:val="20"/>
              </w:rPr>
            </w:pPr>
            <w:r>
              <w:rPr>
                <w:b/>
                <w:color w:val="000080"/>
                <w:sz w:val="20"/>
              </w:rPr>
              <w:t>$157,415</w:t>
            </w:r>
          </w:p>
        </w:tc>
        <w:tc>
          <w:tcPr>
            <w:tcW w:w="1419" w:type="dxa"/>
          </w:tcPr>
          <w:p>
            <w:pPr>
              <w:pStyle w:val="TableParagraph"/>
              <w:spacing w:before="4"/>
              <w:ind w:right="48"/>
              <w:rPr>
                <w:sz w:val="20"/>
              </w:rPr>
            </w:pPr>
            <w:r>
              <w:rPr>
                <w:sz w:val="20"/>
              </w:rPr>
              <w:t>$160,891</w:t>
            </w:r>
          </w:p>
        </w:tc>
      </w:tr>
      <w:tr>
        <w:trPr>
          <w:trHeight w:val="240" w:hRule="exact"/>
        </w:trPr>
        <w:tc>
          <w:tcPr>
            <w:tcW w:w="6300" w:type="dxa"/>
          </w:tcPr>
          <w:p>
            <w:pPr>
              <w:pStyle w:val="TableParagraph"/>
              <w:spacing w:before="4"/>
              <w:ind w:left="232"/>
              <w:jc w:val="left"/>
              <w:rPr>
                <w:sz w:val="20"/>
              </w:rPr>
            </w:pPr>
            <w:r>
              <w:rPr>
                <w:sz w:val="20"/>
              </w:rPr>
              <w:t>Accrued  liabilities (Note 3)</w:t>
            </w:r>
          </w:p>
        </w:tc>
        <w:tc>
          <w:tcPr>
            <w:tcW w:w="1636" w:type="dxa"/>
          </w:tcPr>
          <w:p>
            <w:pPr>
              <w:pStyle w:val="TableParagraph"/>
              <w:ind w:right="182"/>
              <w:rPr>
                <w:b/>
                <w:sz w:val="20"/>
              </w:rPr>
            </w:pPr>
            <w:r>
              <w:rPr>
                <w:b/>
                <w:color w:val="000080"/>
                <w:sz w:val="20"/>
              </w:rPr>
              <w:t>477,448</w:t>
            </w:r>
          </w:p>
        </w:tc>
        <w:tc>
          <w:tcPr>
            <w:tcW w:w="1419" w:type="dxa"/>
          </w:tcPr>
          <w:p>
            <w:pPr>
              <w:pStyle w:val="TableParagraph"/>
              <w:spacing w:before="4"/>
              <w:ind w:right="48"/>
              <w:rPr>
                <w:sz w:val="20"/>
              </w:rPr>
            </w:pPr>
            <w:r>
              <w:rPr>
                <w:sz w:val="20"/>
              </w:rPr>
              <w:t>426,950</w:t>
            </w:r>
          </w:p>
        </w:tc>
      </w:tr>
      <w:tr>
        <w:trPr>
          <w:trHeight w:val="240" w:hRule="exact"/>
        </w:trPr>
        <w:tc>
          <w:tcPr>
            <w:tcW w:w="6300" w:type="dxa"/>
          </w:tcPr>
          <w:p>
            <w:pPr>
              <w:pStyle w:val="TableParagraph"/>
              <w:spacing w:before="4"/>
              <w:ind w:left="232"/>
              <w:jc w:val="left"/>
              <w:rPr>
                <w:sz w:val="20"/>
              </w:rPr>
            </w:pPr>
            <w:r>
              <w:rPr>
                <w:sz w:val="20"/>
              </w:rPr>
              <w:t>Air traffic liability</w:t>
            </w:r>
          </w:p>
        </w:tc>
        <w:tc>
          <w:tcPr>
            <w:tcW w:w="1636" w:type="dxa"/>
          </w:tcPr>
          <w:p>
            <w:pPr>
              <w:pStyle w:val="TableParagraph"/>
              <w:ind w:right="182"/>
              <w:rPr>
                <w:b/>
                <w:sz w:val="20"/>
              </w:rPr>
            </w:pPr>
            <w:r>
              <w:rPr>
                <w:b/>
                <w:color w:val="000080"/>
                <w:sz w:val="20"/>
              </w:rPr>
              <w:t>200,078</w:t>
            </w:r>
          </w:p>
        </w:tc>
        <w:tc>
          <w:tcPr>
            <w:tcW w:w="1419" w:type="dxa"/>
          </w:tcPr>
          <w:p>
            <w:pPr>
              <w:pStyle w:val="TableParagraph"/>
              <w:spacing w:before="4"/>
              <w:ind w:right="48"/>
              <w:rPr>
                <w:sz w:val="20"/>
              </w:rPr>
            </w:pPr>
            <w:r>
              <w:rPr>
                <w:sz w:val="20"/>
              </w:rPr>
              <w:t>153,341</w:t>
            </w:r>
          </w:p>
        </w:tc>
      </w:tr>
      <w:tr>
        <w:trPr>
          <w:trHeight w:val="240" w:hRule="exact"/>
        </w:trPr>
        <w:tc>
          <w:tcPr>
            <w:tcW w:w="6300" w:type="dxa"/>
          </w:tcPr>
          <w:p>
            <w:pPr>
              <w:pStyle w:val="TableParagraph"/>
              <w:spacing w:before="4"/>
              <w:ind w:left="232"/>
              <w:jc w:val="left"/>
              <w:rPr>
                <w:sz w:val="20"/>
              </w:rPr>
            </w:pPr>
            <w:r>
              <w:rPr>
                <w:sz w:val="20"/>
              </w:rPr>
              <w:t>Current maturities of long-term debt (Note 4)</w:t>
            </w:r>
          </w:p>
        </w:tc>
        <w:tc>
          <w:tcPr>
            <w:tcW w:w="1636" w:type="dxa"/>
          </w:tcPr>
          <w:p>
            <w:pPr>
              <w:pStyle w:val="TableParagraph"/>
              <w:ind w:right="181"/>
              <w:rPr>
                <w:b/>
                <w:sz w:val="20"/>
              </w:rPr>
            </w:pPr>
            <w:r>
              <w:rPr>
                <w:b/>
                <w:color w:val="000080"/>
                <w:sz w:val="20"/>
              </w:rPr>
              <w:t>11,996</w:t>
            </w:r>
          </w:p>
        </w:tc>
        <w:tc>
          <w:tcPr>
            <w:tcW w:w="1419" w:type="dxa"/>
          </w:tcPr>
          <w:p>
            <w:pPr>
              <w:pStyle w:val="TableParagraph"/>
              <w:spacing w:before="4"/>
              <w:ind w:right="48"/>
              <w:rPr>
                <w:sz w:val="20"/>
              </w:rPr>
            </w:pPr>
            <w:r>
              <w:rPr>
                <w:sz w:val="20"/>
              </w:rPr>
              <w:t>121,324</w:t>
            </w:r>
          </w:p>
        </w:tc>
      </w:tr>
      <w:tr>
        <w:trPr>
          <w:trHeight w:val="240" w:hRule="exact"/>
        </w:trPr>
        <w:tc>
          <w:tcPr>
            <w:tcW w:w="6300" w:type="dxa"/>
          </w:tcPr>
          <w:p>
            <w:pPr>
              <w:pStyle w:val="TableParagraph"/>
              <w:spacing w:before="4"/>
              <w:ind w:left="232"/>
              <w:jc w:val="left"/>
              <w:rPr>
                <w:sz w:val="20"/>
              </w:rPr>
            </w:pPr>
            <w:r>
              <w:rPr>
                <w:sz w:val="20"/>
              </w:rPr>
              <w:t>Other current liabilities</w:t>
            </w:r>
          </w:p>
        </w:tc>
        <w:tc>
          <w:tcPr>
            <w:tcW w:w="1636" w:type="dxa"/>
          </w:tcPr>
          <w:p>
            <w:pPr>
              <w:pStyle w:val="TableParagraph"/>
              <w:ind w:right="181"/>
              <w:rPr>
                <w:b/>
                <w:sz w:val="20"/>
              </w:rPr>
            </w:pPr>
            <w:r>
              <w:rPr>
                <w:b/>
                <w:color w:val="000080"/>
                <w:sz w:val="20"/>
                <w:u w:val="single" w:color="000080"/>
              </w:rPr>
              <w:t>3,716</w:t>
            </w:r>
          </w:p>
        </w:tc>
        <w:tc>
          <w:tcPr>
            <w:tcW w:w="1419" w:type="dxa"/>
          </w:tcPr>
          <w:p>
            <w:pPr>
              <w:pStyle w:val="TableParagraph"/>
              <w:spacing w:before="4"/>
              <w:ind w:right="48"/>
              <w:rPr>
                <w:sz w:val="20"/>
              </w:rPr>
            </w:pPr>
            <w:r>
              <w:rPr>
                <w:sz w:val="20"/>
                <w:u w:val="single"/>
              </w:rPr>
              <w:t>6,007</w:t>
            </w:r>
          </w:p>
        </w:tc>
      </w:tr>
      <w:tr>
        <w:trPr>
          <w:trHeight w:val="360" w:hRule="exact"/>
        </w:trPr>
        <w:tc>
          <w:tcPr>
            <w:tcW w:w="6300" w:type="dxa"/>
          </w:tcPr>
          <w:p>
            <w:pPr>
              <w:pStyle w:val="TableParagraph"/>
              <w:spacing w:before="4"/>
              <w:ind w:left="410"/>
              <w:jc w:val="left"/>
              <w:rPr>
                <w:sz w:val="20"/>
              </w:rPr>
            </w:pPr>
            <w:r>
              <w:rPr>
                <w:sz w:val="20"/>
              </w:rPr>
              <w:t>Total current liabilities</w:t>
            </w:r>
          </w:p>
        </w:tc>
        <w:tc>
          <w:tcPr>
            <w:tcW w:w="1636" w:type="dxa"/>
          </w:tcPr>
          <w:p>
            <w:pPr>
              <w:pStyle w:val="TableParagraph"/>
              <w:ind w:right="182"/>
              <w:rPr>
                <w:b/>
                <w:sz w:val="20"/>
              </w:rPr>
            </w:pPr>
            <w:r>
              <w:rPr>
                <w:b/>
                <w:color w:val="000080"/>
                <w:sz w:val="20"/>
              </w:rPr>
              <w:t>850,653</w:t>
            </w:r>
          </w:p>
        </w:tc>
        <w:tc>
          <w:tcPr>
            <w:tcW w:w="1419" w:type="dxa"/>
          </w:tcPr>
          <w:p>
            <w:pPr>
              <w:pStyle w:val="TableParagraph"/>
              <w:spacing w:before="4"/>
              <w:ind w:right="48"/>
              <w:rPr>
                <w:sz w:val="20"/>
              </w:rPr>
            </w:pPr>
            <w:r>
              <w:rPr>
                <w:sz w:val="20"/>
              </w:rPr>
              <w:t>868,513</w:t>
            </w:r>
          </w:p>
        </w:tc>
      </w:tr>
      <w:tr>
        <w:trPr>
          <w:trHeight w:val="360" w:hRule="exact"/>
        </w:trPr>
        <w:tc>
          <w:tcPr>
            <w:tcW w:w="6300" w:type="dxa"/>
          </w:tcPr>
          <w:p>
            <w:pPr>
              <w:pStyle w:val="TableParagraph"/>
              <w:spacing w:before="124"/>
              <w:ind w:left="50"/>
              <w:jc w:val="left"/>
              <w:rPr>
                <w:sz w:val="20"/>
              </w:rPr>
            </w:pPr>
            <w:r>
              <w:rPr>
                <w:sz w:val="20"/>
              </w:rPr>
              <w:t>Long-term debt less current maturities (Note 4)</w:t>
            </w:r>
          </w:p>
        </w:tc>
        <w:tc>
          <w:tcPr>
            <w:tcW w:w="1636" w:type="dxa"/>
          </w:tcPr>
          <w:p>
            <w:pPr>
              <w:pStyle w:val="TableParagraph"/>
              <w:spacing w:before="120"/>
              <w:ind w:right="182"/>
              <w:rPr>
                <w:b/>
                <w:sz w:val="20"/>
              </w:rPr>
            </w:pPr>
            <w:r>
              <w:rPr>
                <w:b/>
                <w:color w:val="000080"/>
                <w:sz w:val="20"/>
              </w:rPr>
              <w:t>623,309</w:t>
            </w:r>
          </w:p>
        </w:tc>
        <w:tc>
          <w:tcPr>
            <w:tcW w:w="1419" w:type="dxa"/>
          </w:tcPr>
          <w:p>
            <w:pPr>
              <w:pStyle w:val="TableParagraph"/>
              <w:spacing w:before="124"/>
              <w:ind w:right="48"/>
              <w:rPr>
                <w:sz w:val="20"/>
              </w:rPr>
            </w:pPr>
            <w:r>
              <w:rPr>
                <w:sz w:val="20"/>
              </w:rPr>
              <w:t>628,106</w:t>
            </w:r>
          </w:p>
        </w:tc>
      </w:tr>
      <w:tr>
        <w:trPr>
          <w:trHeight w:val="240" w:hRule="exact"/>
        </w:trPr>
        <w:tc>
          <w:tcPr>
            <w:tcW w:w="6300" w:type="dxa"/>
          </w:tcPr>
          <w:p>
            <w:pPr>
              <w:pStyle w:val="TableParagraph"/>
              <w:spacing w:before="4"/>
              <w:ind w:left="50"/>
              <w:jc w:val="left"/>
              <w:rPr>
                <w:sz w:val="20"/>
              </w:rPr>
            </w:pPr>
            <w:r>
              <w:rPr>
                <w:sz w:val="20"/>
              </w:rPr>
              <w:t>Deferred income taxes (Note 10)</w:t>
            </w:r>
          </w:p>
        </w:tc>
        <w:tc>
          <w:tcPr>
            <w:tcW w:w="1636" w:type="dxa"/>
          </w:tcPr>
          <w:p>
            <w:pPr>
              <w:pStyle w:val="TableParagraph"/>
              <w:ind w:right="182"/>
              <w:rPr>
                <w:b/>
                <w:sz w:val="20"/>
              </w:rPr>
            </w:pPr>
            <w:r>
              <w:rPr>
                <w:b/>
                <w:color w:val="000080"/>
                <w:sz w:val="20"/>
              </w:rPr>
              <w:t>549,207</w:t>
            </w:r>
          </w:p>
        </w:tc>
        <w:tc>
          <w:tcPr>
            <w:tcW w:w="1419" w:type="dxa"/>
          </w:tcPr>
          <w:p>
            <w:pPr>
              <w:pStyle w:val="TableParagraph"/>
              <w:spacing w:before="4"/>
              <w:ind w:right="48"/>
              <w:rPr>
                <w:sz w:val="20"/>
              </w:rPr>
            </w:pPr>
            <w:r>
              <w:rPr>
                <w:sz w:val="20"/>
              </w:rPr>
              <w:t>438,981</w:t>
            </w:r>
          </w:p>
        </w:tc>
      </w:tr>
      <w:tr>
        <w:trPr>
          <w:trHeight w:val="240" w:hRule="exact"/>
        </w:trPr>
        <w:tc>
          <w:tcPr>
            <w:tcW w:w="6300" w:type="dxa"/>
          </w:tcPr>
          <w:p>
            <w:pPr>
              <w:pStyle w:val="TableParagraph"/>
              <w:spacing w:before="4"/>
              <w:ind w:left="50"/>
              <w:jc w:val="left"/>
              <w:rPr>
                <w:sz w:val="20"/>
              </w:rPr>
            </w:pPr>
            <w:r>
              <w:rPr>
                <w:sz w:val="20"/>
              </w:rPr>
              <w:t>Deferred gains from sale and leaseback of aircraft</w:t>
            </w:r>
          </w:p>
        </w:tc>
        <w:tc>
          <w:tcPr>
            <w:tcW w:w="1636" w:type="dxa"/>
          </w:tcPr>
          <w:p>
            <w:pPr>
              <w:pStyle w:val="TableParagraph"/>
              <w:ind w:right="182"/>
              <w:rPr>
                <w:b/>
                <w:sz w:val="20"/>
              </w:rPr>
            </w:pPr>
            <w:r>
              <w:rPr>
                <w:b/>
                <w:color w:val="000080"/>
                <w:sz w:val="20"/>
              </w:rPr>
              <w:t>238,412</w:t>
            </w:r>
          </w:p>
        </w:tc>
        <w:tc>
          <w:tcPr>
            <w:tcW w:w="1419" w:type="dxa"/>
          </w:tcPr>
          <w:p>
            <w:pPr>
              <w:pStyle w:val="TableParagraph"/>
              <w:spacing w:before="4"/>
              <w:ind w:right="48"/>
              <w:rPr>
                <w:sz w:val="20"/>
              </w:rPr>
            </w:pPr>
            <w:r>
              <w:rPr>
                <w:sz w:val="20"/>
              </w:rPr>
              <w:t>256,255</w:t>
            </w:r>
          </w:p>
        </w:tc>
      </w:tr>
      <w:tr>
        <w:trPr>
          <w:trHeight w:val="362" w:hRule="exact"/>
        </w:trPr>
        <w:tc>
          <w:tcPr>
            <w:tcW w:w="6300" w:type="dxa"/>
          </w:tcPr>
          <w:p>
            <w:pPr>
              <w:pStyle w:val="TableParagraph"/>
              <w:spacing w:before="4"/>
              <w:ind w:left="50"/>
              <w:jc w:val="left"/>
              <w:rPr>
                <w:sz w:val="20"/>
              </w:rPr>
            </w:pPr>
            <w:r>
              <w:rPr>
                <w:sz w:val="20"/>
              </w:rPr>
              <w:t>Other deferred liabilities</w:t>
            </w:r>
          </w:p>
        </w:tc>
        <w:tc>
          <w:tcPr>
            <w:tcW w:w="1636" w:type="dxa"/>
          </w:tcPr>
          <w:p>
            <w:pPr>
              <w:pStyle w:val="TableParagraph"/>
              <w:ind w:right="181"/>
              <w:rPr>
                <w:b/>
                <w:sz w:val="20"/>
              </w:rPr>
            </w:pPr>
            <w:r>
              <w:rPr>
                <w:b/>
                <w:color w:val="000080"/>
                <w:sz w:val="20"/>
              </w:rPr>
              <w:t>56,497</w:t>
            </w:r>
          </w:p>
        </w:tc>
        <w:tc>
          <w:tcPr>
            <w:tcW w:w="1419" w:type="dxa"/>
          </w:tcPr>
          <w:p>
            <w:pPr>
              <w:pStyle w:val="TableParagraph"/>
              <w:spacing w:before="4"/>
              <w:ind w:right="48"/>
              <w:rPr>
                <w:sz w:val="20"/>
              </w:rPr>
            </w:pPr>
            <w:r>
              <w:rPr>
                <w:sz w:val="20"/>
              </w:rPr>
              <w:t>45,287</w:t>
            </w:r>
          </w:p>
        </w:tc>
      </w:tr>
      <w:tr>
        <w:trPr>
          <w:trHeight w:val="360" w:hRule="exact"/>
        </w:trPr>
        <w:tc>
          <w:tcPr>
            <w:tcW w:w="6300" w:type="dxa"/>
          </w:tcPr>
          <w:p>
            <w:pPr>
              <w:pStyle w:val="TableParagraph"/>
              <w:spacing w:before="122"/>
              <w:ind w:left="50"/>
              <w:jc w:val="left"/>
              <w:rPr>
                <w:sz w:val="20"/>
              </w:rPr>
            </w:pPr>
            <w:r>
              <w:rPr>
                <w:sz w:val="20"/>
              </w:rPr>
              <w:t>Commitments and contingencies (Notes 2, 5, and 10)</w:t>
            </w:r>
          </w:p>
        </w:tc>
        <w:tc>
          <w:tcPr>
            <w:tcW w:w="1636" w:type="dxa"/>
          </w:tcPr>
          <w:p>
            <w:pPr/>
          </w:p>
        </w:tc>
        <w:tc>
          <w:tcPr>
            <w:tcW w:w="1419" w:type="dxa"/>
          </w:tcPr>
          <w:p>
            <w:pPr/>
          </w:p>
        </w:tc>
      </w:tr>
      <w:tr>
        <w:trPr>
          <w:trHeight w:val="233" w:hRule="exact"/>
        </w:trPr>
        <w:tc>
          <w:tcPr>
            <w:tcW w:w="6300" w:type="dxa"/>
          </w:tcPr>
          <w:p>
            <w:pPr>
              <w:pStyle w:val="TableParagraph"/>
              <w:spacing w:before="2"/>
              <w:ind w:left="50"/>
              <w:jc w:val="left"/>
              <w:rPr>
                <w:sz w:val="20"/>
              </w:rPr>
            </w:pPr>
            <w:r>
              <w:rPr>
                <w:sz w:val="20"/>
              </w:rPr>
              <w:t>Stockholders’ equity (Notes 7 and 8):</w:t>
            </w:r>
          </w:p>
        </w:tc>
        <w:tc>
          <w:tcPr>
            <w:tcW w:w="1636" w:type="dxa"/>
          </w:tcPr>
          <w:p>
            <w:pPr/>
          </w:p>
        </w:tc>
        <w:tc>
          <w:tcPr>
            <w:tcW w:w="1419" w:type="dxa"/>
          </w:tcPr>
          <w:p>
            <w:pPr/>
          </w:p>
        </w:tc>
      </w:tr>
      <w:tr>
        <w:trPr>
          <w:trHeight w:val="240" w:hRule="exact"/>
        </w:trPr>
        <w:tc>
          <w:tcPr>
            <w:tcW w:w="9355" w:type="dxa"/>
            <w:gridSpan w:val="3"/>
          </w:tcPr>
          <w:p>
            <w:pPr>
              <w:pStyle w:val="TableParagraph"/>
              <w:spacing w:before="9"/>
              <w:ind w:left="213"/>
              <w:jc w:val="left"/>
              <w:rPr>
                <w:sz w:val="20"/>
              </w:rPr>
            </w:pPr>
            <w:r>
              <w:rPr>
                <w:sz w:val="20"/>
              </w:rPr>
              <w:t>Common stock, $1.00 par value: 850,000,000 shares authorized;</w:t>
            </w:r>
          </w:p>
        </w:tc>
      </w:tr>
      <w:tr>
        <w:trPr>
          <w:trHeight w:val="245" w:hRule="exact"/>
        </w:trPr>
        <w:tc>
          <w:tcPr>
            <w:tcW w:w="6300" w:type="dxa"/>
          </w:tcPr>
          <w:p>
            <w:pPr>
              <w:pStyle w:val="TableParagraph"/>
              <w:spacing w:line="225" w:lineRule="exact"/>
              <w:ind w:left="410"/>
              <w:jc w:val="left"/>
              <w:rPr>
                <w:sz w:val="20"/>
              </w:rPr>
            </w:pPr>
            <w:r>
              <w:rPr>
                <w:sz w:val="20"/>
              </w:rPr>
              <w:t>335,904,306 and 221,207,083 shares issued in 1998 and 1997,</w:t>
            </w:r>
          </w:p>
        </w:tc>
        <w:tc>
          <w:tcPr>
            <w:tcW w:w="1636" w:type="dxa"/>
          </w:tcPr>
          <w:p>
            <w:pPr/>
          </w:p>
        </w:tc>
        <w:tc>
          <w:tcPr>
            <w:tcW w:w="1419" w:type="dxa"/>
          </w:tcPr>
          <w:p>
            <w:pPr/>
          </w:p>
        </w:tc>
      </w:tr>
      <w:tr>
        <w:trPr>
          <w:trHeight w:val="240" w:hRule="exact"/>
        </w:trPr>
        <w:tc>
          <w:tcPr>
            <w:tcW w:w="6300" w:type="dxa"/>
          </w:tcPr>
          <w:p>
            <w:pPr>
              <w:pStyle w:val="TableParagraph"/>
              <w:spacing w:before="4"/>
              <w:ind w:left="410"/>
              <w:jc w:val="left"/>
              <w:rPr>
                <w:sz w:val="20"/>
              </w:rPr>
            </w:pPr>
            <w:r>
              <w:rPr>
                <w:sz w:val="20"/>
              </w:rPr>
              <w:t>respectively</w:t>
            </w:r>
          </w:p>
        </w:tc>
        <w:tc>
          <w:tcPr>
            <w:tcW w:w="1636" w:type="dxa"/>
          </w:tcPr>
          <w:p>
            <w:pPr>
              <w:pStyle w:val="TableParagraph"/>
              <w:ind w:right="182"/>
              <w:rPr>
                <w:b/>
                <w:sz w:val="20"/>
              </w:rPr>
            </w:pPr>
            <w:r>
              <w:rPr>
                <w:b/>
                <w:color w:val="000080"/>
                <w:sz w:val="20"/>
              </w:rPr>
              <w:t>335,904</w:t>
            </w:r>
          </w:p>
        </w:tc>
        <w:tc>
          <w:tcPr>
            <w:tcW w:w="1419" w:type="dxa"/>
          </w:tcPr>
          <w:p>
            <w:pPr>
              <w:pStyle w:val="TableParagraph"/>
              <w:spacing w:before="4"/>
              <w:ind w:right="48"/>
              <w:rPr>
                <w:sz w:val="20"/>
              </w:rPr>
            </w:pPr>
            <w:r>
              <w:rPr>
                <w:sz w:val="20"/>
              </w:rPr>
              <w:t>221,207</w:t>
            </w:r>
          </w:p>
        </w:tc>
      </w:tr>
      <w:tr>
        <w:trPr>
          <w:trHeight w:val="240" w:hRule="exact"/>
        </w:trPr>
        <w:tc>
          <w:tcPr>
            <w:tcW w:w="6300" w:type="dxa"/>
          </w:tcPr>
          <w:p>
            <w:pPr>
              <w:pStyle w:val="TableParagraph"/>
              <w:spacing w:before="4"/>
              <w:ind w:left="232"/>
              <w:jc w:val="left"/>
              <w:rPr>
                <w:sz w:val="20"/>
              </w:rPr>
            </w:pPr>
            <w:r>
              <w:rPr>
                <w:sz w:val="20"/>
              </w:rPr>
              <w:t>Capital in excess of par value</w:t>
            </w:r>
          </w:p>
        </w:tc>
        <w:tc>
          <w:tcPr>
            <w:tcW w:w="1636" w:type="dxa"/>
          </w:tcPr>
          <w:p>
            <w:pPr>
              <w:pStyle w:val="TableParagraph"/>
              <w:ind w:right="181"/>
              <w:rPr>
                <w:b/>
                <w:sz w:val="20"/>
              </w:rPr>
            </w:pPr>
            <w:r>
              <w:rPr>
                <w:b/>
                <w:color w:val="000080"/>
                <w:sz w:val="20"/>
              </w:rPr>
              <w:t>89,820</w:t>
            </w:r>
          </w:p>
        </w:tc>
        <w:tc>
          <w:tcPr>
            <w:tcW w:w="1419" w:type="dxa"/>
          </w:tcPr>
          <w:p>
            <w:pPr>
              <w:pStyle w:val="TableParagraph"/>
              <w:spacing w:before="4"/>
              <w:ind w:right="48"/>
              <w:rPr>
                <w:sz w:val="20"/>
              </w:rPr>
            </w:pPr>
            <w:r>
              <w:rPr>
                <w:sz w:val="20"/>
              </w:rPr>
              <w:t>155,696</w:t>
            </w:r>
          </w:p>
        </w:tc>
      </w:tr>
      <w:tr>
        <w:trPr>
          <w:trHeight w:val="240" w:hRule="exact"/>
        </w:trPr>
        <w:tc>
          <w:tcPr>
            <w:tcW w:w="6300" w:type="dxa"/>
          </w:tcPr>
          <w:p>
            <w:pPr>
              <w:pStyle w:val="TableParagraph"/>
              <w:spacing w:before="4"/>
              <w:ind w:left="232"/>
              <w:jc w:val="left"/>
              <w:rPr>
                <w:sz w:val="20"/>
              </w:rPr>
            </w:pPr>
            <w:r>
              <w:rPr>
                <w:sz w:val="20"/>
              </w:rPr>
              <w:t>Retained earnings</w:t>
            </w:r>
          </w:p>
        </w:tc>
        <w:tc>
          <w:tcPr>
            <w:tcW w:w="1636" w:type="dxa"/>
          </w:tcPr>
          <w:p>
            <w:pPr>
              <w:pStyle w:val="TableParagraph"/>
              <w:ind w:right="182"/>
              <w:rPr>
                <w:b/>
                <w:sz w:val="20"/>
              </w:rPr>
            </w:pPr>
            <w:r>
              <w:rPr>
                <w:b/>
                <w:color w:val="000080"/>
                <w:sz w:val="20"/>
              </w:rPr>
              <w:t>2,044,975</w:t>
            </w:r>
          </w:p>
        </w:tc>
        <w:tc>
          <w:tcPr>
            <w:tcW w:w="1419" w:type="dxa"/>
          </w:tcPr>
          <w:p>
            <w:pPr>
              <w:pStyle w:val="TableParagraph"/>
              <w:spacing w:before="4"/>
              <w:ind w:right="47"/>
              <w:rPr>
                <w:sz w:val="20"/>
              </w:rPr>
            </w:pPr>
            <w:r>
              <w:rPr>
                <w:sz w:val="20"/>
              </w:rPr>
              <w:t>1,632,115</w:t>
            </w:r>
          </w:p>
        </w:tc>
      </w:tr>
      <w:tr>
        <w:trPr>
          <w:trHeight w:val="235" w:hRule="exact"/>
        </w:trPr>
        <w:tc>
          <w:tcPr>
            <w:tcW w:w="6300" w:type="dxa"/>
          </w:tcPr>
          <w:p>
            <w:pPr>
              <w:pStyle w:val="TableParagraph"/>
              <w:spacing w:before="4"/>
              <w:ind w:left="232"/>
              <w:jc w:val="left"/>
              <w:rPr>
                <w:sz w:val="20"/>
              </w:rPr>
            </w:pPr>
            <w:r>
              <w:rPr>
                <w:sz w:val="20"/>
              </w:rPr>
              <w:t>Treasury stock, at cost: 3,601,121 shares in 1998</w:t>
            </w:r>
          </w:p>
        </w:tc>
        <w:tc>
          <w:tcPr>
            <w:tcW w:w="1636" w:type="dxa"/>
          </w:tcPr>
          <w:p>
            <w:pPr>
              <w:pStyle w:val="TableParagraph"/>
              <w:ind w:right="181"/>
              <w:rPr>
                <w:b/>
                <w:sz w:val="20"/>
              </w:rPr>
            </w:pPr>
            <w:r>
              <w:rPr>
                <w:b/>
                <w:color w:val="000080"/>
                <w:sz w:val="20"/>
                <w:u w:val="single" w:color="000080"/>
              </w:rPr>
              <w:t>(72,781)</w:t>
            </w:r>
          </w:p>
        </w:tc>
        <w:tc>
          <w:tcPr>
            <w:tcW w:w="1419" w:type="dxa"/>
          </w:tcPr>
          <w:p>
            <w:pPr>
              <w:pStyle w:val="TableParagraph"/>
              <w:spacing w:before="4"/>
              <w:ind w:right="48"/>
              <w:rPr>
                <w:sz w:val="20"/>
              </w:rPr>
            </w:pPr>
            <w:r>
              <w:rPr>
                <w:w w:val="100"/>
                <w:sz w:val="20"/>
              </w:rPr>
              <w:t>-</w:t>
            </w:r>
          </w:p>
        </w:tc>
      </w:tr>
      <w:tr>
        <w:trPr>
          <w:trHeight w:val="245" w:hRule="exact"/>
        </w:trPr>
        <w:tc>
          <w:tcPr>
            <w:tcW w:w="6300" w:type="dxa"/>
          </w:tcPr>
          <w:p>
            <w:pPr>
              <w:pStyle w:val="TableParagraph"/>
              <w:spacing w:before="9"/>
              <w:ind w:left="410"/>
              <w:jc w:val="left"/>
              <w:rPr>
                <w:sz w:val="20"/>
              </w:rPr>
            </w:pPr>
            <w:r>
              <w:rPr>
                <w:sz w:val="20"/>
              </w:rPr>
              <w:t>Total stockholders’ equity</w:t>
            </w:r>
          </w:p>
        </w:tc>
        <w:tc>
          <w:tcPr>
            <w:tcW w:w="1636" w:type="dxa"/>
          </w:tcPr>
          <w:p>
            <w:pPr>
              <w:pStyle w:val="TableParagraph"/>
              <w:spacing w:before="5"/>
              <w:ind w:right="182"/>
              <w:rPr>
                <w:b/>
                <w:sz w:val="20"/>
              </w:rPr>
            </w:pPr>
            <w:r>
              <w:rPr>
                <w:b/>
                <w:color w:val="000080"/>
                <w:sz w:val="20"/>
                <w:u w:val="single" w:color="000080"/>
              </w:rPr>
              <w:t>2,397,918</w:t>
            </w:r>
          </w:p>
        </w:tc>
        <w:tc>
          <w:tcPr>
            <w:tcW w:w="1419" w:type="dxa"/>
          </w:tcPr>
          <w:p>
            <w:pPr>
              <w:pStyle w:val="TableParagraph"/>
              <w:spacing w:before="26"/>
              <w:ind w:right="47"/>
              <w:rPr>
                <w:sz w:val="20"/>
              </w:rPr>
            </w:pPr>
            <w:r>
              <w:rPr>
                <w:sz w:val="20"/>
                <w:u w:val="single"/>
              </w:rPr>
              <w:t>2,009,018</w:t>
            </w:r>
          </w:p>
        </w:tc>
      </w:tr>
      <w:tr>
        <w:trPr>
          <w:trHeight w:val="235" w:hRule="exact"/>
        </w:trPr>
        <w:tc>
          <w:tcPr>
            <w:tcW w:w="6300" w:type="dxa"/>
          </w:tcPr>
          <w:p>
            <w:pPr/>
          </w:p>
        </w:tc>
        <w:tc>
          <w:tcPr>
            <w:tcW w:w="1636" w:type="dxa"/>
          </w:tcPr>
          <w:p>
            <w:pPr>
              <w:pStyle w:val="TableParagraph"/>
              <w:ind w:right="182"/>
              <w:rPr>
                <w:b/>
                <w:sz w:val="20"/>
              </w:rPr>
            </w:pPr>
            <w:r>
              <w:rPr>
                <w:b/>
                <w:color w:val="000080"/>
                <w:sz w:val="20"/>
                <w:u w:val="thick" w:color="000080"/>
              </w:rPr>
              <w:t>$4,715,996</w:t>
            </w:r>
          </w:p>
        </w:tc>
        <w:tc>
          <w:tcPr>
            <w:tcW w:w="1419" w:type="dxa"/>
          </w:tcPr>
          <w:p>
            <w:pPr>
              <w:pStyle w:val="TableParagraph"/>
              <w:spacing w:before="4"/>
              <w:ind w:right="47"/>
              <w:rPr>
                <w:sz w:val="20"/>
              </w:rPr>
            </w:pPr>
            <w:r>
              <w:rPr>
                <w:sz w:val="20"/>
                <w:u w:val="thick"/>
              </w:rPr>
              <w:t>$4,246,160</w:t>
            </w:r>
          </w:p>
        </w:tc>
      </w:tr>
    </w:tbl>
    <w:p>
      <w:pPr>
        <w:pStyle w:val="BodyText"/>
        <w:spacing w:before="9"/>
        <w:rPr>
          <w:sz w:val="11"/>
        </w:rPr>
      </w:pPr>
    </w:p>
    <w:p>
      <w:pPr>
        <w:spacing w:before="95"/>
        <w:ind w:left="100" w:right="0" w:firstLine="0"/>
        <w:jc w:val="left"/>
        <w:rPr>
          <w:sz w:val="20"/>
        </w:rPr>
      </w:pPr>
      <w:r>
        <w:rPr>
          <w:sz w:val="20"/>
        </w:rPr>
        <w:t>See accompanying notes.</w:t>
      </w:r>
    </w:p>
    <w:p>
      <w:pPr>
        <w:spacing w:after="0"/>
        <w:jc w:val="left"/>
        <w:rPr>
          <w:sz w:val="20"/>
        </w:rPr>
        <w:sectPr>
          <w:type w:val="continuous"/>
          <w:pgSz w:w="12240" w:h="15840"/>
          <w:pgMar w:top="1680" w:bottom="540" w:left="134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6"/>
        <w:ind w:left="160" w:right="0" w:firstLine="0"/>
        <w:jc w:val="left"/>
        <w:rPr>
          <w:b/>
          <w:sz w:val="20"/>
        </w:rPr>
      </w:pPr>
      <w:r>
        <w:rPr/>
        <w:pict>
          <v:shape style="position:absolute;margin-left:69.5pt;margin-top:-93.163406pt;width:467.95pt;height:441.9pt;mso-position-horizontal-relative:page;mso-position-vertical-relative:paragraph;z-index:5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5"/>
                    <w:gridCol w:w="1478"/>
                    <w:gridCol w:w="1534"/>
                    <w:gridCol w:w="1262"/>
                  </w:tblGrid>
                  <w:tr>
                    <w:trPr>
                      <w:trHeight w:val="519" w:hRule="exact"/>
                    </w:trPr>
                    <w:tc>
                      <w:tcPr>
                        <w:tcW w:w="5085" w:type="dxa"/>
                      </w:tcPr>
                      <w:p>
                        <w:pPr>
                          <w:pStyle w:val="TableParagraph"/>
                          <w:spacing w:line="268" w:lineRule="exact"/>
                          <w:ind w:left="50"/>
                          <w:jc w:val="left"/>
                          <w:rPr>
                            <w:b/>
                            <w:sz w:val="24"/>
                          </w:rPr>
                        </w:pPr>
                        <w:r>
                          <w:rPr>
                            <w:b/>
                            <w:color w:val="808080"/>
                            <w:sz w:val="24"/>
                          </w:rPr>
                          <w:t>CONSOLIDATED STATEMENT OF INCOME</w:t>
                        </w:r>
                      </w:p>
                    </w:tc>
                    <w:tc>
                      <w:tcPr>
                        <w:tcW w:w="4273" w:type="dxa"/>
                        <w:gridSpan w:val="3"/>
                      </w:tcPr>
                      <w:p>
                        <w:pPr>
                          <w:pStyle w:val="TableParagraph"/>
                          <w:spacing w:before="8"/>
                          <w:jc w:val="left"/>
                          <w:rPr>
                            <w:b/>
                            <w:sz w:val="24"/>
                          </w:rPr>
                        </w:pPr>
                      </w:p>
                      <w:p>
                        <w:pPr>
                          <w:pStyle w:val="TableParagraph"/>
                          <w:ind w:left="542"/>
                          <w:jc w:val="left"/>
                          <w:rPr>
                            <w:sz w:val="20"/>
                          </w:rPr>
                        </w:pPr>
                        <w:r>
                          <w:rPr>
                            <w:sz w:val="20"/>
                          </w:rPr>
                          <w:t>YEARS ENDED DECEMBER 31,</w:t>
                        </w:r>
                      </w:p>
                    </w:tc>
                  </w:tr>
                  <w:tr>
                    <w:trPr>
                      <w:trHeight w:val="240" w:hRule="exact"/>
                    </w:trPr>
                    <w:tc>
                      <w:tcPr>
                        <w:tcW w:w="5085" w:type="dxa"/>
                      </w:tcPr>
                      <w:p>
                        <w:pPr>
                          <w:pStyle w:val="TableParagraph"/>
                          <w:spacing w:before="4"/>
                          <w:ind w:left="50"/>
                          <w:jc w:val="left"/>
                          <w:rPr>
                            <w:sz w:val="20"/>
                          </w:rPr>
                        </w:pPr>
                        <w:r>
                          <w:rPr>
                            <w:sz w:val="20"/>
                          </w:rPr>
                          <w:t>(In thousands except per share amounts)</w:t>
                        </w:r>
                      </w:p>
                    </w:tc>
                    <w:tc>
                      <w:tcPr>
                        <w:tcW w:w="4273" w:type="dxa"/>
                        <w:gridSpan w:val="3"/>
                      </w:tcPr>
                      <w:p>
                        <w:pPr>
                          <w:pStyle w:val="TableParagraph"/>
                          <w:tabs>
                            <w:tab w:pos="1814" w:val="left" w:leader="none"/>
                            <w:tab w:pos="3345" w:val="left" w:leader="none"/>
                          </w:tabs>
                          <w:spacing w:before="4"/>
                          <w:ind w:left="278"/>
                          <w:jc w:val="left"/>
                          <w:rPr>
                            <w:sz w:val="20"/>
                          </w:rPr>
                        </w:pPr>
                        <w:r>
                          <w:rPr>
                            <w:b/>
                            <w:color w:val="000080"/>
                            <w:spacing w:val="-3"/>
                            <w:sz w:val="20"/>
                          </w:rPr>
                          <w:t>1998</w:t>
                          <w:tab/>
                        </w:r>
                        <w:r>
                          <w:rPr>
                            <w:sz w:val="20"/>
                          </w:rPr>
                          <w:t>1997</w:t>
                          <w:tab/>
                          <w:t>1996</w:t>
                        </w:r>
                      </w:p>
                    </w:tc>
                  </w:tr>
                  <w:tr>
                    <w:trPr>
                      <w:trHeight w:val="238" w:hRule="exact"/>
                    </w:trPr>
                    <w:tc>
                      <w:tcPr>
                        <w:tcW w:w="5085" w:type="dxa"/>
                      </w:tcPr>
                      <w:p>
                        <w:pPr>
                          <w:pStyle w:val="TableParagraph"/>
                          <w:ind w:left="50"/>
                          <w:jc w:val="left"/>
                          <w:rPr>
                            <w:b/>
                            <w:sz w:val="20"/>
                          </w:rPr>
                        </w:pPr>
                        <w:r>
                          <w:rPr>
                            <w:b/>
                            <w:color w:val="000080"/>
                            <w:sz w:val="20"/>
                          </w:rPr>
                          <w:t>Operating Revenues:</w:t>
                        </w:r>
                      </w:p>
                    </w:tc>
                    <w:tc>
                      <w:tcPr>
                        <w:tcW w:w="4273" w:type="dxa"/>
                        <w:gridSpan w:val="3"/>
                      </w:tcPr>
                      <w:p>
                        <w:pPr/>
                      </w:p>
                    </w:tc>
                  </w:tr>
                  <w:tr>
                    <w:trPr>
                      <w:trHeight w:val="242" w:hRule="exact"/>
                    </w:trPr>
                    <w:tc>
                      <w:tcPr>
                        <w:tcW w:w="5085" w:type="dxa"/>
                      </w:tcPr>
                      <w:p>
                        <w:pPr>
                          <w:pStyle w:val="TableParagraph"/>
                          <w:spacing w:before="7"/>
                          <w:ind w:left="232"/>
                          <w:jc w:val="left"/>
                          <w:rPr>
                            <w:sz w:val="20"/>
                          </w:rPr>
                        </w:pPr>
                        <w:r>
                          <w:rPr>
                            <w:sz w:val="20"/>
                          </w:rPr>
                          <w:t>Passenger</w:t>
                        </w:r>
                      </w:p>
                    </w:tc>
                    <w:tc>
                      <w:tcPr>
                        <w:tcW w:w="4273" w:type="dxa"/>
                        <w:gridSpan w:val="3"/>
                      </w:tcPr>
                      <w:p>
                        <w:pPr>
                          <w:pStyle w:val="TableParagraph"/>
                          <w:tabs>
                            <w:tab w:pos="1689" w:val="left" w:leader="none"/>
                            <w:tab w:pos="3220" w:val="left" w:leader="none"/>
                          </w:tabs>
                          <w:spacing w:before="7"/>
                          <w:ind w:left="158"/>
                          <w:jc w:val="left"/>
                          <w:rPr>
                            <w:sz w:val="20"/>
                          </w:rPr>
                        </w:pPr>
                        <w:r>
                          <w:rPr>
                            <w:b/>
                            <w:color w:val="000080"/>
                            <w:sz w:val="20"/>
                          </w:rPr>
                          <w:t>$3,963,781</w:t>
                          <w:tab/>
                        </w:r>
                        <w:r>
                          <w:rPr>
                            <w:sz w:val="20"/>
                          </w:rPr>
                          <w:t>$3,639,193</w:t>
                          <w:tab/>
                          <w:t>$3,269,238</w:t>
                        </w:r>
                      </w:p>
                    </w:tc>
                  </w:tr>
                  <w:tr>
                    <w:trPr>
                      <w:trHeight w:val="240" w:hRule="exact"/>
                    </w:trPr>
                    <w:tc>
                      <w:tcPr>
                        <w:tcW w:w="5085" w:type="dxa"/>
                      </w:tcPr>
                      <w:p>
                        <w:pPr>
                          <w:pStyle w:val="TableParagraph"/>
                          <w:spacing w:before="4"/>
                          <w:ind w:left="232"/>
                          <w:jc w:val="left"/>
                          <w:rPr>
                            <w:sz w:val="20"/>
                          </w:rPr>
                        </w:pPr>
                        <w:r>
                          <w:rPr>
                            <w:sz w:val="20"/>
                          </w:rPr>
                          <w:t>Freight</w:t>
                        </w:r>
                      </w:p>
                    </w:tc>
                    <w:tc>
                      <w:tcPr>
                        <w:tcW w:w="4273" w:type="dxa"/>
                        <w:gridSpan w:val="3"/>
                      </w:tcPr>
                      <w:p>
                        <w:pPr>
                          <w:pStyle w:val="TableParagraph"/>
                          <w:tabs>
                            <w:tab w:pos="2078" w:val="left" w:leader="none"/>
                            <w:tab w:pos="3609" w:val="left" w:leader="none"/>
                          </w:tabs>
                          <w:spacing w:before="4"/>
                          <w:ind w:left="547"/>
                          <w:jc w:val="left"/>
                          <w:rPr>
                            <w:sz w:val="20"/>
                          </w:rPr>
                        </w:pPr>
                        <w:r>
                          <w:rPr>
                            <w:b/>
                            <w:color w:val="000080"/>
                            <w:sz w:val="20"/>
                          </w:rPr>
                          <w:t>98,500</w:t>
                          <w:tab/>
                        </w:r>
                        <w:r>
                          <w:rPr>
                            <w:sz w:val="20"/>
                          </w:rPr>
                          <w:t>94,758</w:t>
                          <w:tab/>
                        </w:r>
                        <w:r>
                          <w:rPr>
                            <w:spacing w:val="-2"/>
                            <w:sz w:val="20"/>
                          </w:rPr>
                          <w:t>80,005</w:t>
                        </w:r>
                      </w:p>
                    </w:tc>
                  </w:tr>
                  <w:tr>
                    <w:trPr>
                      <w:trHeight w:val="240" w:hRule="exact"/>
                    </w:trPr>
                    <w:tc>
                      <w:tcPr>
                        <w:tcW w:w="5085" w:type="dxa"/>
                      </w:tcPr>
                      <w:p>
                        <w:pPr>
                          <w:pStyle w:val="TableParagraph"/>
                          <w:spacing w:before="4"/>
                          <w:ind w:left="232"/>
                          <w:jc w:val="left"/>
                          <w:rPr>
                            <w:sz w:val="20"/>
                          </w:rPr>
                        </w:pPr>
                        <w:r>
                          <w:rPr>
                            <w:sz w:val="20"/>
                          </w:rPr>
                          <w:t>Other</w:t>
                        </w:r>
                      </w:p>
                    </w:tc>
                    <w:tc>
                      <w:tcPr>
                        <w:tcW w:w="4273" w:type="dxa"/>
                        <w:gridSpan w:val="3"/>
                      </w:tcPr>
                      <w:p>
                        <w:pPr>
                          <w:pStyle w:val="TableParagraph"/>
                          <w:tabs>
                            <w:tab w:pos="2078" w:val="left" w:leader="none"/>
                            <w:tab w:pos="3609" w:val="left" w:leader="none"/>
                          </w:tabs>
                          <w:spacing w:before="4"/>
                          <w:ind w:left="437"/>
                          <w:jc w:val="left"/>
                          <w:rPr>
                            <w:sz w:val="20"/>
                          </w:rPr>
                        </w:pPr>
                        <w:r>
                          <w:rPr>
                            <w:b/>
                            <w:color w:val="000080"/>
                            <w:sz w:val="20"/>
                            <w:u w:val="single" w:color="000080"/>
                          </w:rPr>
                          <w:t>101,699</w:t>
                        </w:r>
                        <w:r>
                          <w:rPr>
                            <w:b/>
                            <w:color w:val="000080"/>
                            <w:sz w:val="20"/>
                          </w:rPr>
                          <w:tab/>
                        </w:r>
                        <w:r>
                          <w:rPr>
                            <w:sz w:val="20"/>
                            <w:u w:val="single"/>
                          </w:rPr>
                          <w:t>82,870</w:t>
                        </w:r>
                        <w:r>
                          <w:rPr>
                            <w:sz w:val="20"/>
                          </w:rPr>
                          <w:tab/>
                        </w:r>
                        <w:r>
                          <w:rPr>
                            <w:spacing w:val="-2"/>
                            <w:sz w:val="20"/>
                            <w:u w:val="single"/>
                          </w:rPr>
                          <w:t>56,927</w:t>
                        </w:r>
                      </w:p>
                    </w:tc>
                  </w:tr>
                  <w:tr>
                    <w:trPr>
                      <w:trHeight w:val="360" w:hRule="exact"/>
                    </w:trPr>
                    <w:tc>
                      <w:tcPr>
                        <w:tcW w:w="5085" w:type="dxa"/>
                      </w:tcPr>
                      <w:p>
                        <w:pPr>
                          <w:pStyle w:val="TableParagraph"/>
                          <w:spacing w:before="4"/>
                          <w:ind w:left="410"/>
                          <w:jc w:val="left"/>
                          <w:rPr>
                            <w:sz w:val="20"/>
                          </w:rPr>
                        </w:pPr>
                        <w:r>
                          <w:rPr>
                            <w:sz w:val="20"/>
                          </w:rPr>
                          <w:t>Total operating revenues</w:t>
                        </w:r>
                      </w:p>
                    </w:tc>
                    <w:tc>
                      <w:tcPr>
                        <w:tcW w:w="4273" w:type="dxa"/>
                        <w:gridSpan w:val="3"/>
                      </w:tcPr>
                      <w:p>
                        <w:pPr>
                          <w:pStyle w:val="TableParagraph"/>
                          <w:tabs>
                            <w:tab w:pos="1800" w:val="left" w:leader="none"/>
                            <w:tab w:pos="3331" w:val="left" w:leader="none"/>
                          </w:tabs>
                          <w:spacing w:before="4"/>
                          <w:ind w:left="269"/>
                          <w:jc w:val="left"/>
                          <w:rPr>
                            <w:sz w:val="20"/>
                          </w:rPr>
                        </w:pPr>
                        <w:r>
                          <w:rPr>
                            <w:b/>
                            <w:color w:val="000080"/>
                            <w:sz w:val="20"/>
                          </w:rPr>
                          <w:t>4,163,980</w:t>
                          <w:tab/>
                        </w:r>
                        <w:r>
                          <w:rPr>
                            <w:sz w:val="20"/>
                          </w:rPr>
                          <w:t>3,816,821</w:t>
                          <w:tab/>
                          <w:t>3,406,170</w:t>
                        </w:r>
                      </w:p>
                    </w:tc>
                  </w:tr>
                  <w:tr>
                    <w:trPr>
                      <w:trHeight w:val="360" w:hRule="exact"/>
                    </w:trPr>
                    <w:tc>
                      <w:tcPr>
                        <w:tcW w:w="5085" w:type="dxa"/>
                      </w:tcPr>
                      <w:p>
                        <w:pPr>
                          <w:pStyle w:val="TableParagraph"/>
                          <w:spacing w:before="124"/>
                          <w:ind w:left="232"/>
                          <w:jc w:val="left"/>
                          <w:rPr>
                            <w:sz w:val="20"/>
                          </w:rPr>
                        </w:pPr>
                        <w:r>
                          <w:rPr>
                            <w:sz w:val="20"/>
                          </w:rPr>
                          <w:t>Salaries, wages, and benefits (Note 9)</w:t>
                        </w:r>
                      </w:p>
                    </w:tc>
                    <w:tc>
                      <w:tcPr>
                        <w:tcW w:w="1478" w:type="dxa"/>
                      </w:tcPr>
                      <w:p>
                        <w:pPr>
                          <w:pStyle w:val="TableParagraph"/>
                          <w:spacing w:before="120"/>
                          <w:ind w:right="321"/>
                          <w:rPr>
                            <w:b/>
                            <w:sz w:val="20"/>
                          </w:rPr>
                        </w:pPr>
                        <w:r>
                          <w:rPr>
                            <w:b/>
                            <w:color w:val="000080"/>
                            <w:sz w:val="20"/>
                          </w:rPr>
                          <w:t>1,285,942</w:t>
                        </w:r>
                      </w:p>
                    </w:tc>
                    <w:tc>
                      <w:tcPr>
                        <w:tcW w:w="1534" w:type="dxa"/>
                      </w:tcPr>
                      <w:p>
                        <w:pPr>
                          <w:pStyle w:val="TableParagraph"/>
                          <w:spacing w:before="124"/>
                          <w:ind w:right="320"/>
                          <w:rPr>
                            <w:sz w:val="20"/>
                          </w:rPr>
                        </w:pPr>
                        <w:r>
                          <w:rPr>
                            <w:sz w:val="20"/>
                          </w:rPr>
                          <w:t>1,136,542</w:t>
                        </w:r>
                      </w:p>
                    </w:tc>
                    <w:tc>
                      <w:tcPr>
                        <w:tcW w:w="1262" w:type="dxa"/>
                      </w:tcPr>
                      <w:p>
                        <w:pPr>
                          <w:pStyle w:val="TableParagraph"/>
                          <w:spacing w:before="124"/>
                          <w:ind w:right="51"/>
                          <w:rPr>
                            <w:sz w:val="20"/>
                          </w:rPr>
                        </w:pPr>
                        <w:r>
                          <w:rPr>
                            <w:sz w:val="20"/>
                          </w:rPr>
                          <w:t>999,719</w:t>
                        </w:r>
                      </w:p>
                    </w:tc>
                  </w:tr>
                  <w:tr>
                    <w:trPr>
                      <w:trHeight w:val="240" w:hRule="exact"/>
                    </w:trPr>
                    <w:tc>
                      <w:tcPr>
                        <w:tcW w:w="5085" w:type="dxa"/>
                      </w:tcPr>
                      <w:p>
                        <w:pPr>
                          <w:pStyle w:val="TableParagraph"/>
                          <w:spacing w:before="4"/>
                          <w:ind w:left="232"/>
                          <w:jc w:val="left"/>
                          <w:rPr>
                            <w:sz w:val="20"/>
                          </w:rPr>
                        </w:pPr>
                        <w:r>
                          <w:rPr>
                            <w:sz w:val="20"/>
                          </w:rPr>
                          <w:t>Fuel and oil</w:t>
                        </w:r>
                      </w:p>
                    </w:tc>
                    <w:tc>
                      <w:tcPr>
                        <w:tcW w:w="1478" w:type="dxa"/>
                      </w:tcPr>
                      <w:p>
                        <w:pPr>
                          <w:pStyle w:val="TableParagraph"/>
                          <w:ind w:right="321"/>
                          <w:rPr>
                            <w:b/>
                            <w:sz w:val="20"/>
                          </w:rPr>
                        </w:pPr>
                        <w:r>
                          <w:rPr>
                            <w:b/>
                            <w:color w:val="000080"/>
                            <w:sz w:val="20"/>
                          </w:rPr>
                          <w:t>388,348</w:t>
                        </w:r>
                      </w:p>
                    </w:tc>
                    <w:tc>
                      <w:tcPr>
                        <w:tcW w:w="1534" w:type="dxa"/>
                      </w:tcPr>
                      <w:p>
                        <w:pPr>
                          <w:pStyle w:val="TableParagraph"/>
                          <w:spacing w:before="4"/>
                          <w:ind w:right="321"/>
                          <w:rPr>
                            <w:sz w:val="20"/>
                          </w:rPr>
                        </w:pPr>
                        <w:r>
                          <w:rPr>
                            <w:sz w:val="20"/>
                          </w:rPr>
                          <w:t>494,952</w:t>
                        </w:r>
                      </w:p>
                    </w:tc>
                    <w:tc>
                      <w:tcPr>
                        <w:tcW w:w="1262" w:type="dxa"/>
                      </w:tcPr>
                      <w:p>
                        <w:pPr>
                          <w:pStyle w:val="TableParagraph"/>
                          <w:spacing w:before="4"/>
                          <w:ind w:right="51"/>
                          <w:rPr>
                            <w:sz w:val="20"/>
                          </w:rPr>
                        </w:pPr>
                        <w:r>
                          <w:rPr>
                            <w:sz w:val="20"/>
                          </w:rPr>
                          <w:t>484,673</w:t>
                        </w:r>
                      </w:p>
                    </w:tc>
                  </w:tr>
                  <w:tr>
                    <w:trPr>
                      <w:trHeight w:val="240" w:hRule="exact"/>
                    </w:trPr>
                    <w:tc>
                      <w:tcPr>
                        <w:tcW w:w="5085" w:type="dxa"/>
                      </w:tcPr>
                      <w:p>
                        <w:pPr>
                          <w:pStyle w:val="TableParagraph"/>
                          <w:spacing w:before="4"/>
                          <w:ind w:left="232"/>
                          <w:jc w:val="left"/>
                          <w:rPr>
                            <w:sz w:val="20"/>
                          </w:rPr>
                        </w:pPr>
                        <w:r>
                          <w:rPr>
                            <w:sz w:val="20"/>
                          </w:rPr>
                          <w:t>Maintenance materials and repairs</w:t>
                        </w:r>
                      </w:p>
                    </w:tc>
                    <w:tc>
                      <w:tcPr>
                        <w:tcW w:w="1478" w:type="dxa"/>
                      </w:tcPr>
                      <w:p>
                        <w:pPr>
                          <w:pStyle w:val="TableParagraph"/>
                          <w:ind w:right="321"/>
                          <w:rPr>
                            <w:b/>
                            <w:sz w:val="20"/>
                          </w:rPr>
                        </w:pPr>
                        <w:r>
                          <w:rPr>
                            <w:b/>
                            <w:color w:val="000080"/>
                            <w:sz w:val="20"/>
                          </w:rPr>
                          <w:t>302,431</w:t>
                        </w:r>
                      </w:p>
                    </w:tc>
                    <w:tc>
                      <w:tcPr>
                        <w:tcW w:w="1534" w:type="dxa"/>
                      </w:tcPr>
                      <w:p>
                        <w:pPr>
                          <w:pStyle w:val="TableParagraph"/>
                          <w:spacing w:before="4"/>
                          <w:ind w:right="321"/>
                          <w:rPr>
                            <w:sz w:val="20"/>
                          </w:rPr>
                        </w:pPr>
                        <w:r>
                          <w:rPr>
                            <w:sz w:val="20"/>
                          </w:rPr>
                          <w:t>256,501</w:t>
                        </w:r>
                      </w:p>
                    </w:tc>
                    <w:tc>
                      <w:tcPr>
                        <w:tcW w:w="1262" w:type="dxa"/>
                      </w:tcPr>
                      <w:p>
                        <w:pPr>
                          <w:pStyle w:val="TableParagraph"/>
                          <w:spacing w:before="4"/>
                          <w:ind w:right="51"/>
                          <w:rPr>
                            <w:sz w:val="20"/>
                          </w:rPr>
                        </w:pPr>
                        <w:r>
                          <w:rPr>
                            <w:sz w:val="20"/>
                          </w:rPr>
                          <w:t>253,521</w:t>
                        </w:r>
                      </w:p>
                    </w:tc>
                  </w:tr>
                  <w:tr>
                    <w:trPr>
                      <w:trHeight w:val="240" w:hRule="exact"/>
                    </w:trPr>
                    <w:tc>
                      <w:tcPr>
                        <w:tcW w:w="5085" w:type="dxa"/>
                      </w:tcPr>
                      <w:p>
                        <w:pPr>
                          <w:pStyle w:val="TableParagraph"/>
                          <w:spacing w:before="4"/>
                          <w:ind w:left="232"/>
                          <w:jc w:val="left"/>
                          <w:rPr>
                            <w:sz w:val="20"/>
                          </w:rPr>
                        </w:pPr>
                        <w:r>
                          <w:rPr>
                            <w:sz w:val="20"/>
                          </w:rPr>
                          <w:t>Agency commissions</w:t>
                        </w:r>
                      </w:p>
                    </w:tc>
                    <w:tc>
                      <w:tcPr>
                        <w:tcW w:w="1478" w:type="dxa"/>
                      </w:tcPr>
                      <w:p>
                        <w:pPr>
                          <w:pStyle w:val="TableParagraph"/>
                          <w:ind w:right="321"/>
                          <w:rPr>
                            <w:b/>
                            <w:sz w:val="20"/>
                          </w:rPr>
                        </w:pPr>
                        <w:r>
                          <w:rPr>
                            <w:b/>
                            <w:color w:val="000080"/>
                            <w:sz w:val="20"/>
                          </w:rPr>
                          <w:t>157,766</w:t>
                        </w:r>
                      </w:p>
                    </w:tc>
                    <w:tc>
                      <w:tcPr>
                        <w:tcW w:w="1534" w:type="dxa"/>
                      </w:tcPr>
                      <w:p>
                        <w:pPr>
                          <w:pStyle w:val="TableParagraph"/>
                          <w:spacing w:before="4"/>
                          <w:ind w:right="321"/>
                          <w:rPr>
                            <w:sz w:val="20"/>
                          </w:rPr>
                        </w:pPr>
                        <w:r>
                          <w:rPr>
                            <w:sz w:val="20"/>
                          </w:rPr>
                          <w:t>157,211</w:t>
                        </w:r>
                      </w:p>
                    </w:tc>
                    <w:tc>
                      <w:tcPr>
                        <w:tcW w:w="1262" w:type="dxa"/>
                      </w:tcPr>
                      <w:p>
                        <w:pPr>
                          <w:pStyle w:val="TableParagraph"/>
                          <w:spacing w:before="4"/>
                          <w:ind w:right="51"/>
                          <w:rPr>
                            <w:sz w:val="20"/>
                          </w:rPr>
                        </w:pPr>
                        <w:r>
                          <w:rPr>
                            <w:sz w:val="20"/>
                          </w:rPr>
                          <w:t>140,940</w:t>
                        </w:r>
                      </w:p>
                    </w:tc>
                  </w:tr>
                  <w:tr>
                    <w:trPr>
                      <w:trHeight w:val="240" w:hRule="exact"/>
                    </w:trPr>
                    <w:tc>
                      <w:tcPr>
                        <w:tcW w:w="5085" w:type="dxa"/>
                      </w:tcPr>
                      <w:p>
                        <w:pPr>
                          <w:pStyle w:val="TableParagraph"/>
                          <w:spacing w:before="4"/>
                          <w:ind w:left="232"/>
                          <w:jc w:val="left"/>
                          <w:rPr>
                            <w:sz w:val="20"/>
                          </w:rPr>
                        </w:pPr>
                        <w:r>
                          <w:rPr>
                            <w:sz w:val="20"/>
                          </w:rPr>
                          <w:t>Aircraft rentals</w:t>
                        </w:r>
                      </w:p>
                    </w:tc>
                    <w:tc>
                      <w:tcPr>
                        <w:tcW w:w="1478" w:type="dxa"/>
                      </w:tcPr>
                      <w:p>
                        <w:pPr>
                          <w:pStyle w:val="TableParagraph"/>
                          <w:ind w:right="321"/>
                          <w:rPr>
                            <w:b/>
                            <w:sz w:val="20"/>
                          </w:rPr>
                        </w:pPr>
                        <w:r>
                          <w:rPr>
                            <w:b/>
                            <w:color w:val="000080"/>
                            <w:sz w:val="20"/>
                          </w:rPr>
                          <w:t>202,160</w:t>
                        </w:r>
                      </w:p>
                    </w:tc>
                    <w:tc>
                      <w:tcPr>
                        <w:tcW w:w="1534" w:type="dxa"/>
                      </w:tcPr>
                      <w:p>
                        <w:pPr>
                          <w:pStyle w:val="TableParagraph"/>
                          <w:spacing w:before="4"/>
                          <w:ind w:right="321"/>
                          <w:rPr>
                            <w:sz w:val="20"/>
                          </w:rPr>
                        </w:pPr>
                        <w:r>
                          <w:rPr>
                            <w:sz w:val="20"/>
                          </w:rPr>
                          <w:t>201,954</w:t>
                        </w:r>
                      </w:p>
                    </w:tc>
                    <w:tc>
                      <w:tcPr>
                        <w:tcW w:w="1262" w:type="dxa"/>
                      </w:tcPr>
                      <w:p>
                        <w:pPr>
                          <w:pStyle w:val="TableParagraph"/>
                          <w:spacing w:before="4"/>
                          <w:ind w:right="51"/>
                          <w:rPr>
                            <w:sz w:val="20"/>
                          </w:rPr>
                        </w:pPr>
                        <w:r>
                          <w:rPr>
                            <w:sz w:val="20"/>
                          </w:rPr>
                          <w:t>190,663</w:t>
                        </w:r>
                      </w:p>
                    </w:tc>
                  </w:tr>
                  <w:tr>
                    <w:trPr>
                      <w:trHeight w:val="240" w:hRule="exact"/>
                    </w:trPr>
                    <w:tc>
                      <w:tcPr>
                        <w:tcW w:w="5085" w:type="dxa"/>
                      </w:tcPr>
                      <w:p>
                        <w:pPr>
                          <w:pStyle w:val="TableParagraph"/>
                          <w:spacing w:before="4"/>
                          <w:ind w:left="232"/>
                          <w:jc w:val="left"/>
                          <w:rPr>
                            <w:sz w:val="20"/>
                          </w:rPr>
                        </w:pPr>
                        <w:r>
                          <w:rPr>
                            <w:sz w:val="20"/>
                          </w:rPr>
                          <w:t>Landing fees and other rentals</w:t>
                        </w:r>
                      </w:p>
                    </w:tc>
                    <w:tc>
                      <w:tcPr>
                        <w:tcW w:w="1478" w:type="dxa"/>
                      </w:tcPr>
                      <w:p>
                        <w:pPr>
                          <w:pStyle w:val="TableParagraph"/>
                          <w:ind w:right="321"/>
                          <w:rPr>
                            <w:b/>
                            <w:sz w:val="20"/>
                          </w:rPr>
                        </w:pPr>
                        <w:r>
                          <w:rPr>
                            <w:b/>
                            <w:color w:val="000080"/>
                            <w:sz w:val="20"/>
                          </w:rPr>
                          <w:t>214,907</w:t>
                        </w:r>
                      </w:p>
                    </w:tc>
                    <w:tc>
                      <w:tcPr>
                        <w:tcW w:w="1534" w:type="dxa"/>
                      </w:tcPr>
                      <w:p>
                        <w:pPr>
                          <w:pStyle w:val="TableParagraph"/>
                          <w:spacing w:before="4"/>
                          <w:ind w:right="321"/>
                          <w:rPr>
                            <w:sz w:val="20"/>
                          </w:rPr>
                        </w:pPr>
                        <w:r>
                          <w:rPr>
                            <w:sz w:val="20"/>
                          </w:rPr>
                          <w:t>203,845</w:t>
                        </w:r>
                      </w:p>
                    </w:tc>
                    <w:tc>
                      <w:tcPr>
                        <w:tcW w:w="1262" w:type="dxa"/>
                      </w:tcPr>
                      <w:p>
                        <w:pPr>
                          <w:pStyle w:val="TableParagraph"/>
                          <w:spacing w:before="4"/>
                          <w:ind w:right="51"/>
                          <w:rPr>
                            <w:sz w:val="20"/>
                          </w:rPr>
                        </w:pPr>
                        <w:r>
                          <w:rPr>
                            <w:sz w:val="20"/>
                          </w:rPr>
                          <w:t>187,600</w:t>
                        </w:r>
                      </w:p>
                    </w:tc>
                  </w:tr>
                  <w:tr>
                    <w:trPr>
                      <w:trHeight w:val="240" w:hRule="exact"/>
                    </w:trPr>
                    <w:tc>
                      <w:tcPr>
                        <w:tcW w:w="5085" w:type="dxa"/>
                      </w:tcPr>
                      <w:p>
                        <w:pPr>
                          <w:pStyle w:val="TableParagraph"/>
                          <w:spacing w:before="4"/>
                          <w:ind w:left="232"/>
                          <w:jc w:val="left"/>
                          <w:rPr>
                            <w:sz w:val="20"/>
                          </w:rPr>
                        </w:pPr>
                        <w:r>
                          <w:rPr>
                            <w:sz w:val="20"/>
                          </w:rPr>
                          <w:t>Depreciation</w:t>
                        </w:r>
                      </w:p>
                    </w:tc>
                    <w:tc>
                      <w:tcPr>
                        <w:tcW w:w="1478" w:type="dxa"/>
                      </w:tcPr>
                      <w:p>
                        <w:pPr>
                          <w:pStyle w:val="TableParagraph"/>
                          <w:ind w:right="321"/>
                          <w:rPr>
                            <w:b/>
                            <w:sz w:val="20"/>
                          </w:rPr>
                        </w:pPr>
                        <w:r>
                          <w:rPr>
                            <w:b/>
                            <w:color w:val="000080"/>
                            <w:sz w:val="20"/>
                          </w:rPr>
                          <w:t>225,212</w:t>
                        </w:r>
                      </w:p>
                    </w:tc>
                    <w:tc>
                      <w:tcPr>
                        <w:tcW w:w="1534" w:type="dxa"/>
                      </w:tcPr>
                      <w:p>
                        <w:pPr>
                          <w:pStyle w:val="TableParagraph"/>
                          <w:spacing w:before="4"/>
                          <w:ind w:right="321"/>
                          <w:rPr>
                            <w:sz w:val="20"/>
                          </w:rPr>
                        </w:pPr>
                        <w:r>
                          <w:rPr>
                            <w:sz w:val="20"/>
                          </w:rPr>
                          <w:t>195,568</w:t>
                        </w:r>
                      </w:p>
                    </w:tc>
                    <w:tc>
                      <w:tcPr>
                        <w:tcW w:w="1262" w:type="dxa"/>
                      </w:tcPr>
                      <w:p>
                        <w:pPr>
                          <w:pStyle w:val="TableParagraph"/>
                          <w:spacing w:before="4"/>
                          <w:ind w:right="51"/>
                          <w:rPr>
                            <w:sz w:val="20"/>
                          </w:rPr>
                        </w:pPr>
                        <w:r>
                          <w:rPr>
                            <w:sz w:val="20"/>
                          </w:rPr>
                          <w:t>183,470</w:t>
                        </w:r>
                      </w:p>
                    </w:tc>
                  </w:tr>
                  <w:tr>
                    <w:trPr>
                      <w:trHeight w:val="240" w:hRule="exact"/>
                    </w:trPr>
                    <w:tc>
                      <w:tcPr>
                        <w:tcW w:w="5085" w:type="dxa"/>
                      </w:tcPr>
                      <w:p>
                        <w:pPr>
                          <w:pStyle w:val="TableParagraph"/>
                          <w:spacing w:before="4"/>
                          <w:ind w:left="232"/>
                          <w:jc w:val="left"/>
                          <w:rPr>
                            <w:sz w:val="20"/>
                          </w:rPr>
                        </w:pPr>
                        <w:r>
                          <w:rPr>
                            <w:sz w:val="20"/>
                          </w:rPr>
                          <w:t>Other operating expenses</w:t>
                        </w:r>
                      </w:p>
                    </w:tc>
                    <w:tc>
                      <w:tcPr>
                        <w:tcW w:w="1478" w:type="dxa"/>
                      </w:tcPr>
                      <w:p>
                        <w:pPr>
                          <w:pStyle w:val="TableParagraph"/>
                          <w:ind w:right="321"/>
                          <w:rPr>
                            <w:b/>
                            <w:sz w:val="20"/>
                          </w:rPr>
                        </w:pPr>
                        <w:r>
                          <w:rPr>
                            <w:b/>
                            <w:color w:val="000080"/>
                            <w:sz w:val="20"/>
                            <w:u w:val="single" w:color="000080"/>
                          </w:rPr>
                          <w:t>703,603</w:t>
                        </w:r>
                      </w:p>
                    </w:tc>
                    <w:tc>
                      <w:tcPr>
                        <w:tcW w:w="1534" w:type="dxa"/>
                      </w:tcPr>
                      <w:p>
                        <w:pPr>
                          <w:pStyle w:val="TableParagraph"/>
                          <w:spacing w:before="4"/>
                          <w:ind w:right="321"/>
                          <w:rPr>
                            <w:sz w:val="20"/>
                          </w:rPr>
                        </w:pPr>
                        <w:r>
                          <w:rPr>
                            <w:sz w:val="20"/>
                            <w:u w:val="single"/>
                          </w:rPr>
                          <w:t>646,012</w:t>
                        </w:r>
                      </w:p>
                    </w:tc>
                    <w:tc>
                      <w:tcPr>
                        <w:tcW w:w="1262" w:type="dxa"/>
                      </w:tcPr>
                      <w:p>
                        <w:pPr>
                          <w:pStyle w:val="TableParagraph"/>
                          <w:spacing w:before="4"/>
                          <w:ind w:right="51"/>
                          <w:rPr>
                            <w:sz w:val="20"/>
                          </w:rPr>
                        </w:pPr>
                        <w:r>
                          <w:rPr>
                            <w:sz w:val="20"/>
                            <w:u w:val="single"/>
                          </w:rPr>
                          <w:t>614,749</w:t>
                        </w:r>
                      </w:p>
                    </w:tc>
                  </w:tr>
                  <w:tr>
                    <w:trPr>
                      <w:trHeight w:val="235" w:hRule="exact"/>
                    </w:trPr>
                    <w:tc>
                      <w:tcPr>
                        <w:tcW w:w="5085" w:type="dxa"/>
                      </w:tcPr>
                      <w:p>
                        <w:pPr>
                          <w:pStyle w:val="TableParagraph"/>
                          <w:spacing w:before="4"/>
                          <w:ind w:left="410"/>
                          <w:jc w:val="left"/>
                          <w:rPr>
                            <w:sz w:val="20"/>
                          </w:rPr>
                        </w:pPr>
                        <w:r>
                          <w:rPr>
                            <w:sz w:val="20"/>
                          </w:rPr>
                          <w:t>Total operating expenses</w:t>
                        </w:r>
                      </w:p>
                    </w:tc>
                    <w:tc>
                      <w:tcPr>
                        <w:tcW w:w="1478" w:type="dxa"/>
                      </w:tcPr>
                      <w:p>
                        <w:pPr>
                          <w:pStyle w:val="TableParagraph"/>
                          <w:ind w:right="321"/>
                          <w:rPr>
                            <w:b/>
                            <w:sz w:val="20"/>
                          </w:rPr>
                        </w:pPr>
                        <w:r>
                          <w:rPr>
                            <w:b/>
                            <w:color w:val="000080"/>
                            <w:sz w:val="20"/>
                            <w:u w:val="single" w:color="000080"/>
                          </w:rPr>
                          <w:t>3,480,369</w:t>
                        </w:r>
                      </w:p>
                    </w:tc>
                    <w:tc>
                      <w:tcPr>
                        <w:tcW w:w="1534" w:type="dxa"/>
                      </w:tcPr>
                      <w:p>
                        <w:pPr>
                          <w:pStyle w:val="TableParagraph"/>
                          <w:spacing w:before="4"/>
                          <w:ind w:right="320"/>
                          <w:rPr>
                            <w:sz w:val="20"/>
                          </w:rPr>
                        </w:pPr>
                        <w:r>
                          <w:rPr>
                            <w:sz w:val="20"/>
                            <w:u w:val="single"/>
                          </w:rPr>
                          <w:t>3,292,585</w:t>
                        </w:r>
                      </w:p>
                    </w:tc>
                    <w:tc>
                      <w:tcPr>
                        <w:tcW w:w="1262" w:type="dxa"/>
                      </w:tcPr>
                      <w:p>
                        <w:pPr>
                          <w:pStyle w:val="TableParagraph"/>
                          <w:spacing w:before="4"/>
                          <w:ind w:right="51"/>
                          <w:rPr>
                            <w:sz w:val="20"/>
                          </w:rPr>
                        </w:pPr>
                        <w:r>
                          <w:rPr>
                            <w:sz w:val="20"/>
                            <w:u w:val="single"/>
                          </w:rPr>
                          <w:t>3,055,335</w:t>
                        </w:r>
                      </w:p>
                    </w:tc>
                  </w:tr>
                  <w:tr>
                    <w:trPr>
                      <w:trHeight w:val="240" w:hRule="exact"/>
                    </w:trPr>
                    <w:tc>
                      <w:tcPr>
                        <w:tcW w:w="6563" w:type="dxa"/>
                        <w:gridSpan w:val="2"/>
                      </w:tcPr>
                      <w:p>
                        <w:pPr>
                          <w:pStyle w:val="TableParagraph"/>
                          <w:tabs>
                            <w:tab w:pos="5521" w:val="left" w:leader="none"/>
                          </w:tabs>
                          <w:spacing w:line="270" w:lineRule="exact"/>
                          <w:ind w:left="50"/>
                          <w:jc w:val="left"/>
                          <w:rPr>
                            <w:b/>
                            <w:sz w:val="20"/>
                          </w:rPr>
                        </w:pPr>
                        <w:r>
                          <w:rPr>
                            <w:b/>
                            <w:color w:val="000080"/>
                            <w:sz w:val="24"/>
                          </w:rPr>
                          <w:t>Operating</w:t>
                        </w:r>
                        <w:r>
                          <w:rPr>
                            <w:b/>
                            <w:color w:val="000080"/>
                            <w:spacing w:val="1"/>
                            <w:sz w:val="24"/>
                          </w:rPr>
                          <w:t> </w:t>
                        </w:r>
                        <w:r>
                          <w:rPr>
                            <w:b/>
                            <w:color w:val="000080"/>
                            <w:sz w:val="24"/>
                          </w:rPr>
                          <w:t>Income</w:t>
                          <w:tab/>
                        </w:r>
                        <w:r>
                          <w:rPr>
                            <w:b/>
                            <w:color w:val="000080"/>
                            <w:position w:val="15"/>
                            <w:sz w:val="20"/>
                          </w:rPr>
                          <w:t>683,611</w:t>
                        </w:r>
                      </w:p>
                    </w:tc>
                    <w:tc>
                      <w:tcPr>
                        <w:tcW w:w="1534" w:type="dxa"/>
                      </w:tcPr>
                      <w:p>
                        <w:pPr>
                          <w:pStyle w:val="TableParagraph"/>
                          <w:spacing w:line="230" w:lineRule="exact"/>
                          <w:ind w:right="321"/>
                          <w:rPr>
                            <w:sz w:val="20"/>
                          </w:rPr>
                        </w:pPr>
                        <w:r>
                          <w:rPr>
                            <w:sz w:val="20"/>
                          </w:rPr>
                          <w:t>524,236</w:t>
                        </w:r>
                      </w:p>
                    </w:tc>
                    <w:tc>
                      <w:tcPr>
                        <w:tcW w:w="1262" w:type="dxa"/>
                      </w:tcPr>
                      <w:p>
                        <w:pPr>
                          <w:pStyle w:val="TableParagraph"/>
                          <w:spacing w:line="230" w:lineRule="exact"/>
                          <w:ind w:right="51"/>
                          <w:rPr>
                            <w:sz w:val="20"/>
                          </w:rPr>
                        </w:pPr>
                        <w:r>
                          <w:rPr>
                            <w:sz w:val="20"/>
                          </w:rPr>
                          <w:t>350,835</w:t>
                        </w:r>
                      </w:p>
                    </w:tc>
                  </w:tr>
                  <w:tr>
                    <w:trPr>
                      <w:trHeight w:val="398" w:hRule="exact"/>
                    </w:trPr>
                    <w:tc>
                      <w:tcPr>
                        <w:tcW w:w="5085" w:type="dxa"/>
                      </w:tcPr>
                      <w:p>
                        <w:pPr>
                          <w:pStyle w:val="TableParagraph"/>
                          <w:spacing w:before="168"/>
                          <w:ind w:left="50"/>
                          <w:jc w:val="left"/>
                          <w:rPr>
                            <w:b/>
                            <w:sz w:val="20"/>
                          </w:rPr>
                        </w:pPr>
                        <w:r>
                          <w:rPr>
                            <w:b/>
                            <w:color w:val="000080"/>
                            <w:sz w:val="20"/>
                          </w:rPr>
                          <w:t>Other expenses (Income):</w:t>
                        </w:r>
                      </w:p>
                    </w:tc>
                    <w:tc>
                      <w:tcPr>
                        <w:tcW w:w="1478" w:type="dxa"/>
                      </w:tcPr>
                      <w:p>
                        <w:pPr/>
                      </w:p>
                    </w:tc>
                    <w:tc>
                      <w:tcPr>
                        <w:tcW w:w="1534" w:type="dxa"/>
                      </w:tcPr>
                      <w:p>
                        <w:pPr/>
                      </w:p>
                    </w:tc>
                    <w:tc>
                      <w:tcPr>
                        <w:tcW w:w="1262" w:type="dxa"/>
                      </w:tcPr>
                      <w:p>
                        <w:pPr/>
                      </w:p>
                    </w:tc>
                  </w:tr>
                  <w:tr>
                    <w:trPr>
                      <w:trHeight w:val="250" w:hRule="exact"/>
                    </w:trPr>
                    <w:tc>
                      <w:tcPr>
                        <w:tcW w:w="5085" w:type="dxa"/>
                      </w:tcPr>
                      <w:p>
                        <w:pPr>
                          <w:pStyle w:val="TableParagraph"/>
                          <w:spacing w:line="230" w:lineRule="exact"/>
                          <w:ind w:left="232"/>
                          <w:jc w:val="left"/>
                          <w:rPr>
                            <w:sz w:val="20"/>
                          </w:rPr>
                        </w:pPr>
                        <w:r>
                          <w:rPr>
                            <w:sz w:val="20"/>
                          </w:rPr>
                          <w:t>Interest expense</w:t>
                        </w:r>
                      </w:p>
                    </w:tc>
                    <w:tc>
                      <w:tcPr>
                        <w:tcW w:w="1478" w:type="dxa"/>
                      </w:tcPr>
                      <w:p>
                        <w:pPr>
                          <w:pStyle w:val="TableParagraph"/>
                          <w:spacing w:line="225" w:lineRule="exact"/>
                          <w:ind w:right="320"/>
                          <w:rPr>
                            <w:b/>
                            <w:sz w:val="20"/>
                          </w:rPr>
                        </w:pPr>
                        <w:r>
                          <w:rPr>
                            <w:b/>
                            <w:color w:val="000080"/>
                            <w:sz w:val="20"/>
                          </w:rPr>
                          <w:t>56,276</w:t>
                        </w:r>
                      </w:p>
                    </w:tc>
                    <w:tc>
                      <w:tcPr>
                        <w:tcW w:w="1534" w:type="dxa"/>
                      </w:tcPr>
                      <w:p>
                        <w:pPr>
                          <w:pStyle w:val="TableParagraph"/>
                          <w:spacing w:line="230" w:lineRule="exact"/>
                          <w:ind w:right="321"/>
                          <w:rPr>
                            <w:sz w:val="20"/>
                          </w:rPr>
                        </w:pPr>
                        <w:r>
                          <w:rPr>
                            <w:sz w:val="20"/>
                          </w:rPr>
                          <w:t>63,454</w:t>
                        </w:r>
                      </w:p>
                    </w:tc>
                    <w:tc>
                      <w:tcPr>
                        <w:tcW w:w="1262" w:type="dxa"/>
                      </w:tcPr>
                      <w:p>
                        <w:pPr>
                          <w:pStyle w:val="TableParagraph"/>
                          <w:spacing w:line="230" w:lineRule="exact"/>
                          <w:ind w:right="51"/>
                          <w:rPr>
                            <w:sz w:val="20"/>
                          </w:rPr>
                        </w:pPr>
                        <w:r>
                          <w:rPr>
                            <w:sz w:val="20"/>
                          </w:rPr>
                          <w:t>59,269</w:t>
                        </w:r>
                      </w:p>
                    </w:tc>
                  </w:tr>
                  <w:tr>
                    <w:trPr>
                      <w:trHeight w:val="240" w:hRule="exact"/>
                    </w:trPr>
                    <w:tc>
                      <w:tcPr>
                        <w:tcW w:w="5085" w:type="dxa"/>
                      </w:tcPr>
                      <w:p>
                        <w:pPr>
                          <w:pStyle w:val="TableParagraph"/>
                          <w:spacing w:before="4"/>
                          <w:ind w:left="232"/>
                          <w:jc w:val="left"/>
                          <w:rPr>
                            <w:sz w:val="20"/>
                          </w:rPr>
                        </w:pPr>
                        <w:r>
                          <w:rPr>
                            <w:sz w:val="20"/>
                          </w:rPr>
                          <w:t>Capitalized interest</w:t>
                        </w:r>
                      </w:p>
                    </w:tc>
                    <w:tc>
                      <w:tcPr>
                        <w:tcW w:w="1478" w:type="dxa"/>
                      </w:tcPr>
                      <w:p>
                        <w:pPr>
                          <w:pStyle w:val="TableParagraph"/>
                          <w:ind w:right="320"/>
                          <w:rPr>
                            <w:b/>
                            <w:sz w:val="20"/>
                          </w:rPr>
                        </w:pPr>
                        <w:r>
                          <w:rPr>
                            <w:b/>
                            <w:color w:val="000080"/>
                            <w:sz w:val="20"/>
                          </w:rPr>
                          <w:t>(25,588)</w:t>
                        </w:r>
                      </w:p>
                    </w:tc>
                    <w:tc>
                      <w:tcPr>
                        <w:tcW w:w="1534" w:type="dxa"/>
                      </w:tcPr>
                      <w:p>
                        <w:pPr>
                          <w:pStyle w:val="TableParagraph"/>
                          <w:spacing w:before="4"/>
                          <w:ind w:right="317"/>
                          <w:rPr>
                            <w:sz w:val="20"/>
                          </w:rPr>
                        </w:pPr>
                        <w:r>
                          <w:rPr>
                            <w:sz w:val="20"/>
                          </w:rPr>
                          <w:t>(19,779)</w:t>
                        </w:r>
                      </w:p>
                    </w:tc>
                    <w:tc>
                      <w:tcPr>
                        <w:tcW w:w="1262" w:type="dxa"/>
                      </w:tcPr>
                      <w:p>
                        <w:pPr>
                          <w:pStyle w:val="TableParagraph"/>
                          <w:spacing w:before="4"/>
                          <w:ind w:right="48"/>
                          <w:rPr>
                            <w:sz w:val="20"/>
                          </w:rPr>
                        </w:pPr>
                        <w:r>
                          <w:rPr>
                            <w:sz w:val="20"/>
                          </w:rPr>
                          <w:t>(22,267)</w:t>
                        </w:r>
                      </w:p>
                    </w:tc>
                  </w:tr>
                  <w:tr>
                    <w:trPr>
                      <w:trHeight w:val="240" w:hRule="exact"/>
                    </w:trPr>
                    <w:tc>
                      <w:tcPr>
                        <w:tcW w:w="5085" w:type="dxa"/>
                      </w:tcPr>
                      <w:p>
                        <w:pPr>
                          <w:pStyle w:val="TableParagraph"/>
                          <w:spacing w:before="4"/>
                          <w:ind w:left="232"/>
                          <w:jc w:val="left"/>
                          <w:rPr>
                            <w:sz w:val="20"/>
                          </w:rPr>
                        </w:pPr>
                        <w:r>
                          <w:rPr>
                            <w:sz w:val="20"/>
                          </w:rPr>
                          <w:t>Interest income</w:t>
                        </w:r>
                      </w:p>
                    </w:tc>
                    <w:tc>
                      <w:tcPr>
                        <w:tcW w:w="1478" w:type="dxa"/>
                      </w:tcPr>
                      <w:p>
                        <w:pPr>
                          <w:pStyle w:val="TableParagraph"/>
                          <w:ind w:right="320"/>
                          <w:rPr>
                            <w:b/>
                            <w:sz w:val="20"/>
                          </w:rPr>
                        </w:pPr>
                        <w:r>
                          <w:rPr>
                            <w:b/>
                            <w:color w:val="000080"/>
                            <w:sz w:val="20"/>
                          </w:rPr>
                          <w:t>(31,083)</w:t>
                        </w:r>
                      </w:p>
                    </w:tc>
                    <w:tc>
                      <w:tcPr>
                        <w:tcW w:w="1534" w:type="dxa"/>
                      </w:tcPr>
                      <w:p>
                        <w:pPr>
                          <w:pStyle w:val="TableParagraph"/>
                          <w:spacing w:before="4"/>
                          <w:ind w:right="317"/>
                          <w:rPr>
                            <w:sz w:val="20"/>
                          </w:rPr>
                        </w:pPr>
                        <w:r>
                          <w:rPr>
                            <w:sz w:val="20"/>
                          </w:rPr>
                          <w:t>(36,616)</w:t>
                        </w:r>
                      </w:p>
                    </w:tc>
                    <w:tc>
                      <w:tcPr>
                        <w:tcW w:w="1262" w:type="dxa"/>
                      </w:tcPr>
                      <w:p>
                        <w:pPr>
                          <w:pStyle w:val="TableParagraph"/>
                          <w:spacing w:before="4"/>
                          <w:ind w:right="48"/>
                          <w:rPr>
                            <w:sz w:val="20"/>
                          </w:rPr>
                        </w:pPr>
                        <w:r>
                          <w:rPr>
                            <w:sz w:val="20"/>
                          </w:rPr>
                          <w:t>(25,797)</w:t>
                        </w:r>
                      </w:p>
                    </w:tc>
                  </w:tr>
                  <w:tr>
                    <w:trPr>
                      <w:trHeight w:val="240" w:hRule="exact"/>
                    </w:trPr>
                    <w:tc>
                      <w:tcPr>
                        <w:tcW w:w="5085" w:type="dxa"/>
                      </w:tcPr>
                      <w:p>
                        <w:pPr>
                          <w:pStyle w:val="TableParagraph"/>
                          <w:spacing w:before="4"/>
                          <w:ind w:left="232"/>
                          <w:jc w:val="left"/>
                          <w:rPr>
                            <w:sz w:val="20"/>
                          </w:rPr>
                        </w:pPr>
                        <w:r>
                          <w:rPr>
                            <w:sz w:val="20"/>
                          </w:rPr>
                          <w:t>Nonoperating (gains) losses, net</w:t>
                        </w:r>
                      </w:p>
                    </w:tc>
                    <w:tc>
                      <w:tcPr>
                        <w:tcW w:w="1478" w:type="dxa"/>
                      </w:tcPr>
                      <w:p>
                        <w:pPr>
                          <w:pStyle w:val="TableParagraph"/>
                          <w:ind w:right="320"/>
                          <w:rPr>
                            <w:b/>
                            <w:sz w:val="20"/>
                          </w:rPr>
                        </w:pPr>
                        <w:r>
                          <w:rPr>
                            <w:b/>
                            <w:color w:val="000080"/>
                            <w:w w:val="100"/>
                            <w:sz w:val="20"/>
                            <w:u w:val="single" w:color="000080"/>
                          </w:rPr>
                          <w:t> </w:t>
                        </w:r>
                        <w:r>
                          <w:rPr>
                            <w:b/>
                            <w:color w:val="000080"/>
                            <w:sz w:val="20"/>
                            <w:u w:val="single" w:color="000080"/>
                          </w:rPr>
                          <w:t>(21,106)</w:t>
                        </w:r>
                      </w:p>
                    </w:tc>
                    <w:tc>
                      <w:tcPr>
                        <w:tcW w:w="1534" w:type="dxa"/>
                      </w:tcPr>
                      <w:p>
                        <w:pPr>
                          <w:pStyle w:val="TableParagraph"/>
                          <w:spacing w:before="4"/>
                          <w:ind w:right="321"/>
                          <w:rPr>
                            <w:sz w:val="20"/>
                          </w:rPr>
                        </w:pPr>
                        <w:r>
                          <w:rPr>
                            <w:sz w:val="20"/>
                            <w:u w:val="single"/>
                          </w:rPr>
                          <w:t>221</w:t>
                        </w:r>
                      </w:p>
                    </w:tc>
                    <w:tc>
                      <w:tcPr>
                        <w:tcW w:w="1262" w:type="dxa"/>
                      </w:tcPr>
                      <w:p>
                        <w:pPr>
                          <w:pStyle w:val="TableParagraph"/>
                          <w:spacing w:before="4"/>
                          <w:ind w:right="48"/>
                          <w:rPr>
                            <w:sz w:val="20"/>
                          </w:rPr>
                        </w:pPr>
                        <w:r>
                          <w:rPr>
                            <w:sz w:val="20"/>
                            <w:u w:val="single"/>
                          </w:rPr>
                          <w:t>(1,732)</w:t>
                        </w:r>
                      </w:p>
                    </w:tc>
                  </w:tr>
                  <w:tr>
                    <w:trPr>
                      <w:trHeight w:val="298" w:hRule="exact"/>
                    </w:trPr>
                    <w:tc>
                      <w:tcPr>
                        <w:tcW w:w="5085" w:type="dxa"/>
                      </w:tcPr>
                      <w:p>
                        <w:pPr>
                          <w:pStyle w:val="TableParagraph"/>
                          <w:spacing w:before="4"/>
                          <w:ind w:left="410"/>
                          <w:jc w:val="left"/>
                          <w:rPr>
                            <w:sz w:val="20"/>
                          </w:rPr>
                        </w:pPr>
                        <w:r>
                          <w:rPr>
                            <w:sz w:val="20"/>
                          </w:rPr>
                          <w:t>Total other expenses (income)</w:t>
                        </w:r>
                      </w:p>
                    </w:tc>
                    <w:tc>
                      <w:tcPr>
                        <w:tcW w:w="1478" w:type="dxa"/>
                      </w:tcPr>
                      <w:p>
                        <w:pPr>
                          <w:pStyle w:val="TableParagraph"/>
                          <w:ind w:right="320"/>
                          <w:rPr>
                            <w:b/>
                            <w:sz w:val="20"/>
                          </w:rPr>
                        </w:pPr>
                        <w:r>
                          <w:rPr>
                            <w:b/>
                            <w:color w:val="000080"/>
                            <w:w w:val="100"/>
                            <w:sz w:val="20"/>
                            <w:u w:val="single" w:color="000080"/>
                          </w:rPr>
                          <w:t> </w:t>
                        </w:r>
                        <w:r>
                          <w:rPr>
                            <w:b/>
                            <w:color w:val="000080"/>
                            <w:sz w:val="20"/>
                            <w:u w:val="single" w:color="000080"/>
                          </w:rPr>
                          <w:t>(21,501)</w:t>
                        </w:r>
                      </w:p>
                    </w:tc>
                    <w:tc>
                      <w:tcPr>
                        <w:tcW w:w="1534" w:type="dxa"/>
                      </w:tcPr>
                      <w:p>
                        <w:pPr>
                          <w:pStyle w:val="TableParagraph"/>
                          <w:spacing w:before="4"/>
                          <w:ind w:right="321"/>
                          <w:rPr>
                            <w:sz w:val="20"/>
                          </w:rPr>
                        </w:pPr>
                        <w:r>
                          <w:rPr>
                            <w:sz w:val="20"/>
                            <w:u w:val="single"/>
                          </w:rPr>
                          <w:t>7,280</w:t>
                        </w:r>
                      </w:p>
                    </w:tc>
                    <w:tc>
                      <w:tcPr>
                        <w:tcW w:w="1262" w:type="dxa"/>
                      </w:tcPr>
                      <w:p>
                        <w:pPr>
                          <w:pStyle w:val="TableParagraph"/>
                          <w:spacing w:before="4"/>
                          <w:ind w:right="51"/>
                          <w:rPr>
                            <w:sz w:val="20"/>
                          </w:rPr>
                        </w:pPr>
                        <w:r>
                          <w:rPr>
                            <w:sz w:val="20"/>
                            <w:u w:val="single"/>
                          </w:rPr>
                          <w:t>9,473</w:t>
                        </w:r>
                      </w:p>
                    </w:tc>
                  </w:tr>
                  <w:tr>
                    <w:trPr>
                      <w:trHeight w:val="302" w:hRule="exact"/>
                    </w:trPr>
                    <w:tc>
                      <w:tcPr>
                        <w:tcW w:w="5085" w:type="dxa"/>
                      </w:tcPr>
                      <w:p>
                        <w:pPr>
                          <w:pStyle w:val="TableParagraph"/>
                          <w:spacing w:before="57"/>
                          <w:ind w:left="50"/>
                          <w:jc w:val="left"/>
                          <w:rPr>
                            <w:b/>
                            <w:sz w:val="20"/>
                          </w:rPr>
                        </w:pPr>
                        <w:r>
                          <w:rPr>
                            <w:b/>
                            <w:color w:val="000080"/>
                            <w:sz w:val="20"/>
                          </w:rPr>
                          <w:t>INCOME BEFORE INCOME TAXES</w:t>
                        </w:r>
                      </w:p>
                    </w:tc>
                    <w:tc>
                      <w:tcPr>
                        <w:tcW w:w="1478" w:type="dxa"/>
                      </w:tcPr>
                      <w:p>
                        <w:pPr>
                          <w:pStyle w:val="TableParagraph"/>
                          <w:spacing w:before="62"/>
                          <w:ind w:right="321"/>
                          <w:rPr>
                            <w:b/>
                            <w:sz w:val="20"/>
                          </w:rPr>
                        </w:pPr>
                        <w:r>
                          <w:rPr>
                            <w:b/>
                            <w:color w:val="000080"/>
                            <w:sz w:val="20"/>
                          </w:rPr>
                          <w:t>705,112</w:t>
                        </w:r>
                      </w:p>
                    </w:tc>
                    <w:tc>
                      <w:tcPr>
                        <w:tcW w:w="1534" w:type="dxa"/>
                      </w:tcPr>
                      <w:p>
                        <w:pPr>
                          <w:pStyle w:val="TableParagraph"/>
                          <w:spacing w:before="67"/>
                          <w:ind w:right="321"/>
                          <w:rPr>
                            <w:sz w:val="20"/>
                          </w:rPr>
                        </w:pPr>
                        <w:r>
                          <w:rPr>
                            <w:sz w:val="20"/>
                          </w:rPr>
                          <w:t>516,956</w:t>
                        </w:r>
                      </w:p>
                    </w:tc>
                    <w:tc>
                      <w:tcPr>
                        <w:tcW w:w="1262" w:type="dxa"/>
                      </w:tcPr>
                      <w:p>
                        <w:pPr>
                          <w:pStyle w:val="TableParagraph"/>
                          <w:spacing w:before="67"/>
                          <w:ind w:right="51"/>
                          <w:rPr>
                            <w:sz w:val="20"/>
                          </w:rPr>
                        </w:pPr>
                        <w:r>
                          <w:rPr>
                            <w:sz w:val="20"/>
                          </w:rPr>
                          <w:t>341,362</w:t>
                        </w:r>
                      </w:p>
                    </w:tc>
                  </w:tr>
                  <w:tr>
                    <w:trPr>
                      <w:trHeight w:val="238" w:hRule="exact"/>
                    </w:trPr>
                    <w:tc>
                      <w:tcPr>
                        <w:tcW w:w="5085" w:type="dxa"/>
                      </w:tcPr>
                      <w:p>
                        <w:pPr>
                          <w:pStyle w:val="TableParagraph"/>
                          <w:ind w:left="50"/>
                          <w:jc w:val="left"/>
                          <w:rPr>
                            <w:b/>
                            <w:sz w:val="20"/>
                          </w:rPr>
                        </w:pPr>
                        <w:r>
                          <w:rPr>
                            <w:b/>
                            <w:color w:val="000080"/>
                            <w:sz w:val="20"/>
                          </w:rPr>
                          <w:t>PROVISION FOR INCOME TAXES</w:t>
                        </w:r>
                      </w:p>
                    </w:tc>
                    <w:tc>
                      <w:tcPr>
                        <w:tcW w:w="1478" w:type="dxa"/>
                      </w:tcPr>
                      <w:p>
                        <w:pPr/>
                      </w:p>
                    </w:tc>
                    <w:tc>
                      <w:tcPr>
                        <w:tcW w:w="1534" w:type="dxa"/>
                      </w:tcPr>
                      <w:p>
                        <w:pPr/>
                      </w:p>
                    </w:tc>
                    <w:tc>
                      <w:tcPr>
                        <w:tcW w:w="1262" w:type="dxa"/>
                      </w:tcPr>
                      <w:p>
                        <w:pPr/>
                      </w:p>
                    </w:tc>
                  </w:tr>
                  <w:tr>
                    <w:trPr>
                      <w:trHeight w:val="300" w:hRule="exact"/>
                    </w:trPr>
                    <w:tc>
                      <w:tcPr>
                        <w:tcW w:w="5085" w:type="dxa"/>
                      </w:tcPr>
                      <w:p>
                        <w:pPr>
                          <w:pStyle w:val="TableParagraph"/>
                          <w:spacing w:before="2"/>
                          <w:ind w:left="50"/>
                          <w:jc w:val="left"/>
                          <w:rPr>
                            <w:b/>
                            <w:sz w:val="20"/>
                          </w:rPr>
                        </w:pPr>
                        <w:r>
                          <w:rPr>
                            <w:b/>
                            <w:color w:val="000080"/>
                            <w:sz w:val="20"/>
                          </w:rPr>
                          <w:t>(NOTE 10)</w:t>
                        </w:r>
                      </w:p>
                    </w:tc>
                    <w:tc>
                      <w:tcPr>
                        <w:tcW w:w="1478" w:type="dxa"/>
                      </w:tcPr>
                      <w:p>
                        <w:pPr>
                          <w:pStyle w:val="TableParagraph"/>
                          <w:spacing w:before="2"/>
                          <w:ind w:right="321"/>
                          <w:rPr>
                            <w:b/>
                            <w:sz w:val="20"/>
                          </w:rPr>
                        </w:pPr>
                        <w:r>
                          <w:rPr>
                            <w:b/>
                            <w:color w:val="000080"/>
                            <w:sz w:val="20"/>
                            <w:u w:val="single" w:color="000080"/>
                          </w:rPr>
                          <w:t>271,681</w:t>
                        </w:r>
                      </w:p>
                    </w:tc>
                    <w:tc>
                      <w:tcPr>
                        <w:tcW w:w="1534" w:type="dxa"/>
                      </w:tcPr>
                      <w:p>
                        <w:pPr>
                          <w:pStyle w:val="TableParagraph"/>
                          <w:spacing w:before="7"/>
                          <w:ind w:right="321"/>
                          <w:rPr>
                            <w:sz w:val="20"/>
                          </w:rPr>
                        </w:pPr>
                        <w:r>
                          <w:rPr>
                            <w:sz w:val="20"/>
                            <w:u w:val="single"/>
                          </w:rPr>
                          <w:t>199,184</w:t>
                        </w:r>
                      </w:p>
                    </w:tc>
                    <w:tc>
                      <w:tcPr>
                        <w:tcW w:w="1262" w:type="dxa"/>
                      </w:tcPr>
                      <w:p>
                        <w:pPr>
                          <w:pStyle w:val="TableParagraph"/>
                          <w:spacing w:before="7"/>
                          <w:ind w:right="51"/>
                          <w:rPr>
                            <w:sz w:val="20"/>
                          </w:rPr>
                        </w:pPr>
                        <w:r>
                          <w:rPr>
                            <w:sz w:val="20"/>
                            <w:u w:val="single"/>
                          </w:rPr>
                          <w:t>134,025</w:t>
                        </w:r>
                      </w:p>
                    </w:tc>
                  </w:tr>
                  <w:tr>
                    <w:trPr>
                      <w:trHeight w:val="302" w:hRule="exact"/>
                    </w:trPr>
                    <w:tc>
                      <w:tcPr>
                        <w:tcW w:w="5085" w:type="dxa"/>
                      </w:tcPr>
                      <w:p>
                        <w:pPr>
                          <w:pStyle w:val="TableParagraph"/>
                          <w:spacing w:before="57"/>
                          <w:ind w:left="50"/>
                          <w:jc w:val="left"/>
                          <w:rPr>
                            <w:b/>
                            <w:sz w:val="20"/>
                          </w:rPr>
                        </w:pPr>
                        <w:r>
                          <w:rPr>
                            <w:b/>
                            <w:color w:val="000080"/>
                            <w:sz w:val="20"/>
                          </w:rPr>
                          <w:t>NET INCOME</w:t>
                        </w:r>
                      </w:p>
                    </w:tc>
                    <w:tc>
                      <w:tcPr>
                        <w:tcW w:w="1478" w:type="dxa"/>
                      </w:tcPr>
                      <w:p>
                        <w:pPr>
                          <w:pStyle w:val="TableParagraph"/>
                          <w:spacing w:before="62"/>
                          <w:ind w:right="321"/>
                          <w:rPr>
                            <w:b/>
                            <w:sz w:val="20"/>
                          </w:rPr>
                        </w:pPr>
                        <w:r>
                          <w:rPr>
                            <w:b/>
                            <w:color w:val="000080"/>
                            <w:sz w:val="20"/>
                            <w:u w:val="thick" w:color="000080"/>
                          </w:rPr>
                          <w:t>$433,431</w:t>
                        </w:r>
                      </w:p>
                    </w:tc>
                    <w:tc>
                      <w:tcPr>
                        <w:tcW w:w="1534" w:type="dxa"/>
                      </w:tcPr>
                      <w:p>
                        <w:pPr>
                          <w:pStyle w:val="TableParagraph"/>
                          <w:spacing w:before="67"/>
                          <w:ind w:right="321"/>
                          <w:rPr>
                            <w:sz w:val="20"/>
                          </w:rPr>
                        </w:pPr>
                        <w:r>
                          <w:rPr>
                            <w:sz w:val="20"/>
                            <w:u w:val="thick"/>
                          </w:rPr>
                          <w:t>$317,772</w:t>
                        </w:r>
                      </w:p>
                    </w:tc>
                    <w:tc>
                      <w:tcPr>
                        <w:tcW w:w="1262" w:type="dxa"/>
                      </w:tcPr>
                      <w:p>
                        <w:pPr>
                          <w:pStyle w:val="TableParagraph"/>
                          <w:spacing w:before="67"/>
                          <w:ind w:right="51"/>
                          <w:rPr>
                            <w:sz w:val="20"/>
                          </w:rPr>
                        </w:pPr>
                        <w:r>
                          <w:rPr>
                            <w:sz w:val="20"/>
                            <w:u w:val="thick"/>
                          </w:rPr>
                          <w:t>$207,337</w:t>
                        </w:r>
                      </w:p>
                    </w:tc>
                  </w:tr>
                  <w:tr>
                    <w:trPr>
                      <w:trHeight w:val="238" w:hRule="exact"/>
                    </w:trPr>
                    <w:tc>
                      <w:tcPr>
                        <w:tcW w:w="5085" w:type="dxa"/>
                      </w:tcPr>
                      <w:p>
                        <w:pPr>
                          <w:pStyle w:val="TableParagraph"/>
                          <w:ind w:left="50"/>
                          <w:jc w:val="left"/>
                          <w:rPr>
                            <w:b/>
                            <w:sz w:val="20"/>
                          </w:rPr>
                        </w:pPr>
                        <w:r>
                          <w:rPr>
                            <w:b/>
                            <w:color w:val="000080"/>
                            <w:sz w:val="20"/>
                          </w:rPr>
                          <w:t>NET INCOME PER SHARE, BASIC (NOTES 7, 8,</w:t>
                        </w:r>
                      </w:p>
                    </w:tc>
                    <w:tc>
                      <w:tcPr>
                        <w:tcW w:w="1478" w:type="dxa"/>
                      </w:tcPr>
                      <w:p>
                        <w:pPr/>
                      </w:p>
                    </w:tc>
                    <w:tc>
                      <w:tcPr>
                        <w:tcW w:w="1534" w:type="dxa"/>
                      </w:tcPr>
                      <w:p>
                        <w:pPr/>
                      </w:p>
                    </w:tc>
                    <w:tc>
                      <w:tcPr>
                        <w:tcW w:w="1262" w:type="dxa"/>
                      </w:tcPr>
                      <w:p>
                        <w:pPr/>
                      </w:p>
                    </w:tc>
                  </w:tr>
                  <w:tr>
                    <w:trPr>
                      <w:trHeight w:val="242" w:hRule="exact"/>
                    </w:trPr>
                    <w:tc>
                      <w:tcPr>
                        <w:tcW w:w="5085" w:type="dxa"/>
                      </w:tcPr>
                      <w:p>
                        <w:pPr>
                          <w:pStyle w:val="TableParagraph"/>
                          <w:spacing w:before="2"/>
                          <w:ind w:left="50"/>
                          <w:jc w:val="left"/>
                          <w:rPr>
                            <w:b/>
                            <w:sz w:val="20"/>
                          </w:rPr>
                        </w:pPr>
                        <w:r>
                          <w:rPr>
                            <w:b/>
                            <w:color w:val="000080"/>
                            <w:sz w:val="20"/>
                          </w:rPr>
                          <w:t>AND 11)</w:t>
                        </w:r>
                      </w:p>
                    </w:tc>
                    <w:tc>
                      <w:tcPr>
                        <w:tcW w:w="1478" w:type="dxa"/>
                      </w:tcPr>
                      <w:p>
                        <w:pPr>
                          <w:pStyle w:val="TableParagraph"/>
                          <w:spacing w:before="2"/>
                          <w:ind w:right="320"/>
                          <w:rPr>
                            <w:b/>
                            <w:sz w:val="20"/>
                          </w:rPr>
                        </w:pPr>
                        <w:r>
                          <w:rPr>
                            <w:b/>
                            <w:color w:val="000080"/>
                            <w:sz w:val="20"/>
                            <w:u w:val="thick" w:color="000080"/>
                          </w:rPr>
                          <w:t>$1.30</w:t>
                        </w:r>
                      </w:p>
                    </w:tc>
                    <w:tc>
                      <w:tcPr>
                        <w:tcW w:w="1534" w:type="dxa"/>
                      </w:tcPr>
                      <w:p>
                        <w:pPr>
                          <w:pStyle w:val="TableParagraph"/>
                          <w:spacing w:before="7"/>
                          <w:ind w:right="321"/>
                          <w:rPr>
                            <w:sz w:val="20"/>
                          </w:rPr>
                        </w:pPr>
                        <w:r>
                          <w:rPr>
                            <w:sz w:val="20"/>
                            <w:u w:val="thick"/>
                          </w:rPr>
                          <w:t>$.97</w:t>
                        </w:r>
                      </w:p>
                    </w:tc>
                    <w:tc>
                      <w:tcPr>
                        <w:tcW w:w="1262" w:type="dxa"/>
                      </w:tcPr>
                      <w:p>
                        <w:pPr>
                          <w:pStyle w:val="TableParagraph"/>
                          <w:spacing w:before="7"/>
                          <w:ind w:right="51"/>
                          <w:rPr>
                            <w:sz w:val="20"/>
                          </w:rPr>
                        </w:pPr>
                        <w:r>
                          <w:rPr>
                            <w:sz w:val="20"/>
                            <w:u w:val="thick"/>
                          </w:rPr>
                          <w:t>$.64</w:t>
                        </w:r>
                      </w:p>
                    </w:tc>
                  </w:tr>
                  <w:tr>
                    <w:trPr>
                      <w:trHeight w:val="238" w:hRule="exact"/>
                    </w:trPr>
                    <w:tc>
                      <w:tcPr>
                        <w:tcW w:w="5085" w:type="dxa"/>
                      </w:tcPr>
                      <w:p>
                        <w:pPr>
                          <w:pStyle w:val="TableParagraph"/>
                          <w:ind w:left="50"/>
                          <w:jc w:val="left"/>
                          <w:rPr>
                            <w:b/>
                            <w:sz w:val="20"/>
                          </w:rPr>
                        </w:pPr>
                        <w:r>
                          <w:rPr>
                            <w:b/>
                            <w:color w:val="000080"/>
                            <w:sz w:val="20"/>
                          </w:rPr>
                          <w:t>NET INCOME PER SHARE, DILUTED (NOTES 7,</w:t>
                        </w:r>
                      </w:p>
                    </w:tc>
                    <w:tc>
                      <w:tcPr>
                        <w:tcW w:w="1478" w:type="dxa"/>
                      </w:tcPr>
                      <w:p>
                        <w:pPr/>
                      </w:p>
                    </w:tc>
                    <w:tc>
                      <w:tcPr>
                        <w:tcW w:w="1534" w:type="dxa"/>
                      </w:tcPr>
                      <w:p>
                        <w:pPr/>
                      </w:p>
                    </w:tc>
                    <w:tc>
                      <w:tcPr>
                        <w:tcW w:w="1262" w:type="dxa"/>
                      </w:tcPr>
                      <w:p>
                        <w:pPr/>
                      </w:p>
                    </w:tc>
                  </w:tr>
                  <w:tr>
                    <w:trPr>
                      <w:trHeight w:val="365" w:hRule="exact"/>
                    </w:trPr>
                    <w:tc>
                      <w:tcPr>
                        <w:tcW w:w="5085" w:type="dxa"/>
                      </w:tcPr>
                      <w:p>
                        <w:pPr>
                          <w:pStyle w:val="TableParagraph"/>
                          <w:spacing w:before="2"/>
                          <w:ind w:left="50"/>
                          <w:jc w:val="left"/>
                          <w:rPr>
                            <w:b/>
                            <w:sz w:val="20"/>
                          </w:rPr>
                        </w:pPr>
                        <w:r>
                          <w:rPr>
                            <w:b/>
                            <w:color w:val="000080"/>
                            <w:sz w:val="20"/>
                          </w:rPr>
                          <w:t>8, AND 11)</w:t>
                        </w:r>
                      </w:p>
                    </w:tc>
                    <w:tc>
                      <w:tcPr>
                        <w:tcW w:w="1478" w:type="dxa"/>
                      </w:tcPr>
                      <w:p>
                        <w:pPr>
                          <w:pStyle w:val="TableParagraph"/>
                          <w:spacing w:before="2"/>
                          <w:ind w:right="320"/>
                          <w:rPr>
                            <w:b/>
                            <w:sz w:val="20"/>
                          </w:rPr>
                        </w:pPr>
                        <w:r>
                          <w:rPr>
                            <w:b/>
                            <w:color w:val="000080"/>
                            <w:sz w:val="20"/>
                            <w:u w:val="thick" w:color="000080"/>
                          </w:rPr>
                          <w:t>$1.23</w:t>
                        </w:r>
                      </w:p>
                    </w:tc>
                    <w:tc>
                      <w:tcPr>
                        <w:tcW w:w="1534" w:type="dxa"/>
                      </w:tcPr>
                      <w:p>
                        <w:pPr>
                          <w:pStyle w:val="TableParagraph"/>
                          <w:spacing w:before="7"/>
                          <w:ind w:right="321"/>
                          <w:rPr>
                            <w:sz w:val="20"/>
                          </w:rPr>
                        </w:pPr>
                        <w:r>
                          <w:rPr>
                            <w:sz w:val="20"/>
                            <w:u w:val="thick"/>
                          </w:rPr>
                          <w:t>$.93</w:t>
                        </w:r>
                      </w:p>
                    </w:tc>
                    <w:tc>
                      <w:tcPr>
                        <w:tcW w:w="1262" w:type="dxa"/>
                      </w:tcPr>
                      <w:p>
                        <w:pPr>
                          <w:pStyle w:val="TableParagraph"/>
                          <w:spacing w:before="7"/>
                          <w:ind w:right="51"/>
                          <w:rPr>
                            <w:sz w:val="20"/>
                          </w:rPr>
                        </w:pPr>
                        <w:r>
                          <w:rPr>
                            <w:sz w:val="20"/>
                            <w:u w:val="thick"/>
                          </w:rPr>
                          <w:t>$.61</w:t>
                        </w:r>
                      </w:p>
                    </w:tc>
                  </w:tr>
                  <w:tr>
                    <w:trPr>
                      <w:trHeight w:val="353" w:hRule="exact"/>
                    </w:trPr>
                    <w:tc>
                      <w:tcPr>
                        <w:tcW w:w="5085" w:type="dxa"/>
                      </w:tcPr>
                      <w:p>
                        <w:pPr>
                          <w:pStyle w:val="TableParagraph"/>
                          <w:spacing w:before="122"/>
                          <w:ind w:left="50"/>
                          <w:jc w:val="left"/>
                          <w:rPr>
                            <w:sz w:val="20"/>
                          </w:rPr>
                        </w:pPr>
                        <w:r>
                          <w:rPr>
                            <w:sz w:val="20"/>
                          </w:rPr>
                          <w:t>See accompanying notes.</w:t>
                        </w:r>
                      </w:p>
                    </w:tc>
                    <w:tc>
                      <w:tcPr>
                        <w:tcW w:w="1478" w:type="dxa"/>
                      </w:tcPr>
                      <w:p>
                        <w:pPr/>
                      </w:p>
                    </w:tc>
                    <w:tc>
                      <w:tcPr>
                        <w:tcW w:w="1534" w:type="dxa"/>
                      </w:tcPr>
                      <w:p>
                        <w:pPr/>
                      </w:p>
                    </w:tc>
                    <w:tc>
                      <w:tcPr>
                        <w:tcW w:w="1262" w:type="dxa"/>
                      </w:tcPr>
                      <w:p>
                        <w:pPr/>
                      </w:p>
                    </w:tc>
                  </w:tr>
                </w:tbl>
                <w:p>
                  <w:pPr>
                    <w:pStyle w:val="BodyText"/>
                  </w:pPr>
                </w:p>
              </w:txbxContent>
            </v:textbox>
            <w10:wrap type="none"/>
          </v:shape>
        </w:pict>
      </w:r>
      <w:r>
        <w:rPr>
          <w:b/>
          <w:color w:val="000080"/>
          <w:sz w:val="20"/>
        </w:rPr>
        <w:t>Operating Expenses:</w:t>
      </w:r>
    </w:p>
    <w:p>
      <w:pPr>
        <w:spacing w:after="0"/>
        <w:jc w:val="left"/>
        <w:rPr>
          <w:sz w:val="20"/>
        </w:rPr>
        <w:sectPr>
          <w:pgSz w:w="12240" w:h="15840"/>
          <w:pgMar w:header="1448" w:footer="344" w:top="1700" w:bottom="540" w:left="1280" w:right="1320"/>
        </w:sectPr>
      </w:pPr>
    </w:p>
    <w:p>
      <w:pPr>
        <w:pStyle w:val="BodyText"/>
        <w:rPr>
          <w:b/>
          <w:sz w:val="20"/>
        </w:rPr>
      </w:pPr>
    </w:p>
    <w:p>
      <w:pPr>
        <w:pStyle w:val="Heading4"/>
        <w:spacing w:before="214"/>
      </w:pPr>
      <w:r>
        <w:rPr>
          <w:color w:val="808080"/>
        </w:rPr>
        <w:t>CONSOLIDATED STATEMENT OF STOCKHOLDERS’ EQUITY</w:t>
      </w:r>
    </w:p>
    <w:p>
      <w:pPr>
        <w:spacing w:line="207" w:lineRule="exact" w:before="1"/>
        <w:ind w:left="3973" w:right="0" w:firstLine="0"/>
        <w:jc w:val="left"/>
        <w:rPr>
          <w:sz w:val="18"/>
        </w:rPr>
      </w:pPr>
      <w:r>
        <w:rPr>
          <w:sz w:val="18"/>
        </w:rPr>
        <w:t>YEARS ENDED DECEMBER 31, 1998, 1997, and  1996</w:t>
      </w:r>
    </w:p>
    <w:p>
      <w:pPr>
        <w:spacing w:line="207" w:lineRule="exact" w:before="0"/>
        <w:ind w:left="3017" w:right="2855" w:firstLine="0"/>
        <w:jc w:val="center"/>
        <w:rPr>
          <w:sz w:val="18"/>
        </w:rPr>
      </w:pPr>
      <w:r>
        <w:rPr>
          <w:sz w:val="18"/>
        </w:rPr>
        <w:t>Capital in</w:t>
      </w:r>
    </w:p>
    <w:p>
      <w:pPr>
        <w:spacing w:after="0" w:line="207" w:lineRule="exact"/>
        <w:jc w:val="center"/>
        <w:rPr>
          <w:sz w:val="18"/>
        </w:rPr>
        <w:sectPr>
          <w:pgSz w:w="12240" w:h="15840"/>
          <w:pgMar w:header="1448" w:footer="344" w:top="1700" w:bottom="540" w:left="1340" w:right="1320"/>
        </w:sectPr>
      </w:pPr>
    </w:p>
    <w:p>
      <w:pPr>
        <w:spacing w:before="0"/>
        <w:ind w:left="100" w:right="-4" w:firstLine="0"/>
        <w:jc w:val="left"/>
        <w:rPr>
          <w:sz w:val="18"/>
        </w:rPr>
      </w:pPr>
      <w:r>
        <w:rPr>
          <w:sz w:val="18"/>
        </w:rPr>
        <w:t>(In thousands except per share amounts)</w:t>
      </w:r>
    </w:p>
    <w:p>
      <w:pPr>
        <w:spacing w:before="0"/>
        <w:ind w:left="243" w:right="-1" w:hanging="144"/>
        <w:jc w:val="left"/>
        <w:rPr>
          <w:sz w:val="18"/>
        </w:rPr>
      </w:pPr>
      <w:r>
        <w:rPr/>
        <w:br w:type="column"/>
      </w:r>
      <w:r>
        <w:rPr>
          <w:sz w:val="18"/>
        </w:rPr>
        <w:t>Common Stock</w:t>
      </w:r>
    </w:p>
    <w:p>
      <w:pPr>
        <w:spacing w:before="0"/>
        <w:ind w:left="100" w:right="-14" w:firstLine="4"/>
        <w:jc w:val="left"/>
        <w:rPr>
          <w:sz w:val="18"/>
        </w:rPr>
      </w:pPr>
      <w:r>
        <w:rPr/>
        <w:br w:type="column"/>
      </w:r>
      <w:r>
        <w:rPr>
          <w:sz w:val="18"/>
        </w:rPr>
        <w:t>Excess of Par Value</w:t>
      </w:r>
    </w:p>
    <w:p>
      <w:pPr>
        <w:spacing w:before="0"/>
        <w:ind w:left="100" w:right="-20" w:firstLine="0"/>
        <w:jc w:val="left"/>
        <w:rPr>
          <w:sz w:val="18"/>
        </w:rPr>
      </w:pPr>
      <w:r>
        <w:rPr/>
        <w:br w:type="column"/>
      </w:r>
      <w:r>
        <w:rPr>
          <w:sz w:val="18"/>
        </w:rPr>
        <w:t>Retained Earnings</w:t>
      </w:r>
    </w:p>
    <w:p>
      <w:pPr>
        <w:spacing w:line="206" w:lineRule="exact" w:before="0"/>
        <w:ind w:left="100" w:right="0" w:firstLine="0"/>
        <w:jc w:val="left"/>
        <w:rPr>
          <w:sz w:val="18"/>
        </w:rPr>
      </w:pPr>
      <w:r>
        <w:rPr/>
        <w:br w:type="column"/>
      </w:r>
      <w:r>
        <w:rPr>
          <w:sz w:val="18"/>
        </w:rPr>
        <w:t>Treasury</w:t>
      </w:r>
    </w:p>
    <w:p>
      <w:pPr>
        <w:tabs>
          <w:tab w:pos="1559" w:val="left" w:leader="none"/>
        </w:tabs>
        <w:spacing w:line="207" w:lineRule="exact" w:before="0"/>
        <w:ind w:left="229" w:right="0" w:firstLine="0"/>
        <w:jc w:val="left"/>
        <w:rPr>
          <w:sz w:val="18"/>
        </w:rPr>
      </w:pPr>
      <w:r>
        <w:rPr>
          <w:sz w:val="18"/>
        </w:rPr>
        <w:t>Stock</w:t>
        <w:tab/>
        <w:t>Total</w:t>
      </w:r>
    </w:p>
    <w:p>
      <w:pPr>
        <w:spacing w:after="0" w:line="207" w:lineRule="exact"/>
        <w:jc w:val="left"/>
        <w:rPr>
          <w:sz w:val="18"/>
        </w:rPr>
        <w:sectPr>
          <w:type w:val="continuous"/>
          <w:pgSz w:w="12240" w:h="15840"/>
          <w:pgMar w:top="1680" w:bottom="540" w:left="1340" w:right="1320"/>
          <w:cols w:num="5" w:equalWidth="0">
            <w:col w:w="2598" w:space="541"/>
            <w:col w:w="849" w:space="384"/>
            <w:col w:w="897" w:space="447"/>
            <w:col w:w="821" w:space="528"/>
            <w:col w:w="2515"/>
          </w:cols>
        </w:sectPr>
      </w:pPr>
    </w:p>
    <w:p>
      <w:pPr>
        <w:pStyle w:val="BodyText"/>
        <w:spacing w:before="6"/>
        <w:rPr>
          <w:sz w:val="9"/>
        </w:rPr>
      </w:pPr>
    </w:p>
    <w:p>
      <w:pPr>
        <w:tabs>
          <w:tab w:pos="3378" w:val="left" w:leader="none"/>
          <w:tab w:pos="4635" w:val="left" w:leader="none"/>
          <w:tab w:pos="5831" w:val="left" w:leader="none"/>
          <w:tab w:pos="7031" w:val="left" w:leader="none"/>
          <w:tab w:pos="8030" w:val="left" w:leader="none"/>
          <w:tab w:pos="8442" w:val="left" w:leader="none"/>
        </w:tabs>
        <w:spacing w:before="96"/>
        <w:ind w:left="100" w:right="0" w:firstLine="0"/>
        <w:jc w:val="left"/>
        <w:rPr>
          <w:sz w:val="18"/>
        </w:rPr>
      </w:pPr>
      <w:r>
        <w:rPr>
          <w:sz w:val="18"/>
        </w:rPr>
        <w:t>Balance at December</w:t>
      </w:r>
      <w:r>
        <w:rPr>
          <w:spacing w:val="6"/>
          <w:sz w:val="18"/>
        </w:rPr>
        <w:t> </w:t>
      </w:r>
      <w:r>
        <w:rPr>
          <w:sz w:val="18"/>
        </w:rPr>
        <w:t>31,</w:t>
      </w:r>
      <w:r>
        <w:rPr>
          <w:spacing w:val="1"/>
          <w:sz w:val="18"/>
        </w:rPr>
        <w:t> </w:t>
      </w:r>
      <w:r>
        <w:rPr>
          <w:sz w:val="18"/>
        </w:rPr>
        <w:t>1995</w:t>
        <w:tab/>
        <w:t>$144,033</w:t>
        <w:tab/>
        <w:t>$162,704</w:t>
        <w:tab/>
        <w:t>$1,120,581</w:t>
        <w:tab/>
        <w:t>$</w:t>
        <w:tab/>
        <w:t>-</w:t>
        <w:tab/>
        <w:t>$1,427,318</w:t>
      </w:r>
    </w:p>
    <w:p>
      <w:pPr>
        <w:pStyle w:val="BodyText"/>
        <w:spacing w:before="10"/>
        <w:rPr>
          <w:sz w:val="17"/>
        </w:rPr>
      </w:pPr>
    </w:p>
    <w:p>
      <w:pPr>
        <w:spacing w:before="0"/>
        <w:ind w:left="464" w:right="6742" w:hanging="178"/>
        <w:jc w:val="left"/>
        <w:rPr>
          <w:sz w:val="18"/>
        </w:rPr>
      </w:pPr>
      <w:r>
        <w:rPr/>
        <w:pict>
          <v:shape style="position:absolute;margin-left:238.460007pt;margin-top:41.465805pt;width:298.95pt;height:113.4pt;mso-position-horizontal-relative:page;mso-position-vertical-relative:paragraph;z-index:59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8"/>
                    <w:gridCol w:w="1261"/>
                    <w:gridCol w:w="2632"/>
                    <w:gridCol w:w="1378"/>
                  </w:tblGrid>
                  <w:tr>
                    <w:trPr>
                      <w:trHeight w:val="308" w:hRule="exact"/>
                    </w:trPr>
                    <w:tc>
                      <w:tcPr>
                        <w:tcW w:w="708" w:type="dxa"/>
                      </w:tcPr>
                      <w:p>
                        <w:pPr>
                          <w:pStyle w:val="TableParagraph"/>
                          <w:spacing w:line="203" w:lineRule="exact"/>
                          <w:rPr>
                            <w:sz w:val="18"/>
                          </w:rPr>
                        </w:pPr>
                        <w:r>
                          <w:rPr>
                            <w:sz w:val="18"/>
                          </w:rPr>
                          <w:t>1,079</w:t>
                        </w:r>
                      </w:p>
                    </w:tc>
                    <w:tc>
                      <w:tcPr>
                        <w:tcW w:w="1261" w:type="dxa"/>
                      </w:tcPr>
                      <w:p>
                        <w:pPr>
                          <w:pStyle w:val="TableParagraph"/>
                          <w:spacing w:line="203" w:lineRule="exact"/>
                          <w:ind w:right="1"/>
                          <w:rPr>
                            <w:sz w:val="18"/>
                          </w:rPr>
                        </w:pPr>
                        <w:r>
                          <w:rPr>
                            <w:sz w:val="18"/>
                          </w:rPr>
                          <w:t>14,513</w:t>
                        </w:r>
                      </w:p>
                    </w:tc>
                    <w:tc>
                      <w:tcPr>
                        <w:tcW w:w="2632" w:type="dxa"/>
                      </w:tcPr>
                      <w:p>
                        <w:pPr>
                          <w:pStyle w:val="TableParagraph"/>
                          <w:spacing w:line="203" w:lineRule="exact"/>
                          <w:ind w:right="1286"/>
                          <w:rPr>
                            <w:sz w:val="18"/>
                          </w:rPr>
                        </w:pPr>
                        <w:r>
                          <w:rPr>
                            <w:w w:val="101"/>
                            <w:sz w:val="18"/>
                          </w:rPr>
                          <w:t>-</w:t>
                        </w:r>
                      </w:p>
                    </w:tc>
                    <w:tc>
                      <w:tcPr>
                        <w:tcW w:w="1378" w:type="dxa"/>
                      </w:tcPr>
                      <w:p>
                        <w:pPr>
                          <w:pStyle w:val="TableParagraph"/>
                          <w:tabs>
                            <w:tab w:pos="767" w:val="left" w:leader="none"/>
                          </w:tabs>
                          <w:spacing w:line="203" w:lineRule="exact"/>
                          <w:ind w:right="50"/>
                          <w:jc w:val="center"/>
                          <w:rPr>
                            <w:sz w:val="18"/>
                          </w:rPr>
                        </w:pPr>
                        <w:r>
                          <w:rPr>
                            <w:sz w:val="18"/>
                          </w:rPr>
                          <w:t>-</w:t>
                          <w:tab/>
                        </w:r>
                        <w:r>
                          <w:rPr>
                            <w:spacing w:val="-1"/>
                            <w:sz w:val="18"/>
                          </w:rPr>
                          <w:t>15,592</w:t>
                        </w:r>
                      </w:p>
                    </w:tc>
                  </w:tr>
                  <w:tr>
                    <w:trPr>
                      <w:trHeight w:val="413" w:hRule="exact"/>
                    </w:trPr>
                    <w:tc>
                      <w:tcPr>
                        <w:tcW w:w="708" w:type="dxa"/>
                      </w:tcPr>
                      <w:p>
                        <w:pPr>
                          <w:pStyle w:val="TableParagraph"/>
                          <w:spacing w:before="100"/>
                          <w:rPr>
                            <w:sz w:val="18"/>
                          </w:rPr>
                        </w:pPr>
                        <w:r>
                          <w:rPr>
                            <w:w w:val="101"/>
                            <w:sz w:val="18"/>
                          </w:rPr>
                          <w:t>-</w:t>
                        </w:r>
                      </w:p>
                    </w:tc>
                    <w:tc>
                      <w:tcPr>
                        <w:tcW w:w="1261" w:type="dxa"/>
                      </w:tcPr>
                      <w:p>
                        <w:pPr>
                          <w:pStyle w:val="TableParagraph"/>
                          <w:spacing w:before="100"/>
                          <w:ind w:right="1"/>
                          <w:rPr>
                            <w:sz w:val="18"/>
                          </w:rPr>
                        </w:pPr>
                        <w:r>
                          <w:rPr>
                            <w:sz w:val="18"/>
                          </w:rPr>
                          <w:t>4,433</w:t>
                        </w:r>
                      </w:p>
                    </w:tc>
                    <w:tc>
                      <w:tcPr>
                        <w:tcW w:w="2632" w:type="dxa"/>
                      </w:tcPr>
                      <w:p>
                        <w:pPr>
                          <w:pStyle w:val="TableParagraph"/>
                          <w:spacing w:before="100"/>
                          <w:ind w:right="1286"/>
                          <w:rPr>
                            <w:sz w:val="18"/>
                          </w:rPr>
                        </w:pPr>
                        <w:r>
                          <w:rPr>
                            <w:w w:val="101"/>
                            <w:sz w:val="18"/>
                          </w:rPr>
                          <w:t>-</w:t>
                        </w:r>
                      </w:p>
                    </w:tc>
                    <w:tc>
                      <w:tcPr>
                        <w:tcW w:w="1378" w:type="dxa"/>
                      </w:tcPr>
                      <w:p>
                        <w:pPr>
                          <w:pStyle w:val="TableParagraph"/>
                          <w:tabs>
                            <w:tab w:pos="868" w:val="left" w:leader="none"/>
                          </w:tabs>
                          <w:spacing w:before="100"/>
                          <w:ind w:right="50"/>
                          <w:jc w:val="center"/>
                          <w:rPr>
                            <w:sz w:val="18"/>
                          </w:rPr>
                        </w:pPr>
                        <w:r>
                          <w:rPr>
                            <w:sz w:val="18"/>
                          </w:rPr>
                          <w:t>-</w:t>
                          <w:tab/>
                          <w:t>4,433</w:t>
                        </w:r>
                      </w:p>
                    </w:tc>
                  </w:tr>
                  <w:tr>
                    <w:trPr>
                      <w:trHeight w:val="310" w:hRule="exact"/>
                    </w:trPr>
                    <w:tc>
                      <w:tcPr>
                        <w:tcW w:w="708" w:type="dxa"/>
                      </w:tcPr>
                      <w:p>
                        <w:pPr>
                          <w:pStyle w:val="TableParagraph"/>
                          <w:spacing w:before="100"/>
                          <w:rPr>
                            <w:sz w:val="18"/>
                          </w:rPr>
                        </w:pPr>
                        <w:r>
                          <w:rPr>
                            <w:w w:val="101"/>
                            <w:sz w:val="18"/>
                          </w:rPr>
                          <w:t>-</w:t>
                        </w:r>
                      </w:p>
                    </w:tc>
                    <w:tc>
                      <w:tcPr>
                        <w:tcW w:w="1261" w:type="dxa"/>
                      </w:tcPr>
                      <w:p>
                        <w:pPr>
                          <w:pStyle w:val="TableParagraph"/>
                          <w:spacing w:before="100"/>
                          <w:ind w:right="3"/>
                          <w:rPr>
                            <w:sz w:val="18"/>
                          </w:rPr>
                        </w:pPr>
                        <w:r>
                          <w:rPr>
                            <w:w w:val="101"/>
                            <w:sz w:val="18"/>
                          </w:rPr>
                          <w:t>-</w:t>
                        </w:r>
                      </w:p>
                    </w:tc>
                    <w:tc>
                      <w:tcPr>
                        <w:tcW w:w="2632" w:type="dxa"/>
                      </w:tcPr>
                      <w:p>
                        <w:pPr>
                          <w:pStyle w:val="TableParagraph"/>
                          <w:spacing w:before="100"/>
                          <w:ind w:right="1281"/>
                          <w:rPr>
                            <w:sz w:val="18"/>
                          </w:rPr>
                        </w:pPr>
                        <w:r>
                          <w:rPr>
                            <w:sz w:val="18"/>
                          </w:rPr>
                          <w:t>(6,368)</w:t>
                        </w:r>
                      </w:p>
                    </w:tc>
                    <w:tc>
                      <w:tcPr>
                        <w:tcW w:w="1378" w:type="dxa"/>
                      </w:tcPr>
                      <w:p>
                        <w:pPr>
                          <w:pStyle w:val="TableParagraph"/>
                          <w:tabs>
                            <w:tab w:pos="743" w:val="left" w:leader="none"/>
                          </w:tabs>
                          <w:spacing w:before="100"/>
                          <w:ind w:right="48"/>
                          <w:jc w:val="center"/>
                          <w:rPr>
                            <w:sz w:val="18"/>
                          </w:rPr>
                        </w:pPr>
                        <w:r>
                          <w:rPr>
                            <w:sz w:val="18"/>
                          </w:rPr>
                          <w:t>-</w:t>
                          <w:tab/>
                          <w:t>(6,368)</w:t>
                        </w:r>
                      </w:p>
                    </w:tc>
                  </w:tr>
                  <w:tr>
                    <w:trPr>
                      <w:trHeight w:val="205" w:hRule="exact"/>
                    </w:trPr>
                    <w:tc>
                      <w:tcPr>
                        <w:tcW w:w="708" w:type="dxa"/>
                      </w:tcPr>
                      <w:p>
                        <w:pPr>
                          <w:pStyle w:val="TableParagraph"/>
                          <w:spacing w:line="205" w:lineRule="exact"/>
                          <w:rPr>
                            <w:sz w:val="18"/>
                          </w:rPr>
                        </w:pPr>
                        <w:r>
                          <w:rPr>
                            <w:w w:val="101"/>
                            <w:sz w:val="18"/>
                          </w:rPr>
                          <w:t>-</w:t>
                        </w:r>
                      </w:p>
                    </w:tc>
                    <w:tc>
                      <w:tcPr>
                        <w:tcW w:w="1261" w:type="dxa"/>
                      </w:tcPr>
                      <w:p>
                        <w:pPr>
                          <w:pStyle w:val="TableParagraph"/>
                          <w:spacing w:line="205" w:lineRule="exact"/>
                          <w:ind w:right="3"/>
                          <w:rPr>
                            <w:sz w:val="18"/>
                          </w:rPr>
                        </w:pPr>
                        <w:r>
                          <w:rPr>
                            <w:w w:val="101"/>
                            <w:sz w:val="18"/>
                          </w:rPr>
                          <w:t>-</w:t>
                        </w:r>
                      </w:p>
                    </w:tc>
                    <w:tc>
                      <w:tcPr>
                        <w:tcW w:w="2632" w:type="dxa"/>
                      </w:tcPr>
                      <w:p>
                        <w:pPr>
                          <w:pStyle w:val="TableParagraph"/>
                          <w:spacing w:line="205" w:lineRule="exact"/>
                          <w:ind w:right="1284"/>
                          <w:rPr>
                            <w:sz w:val="18"/>
                          </w:rPr>
                        </w:pPr>
                        <w:r>
                          <w:rPr>
                            <w:sz w:val="18"/>
                            <w:u w:val="single"/>
                          </w:rPr>
                          <w:t>207,337</w:t>
                        </w:r>
                      </w:p>
                    </w:tc>
                    <w:tc>
                      <w:tcPr>
                        <w:tcW w:w="1378" w:type="dxa"/>
                      </w:tcPr>
                      <w:p>
                        <w:pPr>
                          <w:pStyle w:val="TableParagraph"/>
                          <w:tabs>
                            <w:tab w:pos="667" w:val="left" w:leader="none"/>
                          </w:tabs>
                          <w:spacing w:line="205" w:lineRule="exact"/>
                          <w:ind w:right="50"/>
                          <w:jc w:val="center"/>
                          <w:rPr>
                            <w:sz w:val="18"/>
                          </w:rPr>
                        </w:pPr>
                        <w:r>
                          <w:rPr>
                            <w:sz w:val="18"/>
                          </w:rPr>
                          <w:t>-</w:t>
                          <w:tab/>
                        </w:r>
                        <w:r>
                          <w:rPr>
                            <w:spacing w:val="-1"/>
                            <w:sz w:val="18"/>
                            <w:u w:val="single"/>
                          </w:rPr>
                          <w:t>207,337</w:t>
                        </w:r>
                      </w:p>
                    </w:tc>
                  </w:tr>
                  <w:tr>
                    <w:trPr>
                      <w:trHeight w:val="621" w:hRule="exact"/>
                    </w:trPr>
                    <w:tc>
                      <w:tcPr>
                        <w:tcW w:w="708" w:type="dxa"/>
                      </w:tcPr>
                      <w:p>
                        <w:pPr>
                          <w:pStyle w:val="TableParagraph"/>
                          <w:spacing w:before="10"/>
                          <w:jc w:val="left"/>
                          <w:rPr>
                            <w:sz w:val="18"/>
                          </w:rPr>
                        </w:pPr>
                      </w:p>
                      <w:p>
                        <w:pPr>
                          <w:pStyle w:val="TableParagraph"/>
                          <w:rPr>
                            <w:sz w:val="18"/>
                          </w:rPr>
                        </w:pPr>
                        <w:r>
                          <w:rPr>
                            <w:sz w:val="18"/>
                          </w:rPr>
                          <w:t>145,112</w:t>
                        </w:r>
                      </w:p>
                    </w:tc>
                    <w:tc>
                      <w:tcPr>
                        <w:tcW w:w="1261" w:type="dxa"/>
                      </w:tcPr>
                      <w:p>
                        <w:pPr>
                          <w:pStyle w:val="TableParagraph"/>
                          <w:spacing w:before="10"/>
                          <w:jc w:val="left"/>
                          <w:rPr>
                            <w:sz w:val="18"/>
                          </w:rPr>
                        </w:pPr>
                      </w:p>
                      <w:p>
                        <w:pPr>
                          <w:pStyle w:val="TableParagraph"/>
                          <w:ind w:right="1"/>
                          <w:rPr>
                            <w:sz w:val="18"/>
                          </w:rPr>
                        </w:pPr>
                        <w:r>
                          <w:rPr>
                            <w:sz w:val="18"/>
                          </w:rPr>
                          <w:t>181,650</w:t>
                        </w:r>
                      </w:p>
                    </w:tc>
                    <w:tc>
                      <w:tcPr>
                        <w:tcW w:w="2632" w:type="dxa"/>
                      </w:tcPr>
                      <w:p>
                        <w:pPr>
                          <w:pStyle w:val="TableParagraph"/>
                          <w:spacing w:before="9"/>
                          <w:jc w:val="left"/>
                          <w:rPr>
                            <w:sz w:val="17"/>
                          </w:rPr>
                        </w:pPr>
                      </w:p>
                      <w:p>
                        <w:pPr>
                          <w:pStyle w:val="TableParagraph"/>
                          <w:spacing w:before="1"/>
                          <w:ind w:right="1283"/>
                          <w:rPr>
                            <w:sz w:val="18"/>
                          </w:rPr>
                        </w:pPr>
                        <w:r>
                          <w:rPr>
                            <w:sz w:val="18"/>
                          </w:rPr>
                          <w:t>1,321,550</w:t>
                        </w:r>
                      </w:p>
                    </w:tc>
                    <w:tc>
                      <w:tcPr>
                        <w:tcW w:w="1378" w:type="dxa"/>
                      </w:tcPr>
                      <w:p>
                        <w:pPr>
                          <w:pStyle w:val="TableParagraph"/>
                          <w:spacing w:before="10"/>
                          <w:jc w:val="left"/>
                          <w:rPr>
                            <w:sz w:val="18"/>
                          </w:rPr>
                        </w:pPr>
                      </w:p>
                      <w:p>
                        <w:pPr>
                          <w:pStyle w:val="TableParagraph"/>
                          <w:tabs>
                            <w:tab w:pos="513" w:val="left" w:leader="none"/>
                          </w:tabs>
                          <w:ind w:right="50"/>
                          <w:jc w:val="center"/>
                          <w:rPr>
                            <w:sz w:val="18"/>
                          </w:rPr>
                        </w:pPr>
                        <w:r>
                          <w:rPr>
                            <w:sz w:val="18"/>
                          </w:rPr>
                          <w:t>-</w:t>
                          <w:tab/>
                          <w:t>1,648,312</w:t>
                        </w:r>
                      </w:p>
                    </w:tc>
                  </w:tr>
                  <w:tr>
                    <w:trPr>
                      <w:trHeight w:val="411" w:hRule="exact"/>
                    </w:trPr>
                    <w:tc>
                      <w:tcPr>
                        <w:tcW w:w="708" w:type="dxa"/>
                      </w:tcPr>
                      <w:p>
                        <w:pPr>
                          <w:pStyle w:val="TableParagraph"/>
                          <w:spacing w:before="8"/>
                          <w:jc w:val="left"/>
                          <w:rPr>
                            <w:sz w:val="17"/>
                          </w:rPr>
                        </w:pPr>
                      </w:p>
                      <w:p>
                        <w:pPr>
                          <w:pStyle w:val="TableParagraph"/>
                          <w:rPr>
                            <w:sz w:val="18"/>
                          </w:rPr>
                        </w:pPr>
                        <w:r>
                          <w:rPr>
                            <w:sz w:val="18"/>
                          </w:rPr>
                          <w:t>73,578</w:t>
                        </w:r>
                      </w:p>
                    </w:tc>
                    <w:tc>
                      <w:tcPr>
                        <w:tcW w:w="1261" w:type="dxa"/>
                      </w:tcPr>
                      <w:p>
                        <w:pPr>
                          <w:pStyle w:val="TableParagraph"/>
                          <w:spacing w:before="8"/>
                          <w:jc w:val="left"/>
                          <w:rPr>
                            <w:sz w:val="17"/>
                          </w:rPr>
                        </w:pPr>
                      </w:p>
                      <w:p>
                        <w:pPr>
                          <w:pStyle w:val="TableParagraph"/>
                          <w:rPr>
                            <w:sz w:val="18"/>
                          </w:rPr>
                        </w:pPr>
                        <w:r>
                          <w:rPr>
                            <w:sz w:val="18"/>
                          </w:rPr>
                          <w:t>(73,578)</w:t>
                        </w:r>
                      </w:p>
                    </w:tc>
                    <w:tc>
                      <w:tcPr>
                        <w:tcW w:w="2632" w:type="dxa"/>
                      </w:tcPr>
                      <w:p>
                        <w:pPr>
                          <w:pStyle w:val="TableParagraph"/>
                          <w:spacing w:before="8"/>
                          <w:jc w:val="left"/>
                          <w:rPr>
                            <w:sz w:val="17"/>
                          </w:rPr>
                        </w:pPr>
                      </w:p>
                      <w:p>
                        <w:pPr>
                          <w:pStyle w:val="TableParagraph"/>
                          <w:ind w:right="1286"/>
                          <w:rPr>
                            <w:sz w:val="18"/>
                          </w:rPr>
                        </w:pPr>
                        <w:r>
                          <w:rPr>
                            <w:w w:val="101"/>
                            <w:sz w:val="18"/>
                          </w:rPr>
                          <w:t>-</w:t>
                        </w:r>
                      </w:p>
                    </w:tc>
                    <w:tc>
                      <w:tcPr>
                        <w:tcW w:w="1378" w:type="dxa"/>
                      </w:tcPr>
                      <w:p>
                        <w:pPr>
                          <w:pStyle w:val="TableParagraph"/>
                          <w:spacing w:before="8"/>
                          <w:jc w:val="left"/>
                          <w:rPr>
                            <w:sz w:val="17"/>
                          </w:rPr>
                        </w:pPr>
                      </w:p>
                      <w:p>
                        <w:pPr>
                          <w:pStyle w:val="TableParagraph"/>
                          <w:tabs>
                            <w:tab w:pos="1262" w:val="left" w:leader="none"/>
                          </w:tabs>
                          <w:ind w:right="52"/>
                          <w:jc w:val="center"/>
                          <w:rPr>
                            <w:sz w:val="18"/>
                          </w:rPr>
                        </w:pPr>
                        <w:r>
                          <w:rPr>
                            <w:sz w:val="18"/>
                          </w:rPr>
                          <w:t>-</w:t>
                          <w:tab/>
                          <w:t>-</w:t>
                        </w:r>
                      </w:p>
                    </w:tc>
                  </w:tr>
                </w:tbl>
                <w:p>
                  <w:pPr>
                    <w:pStyle w:val="BodyText"/>
                  </w:pPr>
                </w:p>
              </w:txbxContent>
            </v:textbox>
            <w10:wrap type="none"/>
          </v:shape>
        </w:pict>
      </w:r>
      <w:r>
        <w:rPr>
          <w:sz w:val="18"/>
        </w:rPr>
        <w:t>Issuance of common stock upon exercise of </w:t>
      </w:r>
      <w:r>
        <w:rPr>
          <w:spacing w:val="-3"/>
          <w:sz w:val="18"/>
        </w:rPr>
        <w:t>executive </w:t>
      </w:r>
      <w:r>
        <w:rPr>
          <w:sz w:val="18"/>
        </w:rPr>
        <w:t>stock options and pursuant to Employee stock option and purchase plans (Note</w:t>
      </w:r>
      <w:r>
        <w:rPr>
          <w:spacing w:val="16"/>
          <w:sz w:val="18"/>
        </w:rPr>
        <w:t> </w:t>
      </w:r>
      <w:r>
        <w:rPr>
          <w:sz w:val="18"/>
        </w:rPr>
        <w:t>8)</w:t>
      </w:r>
    </w:p>
    <w:p>
      <w:pPr>
        <w:spacing w:line="206" w:lineRule="exact" w:before="0"/>
        <w:ind w:left="282" w:right="0" w:firstLine="0"/>
        <w:jc w:val="left"/>
        <w:rPr>
          <w:sz w:val="18"/>
        </w:rPr>
      </w:pPr>
      <w:r>
        <w:rPr>
          <w:sz w:val="18"/>
        </w:rPr>
        <w:t>Tax benefit of options exercised</w:t>
      </w:r>
    </w:p>
    <w:p>
      <w:pPr>
        <w:pStyle w:val="BodyText"/>
        <w:spacing w:before="10"/>
        <w:rPr>
          <w:sz w:val="17"/>
        </w:rPr>
      </w:pPr>
    </w:p>
    <w:p>
      <w:pPr>
        <w:spacing w:before="0"/>
        <w:ind w:left="459" w:right="6972" w:hanging="178"/>
        <w:jc w:val="left"/>
        <w:rPr>
          <w:sz w:val="18"/>
        </w:rPr>
      </w:pPr>
      <w:r>
        <w:rPr>
          <w:sz w:val="18"/>
        </w:rPr>
        <w:t>Cash dividends, $.0195 per share</w:t>
      </w:r>
    </w:p>
    <w:p>
      <w:pPr>
        <w:spacing w:line="206" w:lineRule="exact" w:before="0"/>
        <w:ind w:left="282" w:right="0" w:firstLine="0"/>
        <w:jc w:val="left"/>
        <w:rPr>
          <w:sz w:val="18"/>
        </w:rPr>
      </w:pPr>
      <w:r>
        <w:rPr>
          <w:sz w:val="18"/>
        </w:rPr>
        <w:t>Net income – 1996</w:t>
      </w:r>
    </w:p>
    <w:p>
      <w:pPr>
        <w:spacing w:line="410" w:lineRule="atLeast" w:before="3"/>
        <w:ind w:left="282" w:right="6972" w:hanging="183"/>
        <w:jc w:val="left"/>
        <w:rPr>
          <w:sz w:val="18"/>
        </w:rPr>
      </w:pPr>
      <w:r>
        <w:rPr>
          <w:sz w:val="18"/>
        </w:rPr>
        <w:t>Balance at December 31, 1996 Three-for-two stock split</w:t>
      </w:r>
    </w:p>
    <w:p>
      <w:pPr>
        <w:spacing w:line="206" w:lineRule="exact" w:before="0"/>
        <w:ind w:left="460" w:right="0" w:firstLine="0"/>
        <w:jc w:val="left"/>
        <w:rPr>
          <w:sz w:val="18"/>
        </w:rPr>
      </w:pPr>
      <w:r>
        <w:rPr>
          <w:sz w:val="18"/>
        </w:rPr>
        <w:t>(Note 7)</w:t>
      </w:r>
    </w:p>
    <w:p>
      <w:pPr>
        <w:spacing w:before="0"/>
        <w:ind w:left="459" w:right="6747" w:hanging="178"/>
        <w:jc w:val="left"/>
        <w:rPr>
          <w:sz w:val="18"/>
        </w:rPr>
      </w:pPr>
      <w:r>
        <w:rPr/>
        <w:pict>
          <v:shape style="position:absolute;margin-left:238.460007pt;margin-top:41.465816pt;width:298.95pt;height:135.950pt;mso-position-horizontal-relative:page;mso-position-vertical-relative:paragraph;z-index:60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8"/>
                    <w:gridCol w:w="1258"/>
                    <w:gridCol w:w="1633"/>
                    <w:gridCol w:w="1063"/>
                    <w:gridCol w:w="1317"/>
                  </w:tblGrid>
                  <w:tr>
                    <w:trPr>
                      <w:trHeight w:val="308" w:hRule="exact"/>
                    </w:trPr>
                    <w:tc>
                      <w:tcPr>
                        <w:tcW w:w="708" w:type="dxa"/>
                      </w:tcPr>
                      <w:p>
                        <w:pPr>
                          <w:pStyle w:val="TableParagraph"/>
                          <w:spacing w:line="203" w:lineRule="exact"/>
                          <w:rPr>
                            <w:sz w:val="18"/>
                          </w:rPr>
                        </w:pPr>
                        <w:r>
                          <w:rPr>
                            <w:sz w:val="18"/>
                          </w:rPr>
                          <w:t>2,517</w:t>
                        </w:r>
                      </w:p>
                    </w:tc>
                    <w:tc>
                      <w:tcPr>
                        <w:tcW w:w="1258" w:type="dxa"/>
                      </w:tcPr>
                      <w:p>
                        <w:pPr>
                          <w:pStyle w:val="TableParagraph"/>
                          <w:spacing w:line="203" w:lineRule="exact"/>
                          <w:rPr>
                            <w:sz w:val="18"/>
                          </w:rPr>
                        </w:pPr>
                        <w:r>
                          <w:rPr>
                            <w:sz w:val="18"/>
                          </w:rPr>
                          <w:t>37,818</w:t>
                        </w:r>
                      </w:p>
                    </w:tc>
                    <w:tc>
                      <w:tcPr>
                        <w:tcW w:w="1633" w:type="dxa"/>
                      </w:tcPr>
                      <w:p>
                        <w:pPr>
                          <w:pStyle w:val="TableParagraph"/>
                          <w:spacing w:line="203" w:lineRule="exact"/>
                          <w:ind w:right="284"/>
                          <w:rPr>
                            <w:sz w:val="18"/>
                          </w:rPr>
                        </w:pPr>
                        <w:r>
                          <w:rPr>
                            <w:w w:val="101"/>
                            <w:sz w:val="18"/>
                          </w:rPr>
                          <w:t>-</w:t>
                        </w:r>
                      </w:p>
                    </w:tc>
                    <w:tc>
                      <w:tcPr>
                        <w:tcW w:w="1063" w:type="dxa"/>
                      </w:tcPr>
                      <w:p>
                        <w:pPr>
                          <w:pStyle w:val="TableParagraph"/>
                          <w:spacing w:line="203" w:lineRule="exact"/>
                          <w:rPr>
                            <w:sz w:val="18"/>
                          </w:rPr>
                        </w:pPr>
                        <w:r>
                          <w:rPr>
                            <w:w w:val="101"/>
                            <w:sz w:val="18"/>
                          </w:rPr>
                          <w:t>-</w:t>
                        </w:r>
                      </w:p>
                    </w:tc>
                    <w:tc>
                      <w:tcPr>
                        <w:tcW w:w="1317" w:type="dxa"/>
                      </w:tcPr>
                      <w:p>
                        <w:pPr>
                          <w:pStyle w:val="TableParagraph"/>
                          <w:spacing w:line="203" w:lineRule="exact"/>
                          <w:ind w:right="50"/>
                          <w:rPr>
                            <w:sz w:val="18"/>
                          </w:rPr>
                        </w:pPr>
                        <w:r>
                          <w:rPr>
                            <w:sz w:val="18"/>
                          </w:rPr>
                          <w:t>40,335</w:t>
                        </w:r>
                      </w:p>
                    </w:tc>
                  </w:tr>
                  <w:tr>
                    <w:trPr>
                      <w:trHeight w:val="413" w:hRule="exact"/>
                    </w:trPr>
                    <w:tc>
                      <w:tcPr>
                        <w:tcW w:w="708" w:type="dxa"/>
                      </w:tcPr>
                      <w:p>
                        <w:pPr>
                          <w:pStyle w:val="TableParagraph"/>
                          <w:spacing w:before="100"/>
                          <w:rPr>
                            <w:sz w:val="18"/>
                          </w:rPr>
                        </w:pPr>
                        <w:r>
                          <w:rPr>
                            <w:w w:val="101"/>
                            <w:sz w:val="18"/>
                          </w:rPr>
                          <w:t>-</w:t>
                        </w:r>
                      </w:p>
                    </w:tc>
                    <w:tc>
                      <w:tcPr>
                        <w:tcW w:w="1258" w:type="dxa"/>
                      </w:tcPr>
                      <w:p>
                        <w:pPr>
                          <w:pStyle w:val="TableParagraph"/>
                          <w:spacing w:before="100"/>
                          <w:rPr>
                            <w:sz w:val="18"/>
                          </w:rPr>
                        </w:pPr>
                        <w:r>
                          <w:rPr>
                            <w:sz w:val="18"/>
                          </w:rPr>
                          <w:t>9,806</w:t>
                        </w:r>
                      </w:p>
                    </w:tc>
                    <w:tc>
                      <w:tcPr>
                        <w:tcW w:w="1633" w:type="dxa"/>
                      </w:tcPr>
                      <w:p>
                        <w:pPr>
                          <w:pStyle w:val="TableParagraph"/>
                          <w:spacing w:before="100"/>
                          <w:ind w:right="284"/>
                          <w:rPr>
                            <w:sz w:val="18"/>
                          </w:rPr>
                        </w:pPr>
                        <w:r>
                          <w:rPr>
                            <w:w w:val="101"/>
                            <w:sz w:val="18"/>
                          </w:rPr>
                          <w:t>-</w:t>
                        </w:r>
                      </w:p>
                    </w:tc>
                    <w:tc>
                      <w:tcPr>
                        <w:tcW w:w="1063" w:type="dxa"/>
                      </w:tcPr>
                      <w:p>
                        <w:pPr>
                          <w:pStyle w:val="TableParagraph"/>
                          <w:spacing w:before="100"/>
                          <w:rPr>
                            <w:sz w:val="18"/>
                          </w:rPr>
                        </w:pPr>
                        <w:r>
                          <w:rPr>
                            <w:w w:val="101"/>
                            <w:sz w:val="18"/>
                          </w:rPr>
                          <w:t>-</w:t>
                        </w:r>
                      </w:p>
                    </w:tc>
                    <w:tc>
                      <w:tcPr>
                        <w:tcW w:w="1317" w:type="dxa"/>
                      </w:tcPr>
                      <w:p>
                        <w:pPr>
                          <w:pStyle w:val="TableParagraph"/>
                          <w:spacing w:before="100"/>
                          <w:ind w:right="50"/>
                          <w:rPr>
                            <w:sz w:val="18"/>
                          </w:rPr>
                        </w:pPr>
                        <w:r>
                          <w:rPr>
                            <w:sz w:val="18"/>
                          </w:rPr>
                          <w:t>9,806</w:t>
                        </w:r>
                      </w:p>
                    </w:tc>
                  </w:tr>
                  <w:tr>
                    <w:trPr>
                      <w:trHeight w:val="310" w:hRule="exact"/>
                    </w:trPr>
                    <w:tc>
                      <w:tcPr>
                        <w:tcW w:w="708" w:type="dxa"/>
                      </w:tcPr>
                      <w:p>
                        <w:pPr>
                          <w:pStyle w:val="TableParagraph"/>
                          <w:spacing w:before="100"/>
                          <w:rPr>
                            <w:sz w:val="18"/>
                          </w:rPr>
                        </w:pPr>
                        <w:r>
                          <w:rPr>
                            <w:w w:val="101"/>
                            <w:sz w:val="18"/>
                          </w:rPr>
                          <w:t>-</w:t>
                        </w:r>
                      </w:p>
                    </w:tc>
                    <w:tc>
                      <w:tcPr>
                        <w:tcW w:w="1258" w:type="dxa"/>
                      </w:tcPr>
                      <w:p>
                        <w:pPr>
                          <w:pStyle w:val="TableParagraph"/>
                          <w:spacing w:before="100"/>
                          <w:rPr>
                            <w:sz w:val="18"/>
                          </w:rPr>
                        </w:pPr>
                        <w:r>
                          <w:rPr>
                            <w:w w:val="101"/>
                            <w:sz w:val="18"/>
                          </w:rPr>
                          <w:t>-</w:t>
                        </w:r>
                      </w:p>
                    </w:tc>
                    <w:tc>
                      <w:tcPr>
                        <w:tcW w:w="1633" w:type="dxa"/>
                      </w:tcPr>
                      <w:p>
                        <w:pPr>
                          <w:pStyle w:val="TableParagraph"/>
                          <w:spacing w:before="100"/>
                          <w:ind w:right="279"/>
                          <w:rPr>
                            <w:sz w:val="18"/>
                          </w:rPr>
                        </w:pPr>
                        <w:r>
                          <w:rPr>
                            <w:sz w:val="18"/>
                          </w:rPr>
                          <w:t>(7,207)</w:t>
                        </w:r>
                      </w:p>
                    </w:tc>
                    <w:tc>
                      <w:tcPr>
                        <w:tcW w:w="1063" w:type="dxa"/>
                      </w:tcPr>
                      <w:p>
                        <w:pPr>
                          <w:pStyle w:val="TableParagraph"/>
                          <w:spacing w:before="100"/>
                          <w:rPr>
                            <w:sz w:val="18"/>
                          </w:rPr>
                        </w:pPr>
                        <w:r>
                          <w:rPr>
                            <w:w w:val="101"/>
                            <w:sz w:val="18"/>
                          </w:rPr>
                          <w:t>-</w:t>
                        </w:r>
                      </w:p>
                    </w:tc>
                    <w:tc>
                      <w:tcPr>
                        <w:tcW w:w="1317" w:type="dxa"/>
                      </w:tcPr>
                      <w:p>
                        <w:pPr>
                          <w:pStyle w:val="TableParagraph"/>
                          <w:spacing w:before="100"/>
                          <w:ind w:right="48"/>
                          <w:rPr>
                            <w:sz w:val="18"/>
                          </w:rPr>
                        </w:pPr>
                        <w:r>
                          <w:rPr>
                            <w:sz w:val="18"/>
                          </w:rPr>
                          <w:t>(7,207)</w:t>
                        </w:r>
                      </w:p>
                    </w:tc>
                  </w:tr>
                  <w:tr>
                    <w:trPr>
                      <w:trHeight w:val="205" w:hRule="exact"/>
                    </w:trPr>
                    <w:tc>
                      <w:tcPr>
                        <w:tcW w:w="708" w:type="dxa"/>
                      </w:tcPr>
                      <w:p>
                        <w:pPr>
                          <w:pStyle w:val="TableParagraph"/>
                          <w:spacing w:line="205" w:lineRule="exact"/>
                          <w:rPr>
                            <w:sz w:val="18"/>
                          </w:rPr>
                        </w:pPr>
                        <w:r>
                          <w:rPr>
                            <w:w w:val="101"/>
                            <w:sz w:val="18"/>
                          </w:rPr>
                          <w:t>-</w:t>
                        </w:r>
                      </w:p>
                    </w:tc>
                    <w:tc>
                      <w:tcPr>
                        <w:tcW w:w="1258" w:type="dxa"/>
                      </w:tcPr>
                      <w:p>
                        <w:pPr>
                          <w:pStyle w:val="TableParagraph"/>
                          <w:spacing w:line="205" w:lineRule="exact"/>
                          <w:rPr>
                            <w:sz w:val="18"/>
                          </w:rPr>
                        </w:pPr>
                        <w:r>
                          <w:rPr>
                            <w:w w:val="101"/>
                            <w:sz w:val="18"/>
                          </w:rPr>
                          <w:t>-</w:t>
                        </w:r>
                      </w:p>
                    </w:tc>
                    <w:tc>
                      <w:tcPr>
                        <w:tcW w:w="1633" w:type="dxa"/>
                      </w:tcPr>
                      <w:p>
                        <w:pPr>
                          <w:pStyle w:val="TableParagraph"/>
                          <w:spacing w:line="205" w:lineRule="exact"/>
                          <w:ind w:right="282"/>
                          <w:rPr>
                            <w:sz w:val="18"/>
                          </w:rPr>
                        </w:pPr>
                        <w:r>
                          <w:rPr>
                            <w:sz w:val="18"/>
                            <w:u w:val="single"/>
                          </w:rPr>
                          <w:t>317,772</w:t>
                        </w:r>
                      </w:p>
                    </w:tc>
                    <w:tc>
                      <w:tcPr>
                        <w:tcW w:w="1063" w:type="dxa"/>
                      </w:tcPr>
                      <w:p>
                        <w:pPr>
                          <w:pStyle w:val="TableParagraph"/>
                          <w:spacing w:line="205" w:lineRule="exact"/>
                          <w:rPr>
                            <w:sz w:val="18"/>
                          </w:rPr>
                        </w:pPr>
                        <w:r>
                          <w:rPr>
                            <w:w w:val="101"/>
                            <w:sz w:val="18"/>
                          </w:rPr>
                          <w:t>-</w:t>
                        </w:r>
                      </w:p>
                    </w:tc>
                    <w:tc>
                      <w:tcPr>
                        <w:tcW w:w="1317" w:type="dxa"/>
                      </w:tcPr>
                      <w:p>
                        <w:pPr>
                          <w:pStyle w:val="TableParagraph"/>
                          <w:spacing w:line="205" w:lineRule="exact"/>
                          <w:ind w:right="50"/>
                          <w:rPr>
                            <w:sz w:val="18"/>
                          </w:rPr>
                        </w:pPr>
                        <w:r>
                          <w:rPr>
                            <w:sz w:val="18"/>
                            <w:u w:val="single"/>
                          </w:rPr>
                          <w:t>317,772</w:t>
                        </w:r>
                      </w:p>
                    </w:tc>
                  </w:tr>
                  <w:tr>
                    <w:trPr>
                      <w:trHeight w:val="630" w:hRule="exact"/>
                    </w:trPr>
                    <w:tc>
                      <w:tcPr>
                        <w:tcW w:w="708" w:type="dxa"/>
                      </w:tcPr>
                      <w:p>
                        <w:pPr>
                          <w:pStyle w:val="TableParagraph"/>
                          <w:spacing w:before="10"/>
                          <w:jc w:val="left"/>
                          <w:rPr>
                            <w:sz w:val="18"/>
                          </w:rPr>
                        </w:pPr>
                      </w:p>
                      <w:p>
                        <w:pPr>
                          <w:pStyle w:val="TableParagraph"/>
                          <w:rPr>
                            <w:sz w:val="18"/>
                          </w:rPr>
                        </w:pPr>
                        <w:r>
                          <w:rPr>
                            <w:sz w:val="18"/>
                          </w:rPr>
                          <w:t>221,207</w:t>
                        </w:r>
                      </w:p>
                    </w:tc>
                    <w:tc>
                      <w:tcPr>
                        <w:tcW w:w="1258" w:type="dxa"/>
                      </w:tcPr>
                      <w:p>
                        <w:pPr>
                          <w:pStyle w:val="TableParagraph"/>
                          <w:spacing w:before="10"/>
                          <w:jc w:val="left"/>
                          <w:rPr>
                            <w:sz w:val="18"/>
                          </w:rPr>
                        </w:pPr>
                      </w:p>
                      <w:p>
                        <w:pPr>
                          <w:pStyle w:val="TableParagraph"/>
                          <w:rPr>
                            <w:sz w:val="18"/>
                          </w:rPr>
                        </w:pPr>
                        <w:r>
                          <w:rPr>
                            <w:sz w:val="18"/>
                          </w:rPr>
                          <w:t>155,696</w:t>
                        </w:r>
                      </w:p>
                    </w:tc>
                    <w:tc>
                      <w:tcPr>
                        <w:tcW w:w="1633" w:type="dxa"/>
                      </w:tcPr>
                      <w:p>
                        <w:pPr>
                          <w:pStyle w:val="TableParagraph"/>
                          <w:spacing w:before="9"/>
                          <w:jc w:val="left"/>
                          <w:rPr>
                            <w:sz w:val="17"/>
                          </w:rPr>
                        </w:pPr>
                      </w:p>
                      <w:p>
                        <w:pPr>
                          <w:pStyle w:val="TableParagraph"/>
                          <w:spacing w:before="1"/>
                          <w:ind w:right="282"/>
                          <w:rPr>
                            <w:sz w:val="18"/>
                          </w:rPr>
                        </w:pPr>
                        <w:r>
                          <w:rPr>
                            <w:sz w:val="18"/>
                          </w:rPr>
                          <w:t>1,632,115</w:t>
                        </w:r>
                      </w:p>
                    </w:tc>
                    <w:tc>
                      <w:tcPr>
                        <w:tcW w:w="1063" w:type="dxa"/>
                      </w:tcPr>
                      <w:p>
                        <w:pPr>
                          <w:pStyle w:val="TableParagraph"/>
                          <w:spacing w:before="10"/>
                          <w:jc w:val="left"/>
                          <w:rPr>
                            <w:sz w:val="18"/>
                          </w:rPr>
                        </w:pPr>
                      </w:p>
                      <w:p>
                        <w:pPr>
                          <w:pStyle w:val="TableParagraph"/>
                          <w:rPr>
                            <w:sz w:val="18"/>
                          </w:rPr>
                        </w:pPr>
                        <w:r>
                          <w:rPr>
                            <w:w w:val="101"/>
                            <w:sz w:val="18"/>
                          </w:rPr>
                          <w:t>-</w:t>
                        </w:r>
                      </w:p>
                    </w:tc>
                    <w:tc>
                      <w:tcPr>
                        <w:tcW w:w="1317" w:type="dxa"/>
                      </w:tcPr>
                      <w:p>
                        <w:pPr>
                          <w:pStyle w:val="TableParagraph"/>
                          <w:spacing w:before="9"/>
                          <w:jc w:val="left"/>
                          <w:rPr>
                            <w:sz w:val="17"/>
                          </w:rPr>
                        </w:pPr>
                      </w:p>
                      <w:p>
                        <w:pPr>
                          <w:pStyle w:val="TableParagraph"/>
                          <w:spacing w:before="1"/>
                          <w:ind w:right="50"/>
                          <w:rPr>
                            <w:sz w:val="18"/>
                          </w:rPr>
                        </w:pPr>
                        <w:r>
                          <w:rPr>
                            <w:sz w:val="18"/>
                          </w:rPr>
                          <w:t>2,009,018</w:t>
                        </w:r>
                      </w:p>
                    </w:tc>
                  </w:tr>
                  <w:tr>
                    <w:trPr>
                      <w:trHeight w:val="535" w:hRule="exact"/>
                    </w:trPr>
                    <w:tc>
                      <w:tcPr>
                        <w:tcW w:w="708" w:type="dxa"/>
                      </w:tcPr>
                      <w:p>
                        <w:pPr>
                          <w:pStyle w:val="TableParagraph"/>
                          <w:spacing w:before="6"/>
                          <w:jc w:val="left"/>
                          <w:rPr>
                            <w:sz w:val="18"/>
                          </w:rPr>
                        </w:pPr>
                      </w:p>
                      <w:p>
                        <w:pPr>
                          <w:pStyle w:val="TableParagraph"/>
                          <w:rPr>
                            <w:b/>
                            <w:sz w:val="18"/>
                          </w:rPr>
                        </w:pPr>
                        <w:r>
                          <w:rPr>
                            <w:b/>
                            <w:color w:val="000080"/>
                            <w:sz w:val="18"/>
                          </w:rPr>
                          <w:t>111,894</w:t>
                        </w:r>
                      </w:p>
                    </w:tc>
                    <w:tc>
                      <w:tcPr>
                        <w:tcW w:w="1258" w:type="dxa"/>
                      </w:tcPr>
                      <w:p>
                        <w:pPr>
                          <w:pStyle w:val="TableParagraph"/>
                          <w:spacing w:before="6"/>
                          <w:jc w:val="left"/>
                          <w:rPr>
                            <w:sz w:val="18"/>
                          </w:rPr>
                        </w:pPr>
                      </w:p>
                      <w:p>
                        <w:pPr>
                          <w:pStyle w:val="TableParagraph"/>
                          <w:ind w:right="1"/>
                          <w:rPr>
                            <w:b/>
                            <w:sz w:val="18"/>
                          </w:rPr>
                        </w:pPr>
                        <w:r>
                          <w:rPr>
                            <w:b/>
                            <w:color w:val="000080"/>
                            <w:sz w:val="18"/>
                          </w:rPr>
                          <w:t>(111,894)</w:t>
                        </w:r>
                      </w:p>
                    </w:tc>
                    <w:tc>
                      <w:tcPr>
                        <w:tcW w:w="1633" w:type="dxa"/>
                      </w:tcPr>
                      <w:p>
                        <w:pPr>
                          <w:pStyle w:val="TableParagraph"/>
                          <w:spacing w:before="6"/>
                          <w:jc w:val="left"/>
                          <w:rPr>
                            <w:sz w:val="18"/>
                          </w:rPr>
                        </w:pPr>
                      </w:p>
                      <w:p>
                        <w:pPr>
                          <w:pStyle w:val="TableParagraph"/>
                          <w:ind w:right="284"/>
                          <w:rPr>
                            <w:b/>
                            <w:sz w:val="18"/>
                          </w:rPr>
                        </w:pPr>
                        <w:r>
                          <w:rPr>
                            <w:b/>
                            <w:color w:val="000080"/>
                            <w:w w:val="101"/>
                            <w:sz w:val="18"/>
                          </w:rPr>
                          <w:t>-</w:t>
                        </w:r>
                      </w:p>
                    </w:tc>
                    <w:tc>
                      <w:tcPr>
                        <w:tcW w:w="1063" w:type="dxa"/>
                      </w:tcPr>
                      <w:p>
                        <w:pPr>
                          <w:pStyle w:val="TableParagraph"/>
                          <w:spacing w:before="6"/>
                          <w:jc w:val="left"/>
                          <w:rPr>
                            <w:sz w:val="18"/>
                          </w:rPr>
                        </w:pPr>
                      </w:p>
                      <w:p>
                        <w:pPr>
                          <w:pStyle w:val="TableParagraph"/>
                          <w:rPr>
                            <w:b/>
                            <w:sz w:val="18"/>
                          </w:rPr>
                        </w:pPr>
                        <w:r>
                          <w:rPr>
                            <w:b/>
                            <w:color w:val="000080"/>
                            <w:w w:val="101"/>
                            <w:sz w:val="18"/>
                          </w:rPr>
                          <w:t>-</w:t>
                        </w:r>
                      </w:p>
                    </w:tc>
                    <w:tc>
                      <w:tcPr>
                        <w:tcW w:w="1317" w:type="dxa"/>
                      </w:tcPr>
                      <w:p>
                        <w:pPr>
                          <w:pStyle w:val="TableParagraph"/>
                          <w:spacing w:before="6"/>
                          <w:jc w:val="left"/>
                          <w:rPr>
                            <w:sz w:val="18"/>
                          </w:rPr>
                        </w:pPr>
                      </w:p>
                      <w:p>
                        <w:pPr>
                          <w:pStyle w:val="TableParagraph"/>
                          <w:ind w:right="52"/>
                          <w:rPr>
                            <w:b/>
                            <w:sz w:val="18"/>
                          </w:rPr>
                        </w:pPr>
                        <w:r>
                          <w:rPr>
                            <w:b/>
                            <w:color w:val="000080"/>
                            <w:w w:val="101"/>
                            <w:sz w:val="18"/>
                          </w:rPr>
                          <w:t>-</w:t>
                        </w:r>
                      </w:p>
                    </w:tc>
                  </w:tr>
                  <w:tr>
                    <w:trPr>
                      <w:trHeight w:val="318" w:hRule="exact"/>
                    </w:trPr>
                    <w:tc>
                      <w:tcPr>
                        <w:tcW w:w="708" w:type="dxa"/>
                      </w:tcPr>
                      <w:p>
                        <w:pPr>
                          <w:pStyle w:val="TableParagraph"/>
                          <w:spacing w:before="110"/>
                          <w:rPr>
                            <w:b/>
                            <w:sz w:val="18"/>
                          </w:rPr>
                        </w:pPr>
                        <w:r>
                          <w:rPr>
                            <w:b/>
                            <w:color w:val="000080"/>
                            <w:w w:val="101"/>
                            <w:sz w:val="18"/>
                          </w:rPr>
                          <w:t>-</w:t>
                        </w:r>
                      </w:p>
                    </w:tc>
                    <w:tc>
                      <w:tcPr>
                        <w:tcW w:w="1258" w:type="dxa"/>
                      </w:tcPr>
                      <w:p>
                        <w:pPr>
                          <w:pStyle w:val="TableParagraph"/>
                          <w:spacing w:before="110"/>
                          <w:rPr>
                            <w:b/>
                            <w:sz w:val="18"/>
                          </w:rPr>
                        </w:pPr>
                        <w:r>
                          <w:rPr>
                            <w:b/>
                            <w:color w:val="000080"/>
                            <w:w w:val="101"/>
                            <w:sz w:val="18"/>
                          </w:rPr>
                          <w:t>-</w:t>
                        </w:r>
                      </w:p>
                    </w:tc>
                    <w:tc>
                      <w:tcPr>
                        <w:tcW w:w="1633" w:type="dxa"/>
                      </w:tcPr>
                      <w:p>
                        <w:pPr>
                          <w:pStyle w:val="TableParagraph"/>
                          <w:spacing w:before="110"/>
                          <w:ind w:right="284"/>
                          <w:rPr>
                            <w:b/>
                            <w:sz w:val="18"/>
                          </w:rPr>
                        </w:pPr>
                        <w:r>
                          <w:rPr>
                            <w:b/>
                            <w:color w:val="000080"/>
                            <w:w w:val="101"/>
                            <w:sz w:val="18"/>
                          </w:rPr>
                          <w:t>-</w:t>
                        </w:r>
                      </w:p>
                    </w:tc>
                    <w:tc>
                      <w:tcPr>
                        <w:tcW w:w="1063" w:type="dxa"/>
                      </w:tcPr>
                      <w:p>
                        <w:pPr>
                          <w:pStyle w:val="TableParagraph"/>
                          <w:spacing w:before="110"/>
                          <w:rPr>
                            <w:b/>
                            <w:sz w:val="18"/>
                          </w:rPr>
                        </w:pPr>
                        <w:r>
                          <w:rPr>
                            <w:b/>
                            <w:color w:val="000080"/>
                            <w:sz w:val="18"/>
                          </w:rPr>
                          <w:t>(100,000)</w:t>
                        </w:r>
                      </w:p>
                    </w:tc>
                    <w:tc>
                      <w:tcPr>
                        <w:tcW w:w="1317" w:type="dxa"/>
                      </w:tcPr>
                      <w:p>
                        <w:pPr>
                          <w:pStyle w:val="TableParagraph"/>
                          <w:spacing w:before="110"/>
                          <w:ind w:right="52"/>
                          <w:rPr>
                            <w:b/>
                            <w:sz w:val="18"/>
                          </w:rPr>
                        </w:pPr>
                        <w:r>
                          <w:rPr>
                            <w:b/>
                            <w:color w:val="000080"/>
                            <w:sz w:val="18"/>
                          </w:rPr>
                          <w:t>(100,000)</w:t>
                        </w:r>
                      </w:p>
                    </w:tc>
                  </w:tr>
                </w:tbl>
                <w:p>
                  <w:pPr>
                    <w:pStyle w:val="BodyText"/>
                  </w:pPr>
                </w:p>
              </w:txbxContent>
            </v:textbox>
            <w10:wrap type="none"/>
          </v:shape>
        </w:pict>
      </w:r>
      <w:r>
        <w:rPr>
          <w:sz w:val="18"/>
        </w:rPr>
        <w:t>Issuance of common stock upon exercise of </w:t>
      </w:r>
      <w:r>
        <w:rPr>
          <w:spacing w:val="-3"/>
          <w:sz w:val="18"/>
        </w:rPr>
        <w:t>executive </w:t>
      </w:r>
      <w:r>
        <w:rPr>
          <w:sz w:val="18"/>
        </w:rPr>
        <w:t>stock options and pursuant to Employee stock option and purchase plans (Note</w:t>
      </w:r>
      <w:r>
        <w:rPr>
          <w:spacing w:val="16"/>
          <w:sz w:val="18"/>
        </w:rPr>
        <w:t> </w:t>
      </w:r>
      <w:r>
        <w:rPr>
          <w:sz w:val="18"/>
        </w:rPr>
        <w:t>8)</w:t>
      </w:r>
    </w:p>
    <w:p>
      <w:pPr>
        <w:spacing w:line="206" w:lineRule="exact" w:before="0"/>
        <w:ind w:left="282" w:right="0" w:firstLine="0"/>
        <w:jc w:val="left"/>
        <w:rPr>
          <w:sz w:val="18"/>
        </w:rPr>
      </w:pPr>
      <w:r>
        <w:rPr>
          <w:sz w:val="18"/>
        </w:rPr>
        <w:t>Tax benefit of options exercised</w:t>
      </w:r>
    </w:p>
    <w:p>
      <w:pPr>
        <w:pStyle w:val="BodyText"/>
        <w:spacing w:before="10"/>
        <w:rPr>
          <w:sz w:val="17"/>
        </w:rPr>
      </w:pPr>
    </w:p>
    <w:p>
      <w:pPr>
        <w:spacing w:before="0"/>
        <w:ind w:left="459" w:right="6972" w:hanging="178"/>
        <w:jc w:val="left"/>
        <w:rPr>
          <w:sz w:val="18"/>
        </w:rPr>
      </w:pPr>
      <w:r>
        <w:rPr>
          <w:sz w:val="18"/>
        </w:rPr>
        <w:t>Cash dividends, $.0221 per share</w:t>
      </w:r>
    </w:p>
    <w:p>
      <w:pPr>
        <w:spacing w:line="206" w:lineRule="exact" w:before="0"/>
        <w:ind w:left="282" w:right="0" w:firstLine="0"/>
        <w:jc w:val="left"/>
        <w:rPr>
          <w:sz w:val="18"/>
        </w:rPr>
      </w:pPr>
      <w:r>
        <w:rPr>
          <w:sz w:val="18"/>
        </w:rPr>
        <w:t>Net income – 1997</w:t>
      </w:r>
    </w:p>
    <w:p>
      <w:pPr>
        <w:pStyle w:val="BodyText"/>
        <w:spacing w:before="10"/>
        <w:rPr>
          <w:sz w:val="17"/>
        </w:rPr>
      </w:pPr>
    </w:p>
    <w:p>
      <w:pPr>
        <w:spacing w:before="0"/>
        <w:ind w:left="100" w:right="0" w:firstLine="0"/>
        <w:jc w:val="left"/>
        <w:rPr>
          <w:sz w:val="18"/>
        </w:rPr>
      </w:pPr>
      <w:r>
        <w:rPr>
          <w:sz w:val="18"/>
        </w:rPr>
        <w:t>Balance at December 31, 1997</w:t>
      </w:r>
    </w:p>
    <w:p>
      <w:pPr>
        <w:pStyle w:val="BodyText"/>
        <w:spacing w:before="7"/>
        <w:rPr>
          <w:sz w:val="18"/>
        </w:rPr>
      </w:pPr>
    </w:p>
    <w:p>
      <w:pPr>
        <w:spacing w:line="249" w:lineRule="auto" w:before="1"/>
        <w:ind w:left="460" w:right="7099" w:hanging="178"/>
        <w:jc w:val="left"/>
        <w:rPr>
          <w:b/>
          <w:sz w:val="18"/>
        </w:rPr>
      </w:pPr>
      <w:r>
        <w:rPr>
          <w:b/>
          <w:color w:val="000080"/>
          <w:sz w:val="18"/>
        </w:rPr>
        <w:t>Three-for-two stock split (Note 7)</w:t>
      </w:r>
    </w:p>
    <w:p>
      <w:pPr>
        <w:spacing w:line="249" w:lineRule="auto" w:before="1"/>
        <w:ind w:left="460" w:right="7099" w:hanging="178"/>
        <w:jc w:val="left"/>
        <w:rPr>
          <w:b/>
          <w:sz w:val="18"/>
        </w:rPr>
      </w:pPr>
      <w:r>
        <w:rPr>
          <w:b/>
          <w:color w:val="000080"/>
          <w:sz w:val="18"/>
        </w:rPr>
        <w:t>Purchase of shares of treasury stock (Note 7)</w:t>
      </w:r>
    </w:p>
    <w:p>
      <w:pPr>
        <w:spacing w:line="249" w:lineRule="auto" w:before="1"/>
        <w:ind w:left="460" w:right="6698" w:hanging="178"/>
        <w:jc w:val="left"/>
        <w:rPr>
          <w:b/>
          <w:sz w:val="18"/>
        </w:rPr>
      </w:pPr>
      <w:r>
        <w:rPr/>
        <w:pict>
          <v:shape style="position:absolute;margin-left:233.419998pt;margin-top:54.23579pt;width:303.75pt;height:85.8pt;mso-position-horizontal-relative:page;mso-position-vertical-relative:paragraph;z-index:604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07"/>
                    <w:gridCol w:w="1257"/>
                    <w:gridCol w:w="1633"/>
                    <w:gridCol w:w="1065"/>
                    <w:gridCol w:w="1313"/>
                  </w:tblGrid>
                  <w:tr>
                    <w:trPr>
                      <w:trHeight w:val="318" w:hRule="exact"/>
                    </w:trPr>
                    <w:tc>
                      <w:tcPr>
                        <w:tcW w:w="807" w:type="dxa"/>
                      </w:tcPr>
                      <w:p>
                        <w:pPr>
                          <w:pStyle w:val="TableParagraph"/>
                          <w:spacing w:line="203" w:lineRule="exact"/>
                          <w:rPr>
                            <w:b/>
                            <w:sz w:val="18"/>
                          </w:rPr>
                        </w:pPr>
                        <w:r>
                          <w:rPr>
                            <w:b/>
                            <w:color w:val="000080"/>
                            <w:sz w:val="18"/>
                          </w:rPr>
                          <w:t>2,803</w:t>
                        </w:r>
                      </w:p>
                    </w:tc>
                    <w:tc>
                      <w:tcPr>
                        <w:tcW w:w="1257" w:type="dxa"/>
                      </w:tcPr>
                      <w:p>
                        <w:pPr>
                          <w:pStyle w:val="TableParagraph"/>
                          <w:spacing w:line="203" w:lineRule="exact"/>
                          <w:rPr>
                            <w:b/>
                            <w:sz w:val="18"/>
                          </w:rPr>
                        </w:pPr>
                        <w:r>
                          <w:rPr>
                            <w:b/>
                            <w:color w:val="000080"/>
                            <w:sz w:val="18"/>
                          </w:rPr>
                          <w:t>24,434</w:t>
                        </w:r>
                      </w:p>
                    </w:tc>
                    <w:tc>
                      <w:tcPr>
                        <w:tcW w:w="1633" w:type="dxa"/>
                      </w:tcPr>
                      <w:p>
                        <w:pPr>
                          <w:pStyle w:val="TableParagraph"/>
                          <w:spacing w:line="203" w:lineRule="exact"/>
                          <w:ind w:right="281"/>
                          <w:rPr>
                            <w:b/>
                            <w:sz w:val="18"/>
                          </w:rPr>
                        </w:pPr>
                        <w:r>
                          <w:rPr>
                            <w:b/>
                            <w:color w:val="000080"/>
                            <w:sz w:val="18"/>
                          </w:rPr>
                          <w:t>(10,184)</w:t>
                        </w:r>
                      </w:p>
                    </w:tc>
                    <w:tc>
                      <w:tcPr>
                        <w:tcW w:w="1065" w:type="dxa"/>
                      </w:tcPr>
                      <w:p>
                        <w:pPr>
                          <w:pStyle w:val="TableParagraph"/>
                          <w:spacing w:line="203" w:lineRule="exact"/>
                          <w:rPr>
                            <w:b/>
                            <w:sz w:val="18"/>
                          </w:rPr>
                        </w:pPr>
                        <w:r>
                          <w:rPr>
                            <w:b/>
                            <w:color w:val="000080"/>
                            <w:sz w:val="18"/>
                          </w:rPr>
                          <w:t>27,219</w:t>
                        </w:r>
                      </w:p>
                    </w:tc>
                    <w:tc>
                      <w:tcPr>
                        <w:tcW w:w="1313" w:type="dxa"/>
                      </w:tcPr>
                      <w:p>
                        <w:pPr>
                          <w:pStyle w:val="TableParagraph"/>
                          <w:spacing w:line="203" w:lineRule="exact"/>
                          <w:ind w:right="48"/>
                          <w:rPr>
                            <w:b/>
                            <w:sz w:val="18"/>
                          </w:rPr>
                        </w:pPr>
                        <w:r>
                          <w:rPr>
                            <w:b/>
                            <w:color w:val="000080"/>
                            <w:sz w:val="18"/>
                          </w:rPr>
                          <w:t>44,272</w:t>
                        </w:r>
                      </w:p>
                    </w:tc>
                  </w:tr>
                  <w:tr>
                    <w:trPr>
                      <w:trHeight w:val="432" w:hRule="exact"/>
                    </w:trPr>
                    <w:tc>
                      <w:tcPr>
                        <w:tcW w:w="807" w:type="dxa"/>
                      </w:tcPr>
                      <w:p>
                        <w:pPr>
                          <w:pStyle w:val="TableParagraph"/>
                          <w:spacing w:before="110"/>
                          <w:rPr>
                            <w:b/>
                            <w:sz w:val="18"/>
                          </w:rPr>
                        </w:pPr>
                        <w:r>
                          <w:rPr>
                            <w:b/>
                            <w:color w:val="000080"/>
                            <w:w w:val="101"/>
                            <w:sz w:val="18"/>
                          </w:rPr>
                          <w:t>-</w:t>
                        </w:r>
                      </w:p>
                    </w:tc>
                    <w:tc>
                      <w:tcPr>
                        <w:tcW w:w="1257" w:type="dxa"/>
                      </w:tcPr>
                      <w:p>
                        <w:pPr>
                          <w:pStyle w:val="TableParagraph"/>
                          <w:spacing w:before="110"/>
                          <w:rPr>
                            <w:b/>
                            <w:sz w:val="18"/>
                          </w:rPr>
                        </w:pPr>
                        <w:r>
                          <w:rPr>
                            <w:b/>
                            <w:color w:val="000080"/>
                            <w:sz w:val="18"/>
                          </w:rPr>
                          <w:t>21,584</w:t>
                        </w:r>
                      </w:p>
                    </w:tc>
                    <w:tc>
                      <w:tcPr>
                        <w:tcW w:w="1633" w:type="dxa"/>
                      </w:tcPr>
                      <w:p>
                        <w:pPr>
                          <w:pStyle w:val="TableParagraph"/>
                          <w:spacing w:before="110"/>
                          <w:ind w:right="282"/>
                          <w:rPr>
                            <w:b/>
                            <w:sz w:val="18"/>
                          </w:rPr>
                        </w:pPr>
                        <w:r>
                          <w:rPr>
                            <w:b/>
                            <w:color w:val="000080"/>
                            <w:w w:val="101"/>
                            <w:sz w:val="18"/>
                          </w:rPr>
                          <w:t>-</w:t>
                        </w:r>
                      </w:p>
                    </w:tc>
                    <w:tc>
                      <w:tcPr>
                        <w:tcW w:w="1065" w:type="dxa"/>
                      </w:tcPr>
                      <w:p>
                        <w:pPr>
                          <w:pStyle w:val="TableParagraph"/>
                          <w:spacing w:before="110"/>
                          <w:rPr>
                            <w:b/>
                            <w:sz w:val="18"/>
                          </w:rPr>
                        </w:pPr>
                        <w:r>
                          <w:rPr>
                            <w:b/>
                            <w:color w:val="000080"/>
                            <w:w w:val="101"/>
                            <w:sz w:val="18"/>
                          </w:rPr>
                          <w:t>-</w:t>
                        </w:r>
                      </w:p>
                    </w:tc>
                    <w:tc>
                      <w:tcPr>
                        <w:tcW w:w="1313" w:type="dxa"/>
                      </w:tcPr>
                      <w:p>
                        <w:pPr>
                          <w:pStyle w:val="TableParagraph"/>
                          <w:spacing w:before="110"/>
                          <w:ind w:right="48"/>
                          <w:rPr>
                            <w:b/>
                            <w:sz w:val="18"/>
                          </w:rPr>
                        </w:pPr>
                        <w:r>
                          <w:rPr>
                            <w:b/>
                            <w:color w:val="000080"/>
                            <w:sz w:val="18"/>
                          </w:rPr>
                          <w:t>21,584</w:t>
                        </w:r>
                      </w:p>
                    </w:tc>
                  </w:tr>
                  <w:tr>
                    <w:trPr>
                      <w:trHeight w:val="324" w:hRule="exact"/>
                    </w:trPr>
                    <w:tc>
                      <w:tcPr>
                        <w:tcW w:w="807" w:type="dxa"/>
                      </w:tcPr>
                      <w:p>
                        <w:pPr>
                          <w:pStyle w:val="TableParagraph"/>
                          <w:spacing w:before="110"/>
                          <w:rPr>
                            <w:b/>
                            <w:sz w:val="18"/>
                          </w:rPr>
                        </w:pPr>
                        <w:r>
                          <w:rPr>
                            <w:b/>
                            <w:color w:val="000080"/>
                            <w:w w:val="101"/>
                            <w:sz w:val="18"/>
                          </w:rPr>
                          <w:t>-</w:t>
                        </w:r>
                      </w:p>
                    </w:tc>
                    <w:tc>
                      <w:tcPr>
                        <w:tcW w:w="1257" w:type="dxa"/>
                      </w:tcPr>
                      <w:p>
                        <w:pPr>
                          <w:pStyle w:val="TableParagraph"/>
                          <w:spacing w:before="110"/>
                          <w:rPr>
                            <w:b/>
                            <w:sz w:val="18"/>
                          </w:rPr>
                        </w:pPr>
                        <w:r>
                          <w:rPr>
                            <w:b/>
                            <w:color w:val="000080"/>
                            <w:w w:val="101"/>
                            <w:sz w:val="18"/>
                          </w:rPr>
                          <w:t>-</w:t>
                        </w:r>
                      </w:p>
                    </w:tc>
                    <w:tc>
                      <w:tcPr>
                        <w:tcW w:w="1633" w:type="dxa"/>
                      </w:tcPr>
                      <w:p>
                        <w:pPr>
                          <w:pStyle w:val="TableParagraph"/>
                          <w:spacing w:before="110"/>
                          <w:ind w:right="281"/>
                          <w:rPr>
                            <w:b/>
                            <w:sz w:val="18"/>
                          </w:rPr>
                        </w:pPr>
                        <w:r>
                          <w:rPr>
                            <w:b/>
                            <w:color w:val="000080"/>
                            <w:sz w:val="18"/>
                          </w:rPr>
                          <w:t>(10,387)</w:t>
                        </w:r>
                      </w:p>
                    </w:tc>
                    <w:tc>
                      <w:tcPr>
                        <w:tcW w:w="1065" w:type="dxa"/>
                      </w:tcPr>
                      <w:p>
                        <w:pPr>
                          <w:pStyle w:val="TableParagraph"/>
                          <w:spacing w:before="110"/>
                          <w:rPr>
                            <w:b/>
                            <w:sz w:val="18"/>
                          </w:rPr>
                        </w:pPr>
                        <w:r>
                          <w:rPr>
                            <w:b/>
                            <w:color w:val="000080"/>
                            <w:w w:val="101"/>
                            <w:sz w:val="18"/>
                          </w:rPr>
                          <w:t>-</w:t>
                        </w:r>
                      </w:p>
                    </w:tc>
                    <w:tc>
                      <w:tcPr>
                        <w:tcW w:w="1313" w:type="dxa"/>
                      </w:tcPr>
                      <w:p>
                        <w:pPr>
                          <w:pStyle w:val="TableParagraph"/>
                          <w:spacing w:before="110"/>
                          <w:ind w:right="48"/>
                          <w:rPr>
                            <w:b/>
                            <w:sz w:val="18"/>
                          </w:rPr>
                        </w:pPr>
                        <w:r>
                          <w:rPr>
                            <w:b/>
                            <w:color w:val="000080"/>
                            <w:sz w:val="18"/>
                          </w:rPr>
                          <w:t>(10,387)</w:t>
                        </w:r>
                      </w:p>
                    </w:tc>
                  </w:tr>
                  <w:tr>
                    <w:trPr>
                      <w:trHeight w:val="210" w:hRule="exact"/>
                    </w:trPr>
                    <w:tc>
                      <w:tcPr>
                        <w:tcW w:w="807" w:type="dxa"/>
                      </w:tcPr>
                      <w:p>
                        <w:pPr>
                          <w:pStyle w:val="TableParagraph"/>
                          <w:spacing w:before="2"/>
                          <w:rPr>
                            <w:b/>
                            <w:sz w:val="18"/>
                          </w:rPr>
                        </w:pPr>
                        <w:r>
                          <w:rPr>
                            <w:b/>
                            <w:color w:val="000080"/>
                            <w:w w:val="101"/>
                            <w:sz w:val="18"/>
                          </w:rPr>
                          <w:t>-</w:t>
                        </w:r>
                      </w:p>
                    </w:tc>
                    <w:tc>
                      <w:tcPr>
                        <w:tcW w:w="1257" w:type="dxa"/>
                      </w:tcPr>
                      <w:p>
                        <w:pPr>
                          <w:pStyle w:val="TableParagraph"/>
                          <w:spacing w:before="2"/>
                          <w:rPr>
                            <w:b/>
                            <w:sz w:val="18"/>
                          </w:rPr>
                        </w:pPr>
                        <w:r>
                          <w:rPr>
                            <w:b/>
                            <w:color w:val="000080"/>
                            <w:w w:val="101"/>
                            <w:sz w:val="18"/>
                          </w:rPr>
                          <w:t>-</w:t>
                        </w:r>
                      </w:p>
                    </w:tc>
                    <w:tc>
                      <w:tcPr>
                        <w:tcW w:w="1633" w:type="dxa"/>
                      </w:tcPr>
                      <w:p>
                        <w:pPr>
                          <w:pStyle w:val="TableParagraph"/>
                          <w:spacing w:before="2"/>
                          <w:ind w:right="282"/>
                          <w:rPr>
                            <w:b/>
                            <w:sz w:val="18"/>
                          </w:rPr>
                        </w:pPr>
                        <w:r>
                          <w:rPr>
                            <w:b/>
                            <w:color w:val="000080"/>
                            <w:sz w:val="18"/>
                            <w:u w:val="single" w:color="000080"/>
                          </w:rPr>
                          <w:t>433,431</w:t>
                        </w:r>
                      </w:p>
                    </w:tc>
                    <w:tc>
                      <w:tcPr>
                        <w:tcW w:w="1065" w:type="dxa"/>
                      </w:tcPr>
                      <w:p>
                        <w:pPr>
                          <w:pStyle w:val="TableParagraph"/>
                          <w:spacing w:before="2"/>
                          <w:rPr>
                            <w:b/>
                            <w:sz w:val="18"/>
                          </w:rPr>
                        </w:pPr>
                        <w:r>
                          <w:rPr>
                            <w:b/>
                            <w:color w:val="000080"/>
                            <w:w w:val="101"/>
                            <w:sz w:val="18"/>
                          </w:rPr>
                          <w:t>-</w:t>
                        </w:r>
                      </w:p>
                    </w:tc>
                    <w:tc>
                      <w:tcPr>
                        <w:tcW w:w="1313" w:type="dxa"/>
                      </w:tcPr>
                      <w:p>
                        <w:pPr>
                          <w:pStyle w:val="TableParagraph"/>
                          <w:spacing w:before="2"/>
                          <w:ind w:right="48"/>
                          <w:rPr>
                            <w:b/>
                            <w:sz w:val="18"/>
                          </w:rPr>
                        </w:pPr>
                        <w:r>
                          <w:rPr>
                            <w:b/>
                            <w:color w:val="000080"/>
                            <w:sz w:val="18"/>
                            <w:u w:val="single" w:color="000080"/>
                          </w:rPr>
                          <w:t>433,431</w:t>
                        </w:r>
                      </w:p>
                    </w:tc>
                  </w:tr>
                  <w:tr>
                    <w:trPr>
                      <w:trHeight w:val="432" w:hRule="exact"/>
                    </w:trPr>
                    <w:tc>
                      <w:tcPr>
                        <w:tcW w:w="807" w:type="dxa"/>
                      </w:tcPr>
                      <w:p>
                        <w:pPr>
                          <w:pStyle w:val="TableParagraph"/>
                          <w:spacing w:before="4"/>
                          <w:jc w:val="left"/>
                          <w:rPr>
                            <w:sz w:val="20"/>
                          </w:rPr>
                        </w:pPr>
                      </w:p>
                      <w:p>
                        <w:pPr>
                          <w:pStyle w:val="TableParagraph"/>
                          <w:ind w:right="1"/>
                          <w:rPr>
                            <w:b/>
                            <w:sz w:val="18"/>
                          </w:rPr>
                        </w:pPr>
                        <w:r>
                          <w:rPr>
                            <w:b/>
                            <w:color w:val="000080"/>
                            <w:sz w:val="18"/>
                            <w:u w:val="thick" w:color="000080"/>
                          </w:rPr>
                          <w:t>$335,904</w:t>
                        </w:r>
                      </w:p>
                    </w:tc>
                    <w:tc>
                      <w:tcPr>
                        <w:tcW w:w="1257" w:type="dxa"/>
                      </w:tcPr>
                      <w:p>
                        <w:pPr>
                          <w:pStyle w:val="TableParagraph"/>
                          <w:spacing w:before="4"/>
                          <w:jc w:val="left"/>
                          <w:rPr>
                            <w:sz w:val="20"/>
                          </w:rPr>
                        </w:pPr>
                      </w:p>
                      <w:p>
                        <w:pPr>
                          <w:pStyle w:val="TableParagraph"/>
                          <w:rPr>
                            <w:b/>
                            <w:sz w:val="18"/>
                          </w:rPr>
                        </w:pPr>
                        <w:r>
                          <w:rPr>
                            <w:b/>
                            <w:color w:val="000080"/>
                            <w:sz w:val="18"/>
                            <w:u w:val="thick" w:color="000080"/>
                          </w:rPr>
                          <w:t>$89,820</w:t>
                        </w:r>
                      </w:p>
                    </w:tc>
                    <w:tc>
                      <w:tcPr>
                        <w:tcW w:w="1633" w:type="dxa"/>
                      </w:tcPr>
                      <w:p>
                        <w:pPr>
                          <w:pStyle w:val="TableParagraph"/>
                          <w:spacing w:before="6"/>
                          <w:jc w:val="left"/>
                          <w:rPr>
                            <w:sz w:val="19"/>
                          </w:rPr>
                        </w:pPr>
                      </w:p>
                      <w:p>
                        <w:pPr>
                          <w:pStyle w:val="TableParagraph"/>
                          <w:ind w:right="283"/>
                          <w:rPr>
                            <w:b/>
                            <w:sz w:val="18"/>
                          </w:rPr>
                        </w:pPr>
                        <w:r>
                          <w:rPr>
                            <w:b/>
                            <w:color w:val="000080"/>
                            <w:sz w:val="18"/>
                            <w:u w:val="thick" w:color="000080"/>
                          </w:rPr>
                          <w:t>$2,044,975</w:t>
                        </w:r>
                      </w:p>
                    </w:tc>
                    <w:tc>
                      <w:tcPr>
                        <w:tcW w:w="1065" w:type="dxa"/>
                      </w:tcPr>
                      <w:p>
                        <w:pPr>
                          <w:pStyle w:val="TableParagraph"/>
                          <w:spacing w:before="4"/>
                          <w:jc w:val="left"/>
                          <w:rPr>
                            <w:sz w:val="20"/>
                          </w:rPr>
                        </w:pPr>
                      </w:p>
                      <w:p>
                        <w:pPr>
                          <w:pStyle w:val="TableParagraph"/>
                          <w:rPr>
                            <w:b/>
                            <w:sz w:val="18"/>
                          </w:rPr>
                        </w:pPr>
                        <w:r>
                          <w:rPr>
                            <w:b/>
                            <w:color w:val="000080"/>
                            <w:sz w:val="18"/>
                            <w:u w:val="thick" w:color="000080"/>
                          </w:rPr>
                          <w:t>$(72,781)</w:t>
                        </w:r>
                      </w:p>
                    </w:tc>
                    <w:tc>
                      <w:tcPr>
                        <w:tcW w:w="1313" w:type="dxa"/>
                      </w:tcPr>
                      <w:p>
                        <w:pPr>
                          <w:pStyle w:val="TableParagraph"/>
                          <w:spacing w:before="6"/>
                          <w:jc w:val="left"/>
                          <w:rPr>
                            <w:sz w:val="19"/>
                          </w:rPr>
                        </w:pPr>
                      </w:p>
                      <w:p>
                        <w:pPr>
                          <w:pStyle w:val="TableParagraph"/>
                          <w:ind w:right="49"/>
                          <w:rPr>
                            <w:b/>
                            <w:sz w:val="18"/>
                          </w:rPr>
                        </w:pPr>
                        <w:r>
                          <w:rPr>
                            <w:b/>
                            <w:color w:val="000080"/>
                            <w:sz w:val="18"/>
                            <w:u w:val="thick" w:color="000080"/>
                          </w:rPr>
                          <w:t>$2,397,918</w:t>
                        </w:r>
                      </w:p>
                    </w:tc>
                  </w:tr>
                </w:tbl>
                <w:p>
                  <w:pPr>
                    <w:pStyle w:val="BodyText"/>
                  </w:pPr>
                </w:p>
              </w:txbxContent>
            </v:textbox>
            <w10:wrap type="none"/>
          </v:shape>
        </w:pict>
      </w:r>
      <w:r>
        <w:rPr>
          <w:b/>
          <w:color w:val="000080"/>
          <w:sz w:val="18"/>
        </w:rPr>
        <w:t>Issuance of common and treasury stock upon exercise of executive stock options and pursuant to Employee stock option and purchase plans (Note 8)</w:t>
      </w:r>
    </w:p>
    <w:p>
      <w:pPr>
        <w:spacing w:line="249" w:lineRule="auto" w:before="1"/>
        <w:ind w:left="460" w:right="7099" w:hanging="178"/>
        <w:jc w:val="left"/>
        <w:rPr>
          <w:b/>
          <w:sz w:val="18"/>
        </w:rPr>
      </w:pPr>
      <w:r>
        <w:rPr>
          <w:b/>
          <w:color w:val="000080"/>
          <w:sz w:val="18"/>
        </w:rPr>
        <w:t>Tax benefit of options exercised</w:t>
      </w:r>
    </w:p>
    <w:p>
      <w:pPr>
        <w:spacing w:line="249" w:lineRule="auto" w:before="1"/>
        <w:ind w:left="459" w:right="6698" w:hanging="178"/>
        <w:jc w:val="left"/>
        <w:rPr>
          <w:b/>
          <w:sz w:val="18"/>
        </w:rPr>
      </w:pPr>
      <w:r>
        <w:rPr>
          <w:b/>
          <w:color w:val="000080"/>
          <w:sz w:val="18"/>
        </w:rPr>
        <w:t>Cash dividends, $.0283 per share</w:t>
      </w:r>
    </w:p>
    <w:p>
      <w:pPr>
        <w:spacing w:before="1"/>
        <w:ind w:left="282" w:right="0" w:firstLine="0"/>
        <w:jc w:val="left"/>
        <w:rPr>
          <w:b/>
          <w:sz w:val="18"/>
        </w:rPr>
      </w:pPr>
      <w:r>
        <w:rPr>
          <w:b/>
          <w:color w:val="000080"/>
          <w:sz w:val="18"/>
        </w:rPr>
        <w:t>Net income – 1998</w:t>
      </w:r>
    </w:p>
    <w:p>
      <w:pPr>
        <w:pStyle w:val="BodyText"/>
        <w:spacing w:before="6"/>
        <w:rPr>
          <w:b/>
          <w:sz w:val="19"/>
        </w:rPr>
      </w:pPr>
    </w:p>
    <w:p>
      <w:pPr>
        <w:spacing w:before="0"/>
        <w:ind w:left="100" w:right="0" w:firstLine="0"/>
        <w:jc w:val="left"/>
        <w:rPr>
          <w:b/>
          <w:sz w:val="18"/>
        </w:rPr>
      </w:pPr>
      <w:r>
        <w:rPr>
          <w:b/>
          <w:color w:val="000080"/>
          <w:sz w:val="18"/>
        </w:rPr>
        <w:t>Balance at December 31, 1998</w:t>
      </w:r>
    </w:p>
    <w:p>
      <w:pPr>
        <w:pStyle w:val="BodyText"/>
        <w:rPr>
          <w:b/>
          <w:sz w:val="20"/>
        </w:rPr>
      </w:pPr>
    </w:p>
    <w:p>
      <w:pPr>
        <w:pStyle w:val="BodyText"/>
        <w:spacing w:before="216"/>
        <w:ind w:left="100"/>
      </w:pPr>
      <w:r>
        <w:rPr/>
        <w:t>See accompanying notes.</w:t>
      </w:r>
    </w:p>
    <w:p>
      <w:pPr>
        <w:spacing w:after="0"/>
        <w:sectPr>
          <w:type w:val="continuous"/>
          <w:pgSz w:w="12240" w:h="15840"/>
          <w:pgMar w:top="1680" w:bottom="540" w:left="1340" w:right="1320"/>
        </w:sectPr>
      </w:pPr>
    </w:p>
    <w:p>
      <w:pPr>
        <w:pStyle w:val="BodyText"/>
        <w:rPr>
          <w:sz w:val="20"/>
        </w:rPr>
      </w:pPr>
    </w:p>
    <w:p>
      <w:pPr>
        <w:spacing w:after="0"/>
        <w:rPr>
          <w:sz w:val="20"/>
        </w:rPr>
        <w:sectPr>
          <w:pgSz w:w="12240" w:h="15840"/>
          <w:pgMar w:header="1448" w:footer="344" w:top="1700" w:bottom="540" w:left="1280" w:right="1320"/>
        </w:sectPr>
      </w:pPr>
    </w:p>
    <w:p>
      <w:pPr>
        <w:pStyle w:val="Heading4"/>
        <w:spacing w:before="214"/>
        <w:ind w:left="160"/>
      </w:pPr>
      <w:r>
        <w:rPr>
          <w:color w:val="808080"/>
        </w:rPr>
        <w:t>CONSOLIDATED STATEMENT OF CASH FLOWS</w:t>
      </w:r>
    </w:p>
    <w:p>
      <w:pPr>
        <w:pStyle w:val="BodyText"/>
        <w:rPr>
          <w:b/>
          <w:sz w:val="22"/>
        </w:rPr>
      </w:pPr>
      <w:r>
        <w:rPr/>
        <w:br w:type="column"/>
      </w:r>
      <w:r>
        <w:rPr>
          <w:b/>
          <w:sz w:val="22"/>
        </w:rPr>
      </w:r>
    </w:p>
    <w:p>
      <w:pPr>
        <w:pStyle w:val="BodyText"/>
        <w:spacing w:before="8"/>
        <w:rPr>
          <w:b/>
          <w:sz w:val="20"/>
        </w:rPr>
      </w:pPr>
    </w:p>
    <w:p>
      <w:pPr>
        <w:spacing w:before="0"/>
        <w:ind w:left="160" w:right="0" w:firstLine="0"/>
        <w:jc w:val="left"/>
        <w:rPr>
          <w:sz w:val="20"/>
        </w:rPr>
      </w:pPr>
      <w:r>
        <w:rPr>
          <w:sz w:val="20"/>
        </w:rPr>
        <w:t>YEARS ENDED DECEMBER 31,</w:t>
      </w:r>
    </w:p>
    <w:p>
      <w:pPr>
        <w:spacing w:after="0"/>
        <w:jc w:val="left"/>
        <w:rPr>
          <w:sz w:val="20"/>
        </w:rPr>
        <w:sectPr>
          <w:type w:val="continuous"/>
          <w:pgSz w:w="12240" w:h="15840"/>
          <w:pgMar w:top="1680" w:bottom="540" w:left="1280" w:right="1320"/>
          <w:cols w:num="2" w:equalWidth="0">
            <w:col w:w="5695" w:space="108"/>
            <w:col w:w="3837"/>
          </w:cols>
        </w:sectPr>
      </w:pPr>
    </w:p>
    <w:p>
      <w:pPr>
        <w:tabs>
          <w:tab w:pos="5862" w:val="left" w:leader="none"/>
          <w:tab w:pos="7239" w:val="left" w:leader="none"/>
          <w:tab w:pos="8607" w:val="left" w:leader="none"/>
        </w:tabs>
        <w:spacing w:before="0"/>
        <w:ind w:left="160" w:right="0" w:firstLine="0"/>
        <w:jc w:val="left"/>
        <w:rPr>
          <w:sz w:val="20"/>
        </w:rPr>
      </w:pPr>
      <w:r>
        <w:rPr>
          <w:sz w:val="20"/>
        </w:rPr>
        <w:t>(In</w:t>
      </w:r>
      <w:r>
        <w:rPr>
          <w:spacing w:val="-7"/>
          <w:sz w:val="20"/>
        </w:rPr>
        <w:t> </w:t>
      </w:r>
      <w:r>
        <w:rPr>
          <w:sz w:val="20"/>
        </w:rPr>
        <w:t>thousands)</w:t>
        <w:tab/>
      </w:r>
      <w:r>
        <w:rPr>
          <w:b/>
          <w:color w:val="000080"/>
          <w:spacing w:val="-3"/>
          <w:sz w:val="20"/>
        </w:rPr>
        <w:t>1998</w:t>
        <w:tab/>
      </w:r>
      <w:r>
        <w:rPr>
          <w:sz w:val="20"/>
        </w:rPr>
        <w:t>1997</w:t>
        <w:tab/>
        <w:t>1996</w:t>
      </w:r>
    </w:p>
    <w:p>
      <w:pPr>
        <w:spacing w:before="5"/>
        <w:ind w:left="160" w:right="0" w:firstLine="0"/>
        <w:jc w:val="left"/>
        <w:rPr>
          <w:b/>
          <w:sz w:val="20"/>
        </w:rPr>
      </w:pPr>
      <w:r>
        <w:rPr>
          <w:b/>
          <w:color w:val="000080"/>
          <w:sz w:val="20"/>
        </w:rPr>
        <w:t>CASH FLOWS FROM OPERATING ACTIVITIES:</w:t>
      </w:r>
    </w:p>
    <w:p>
      <w:pPr>
        <w:tabs>
          <w:tab w:pos="5847" w:val="left" w:leader="none"/>
          <w:tab w:pos="7196" w:val="left" w:leader="none"/>
          <w:tab w:pos="8583" w:val="left" w:leader="none"/>
        </w:tabs>
        <w:spacing w:before="5"/>
        <w:ind w:left="342" w:right="223" w:firstLine="0"/>
        <w:jc w:val="left"/>
        <w:rPr>
          <w:sz w:val="20"/>
        </w:rPr>
      </w:pPr>
      <w:r>
        <w:rPr>
          <w:sz w:val="20"/>
        </w:rPr>
        <w:t>Net</w:t>
      </w:r>
      <w:r>
        <w:rPr>
          <w:spacing w:val="4"/>
          <w:sz w:val="20"/>
        </w:rPr>
        <w:t> </w:t>
      </w:r>
      <w:r>
        <w:rPr>
          <w:sz w:val="20"/>
        </w:rPr>
        <w:t>income</w:t>
        <w:tab/>
      </w:r>
      <w:r>
        <w:rPr>
          <w:b/>
          <w:color w:val="000080"/>
          <w:sz w:val="20"/>
        </w:rPr>
        <w:t>$433,431</w:t>
        <w:tab/>
      </w:r>
      <w:r>
        <w:rPr>
          <w:sz w:val="20"/>
        </w:rPr>
        <w:t>$317,772</w:t>
        <w:tab/>
      </w:r>
      <w:r>
        <w:rPr>
          <w:spacing w:val="-2"/>
          <w:sz w:val="20"/>
        </w:rPr>
        <w:t>$207,337 </w:t>
      </w:r>
      <w:r>
        <w:rPr>
          <w:sz w:val="20"/>
        </w:rPr>
        <w:t>Adjustments to reconcile net income to net</w:t>
      </w:r>
      <w:r>
        <w:rPr>
          <w:spacing w:val="7"/>
          <w:sz w:val="20"/>
        </w:rPr>
        <w:t> </w:t>
      </w:r>
      <w:r>
        <w:rPr>
          <w:sz w:val="20"/>
        </w:rPr>
        <w:t>cash</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419"/>
        <w:gridCol w:w="1396"/>
        <w:gridCol w:w="1371"/>
        <w:gridCol w:w="1173"/>
      </w:tblGrid>
      <w:tr>
        <w:trPr>
          <w:trHeight w:val="226" w:hRule="exact"/>
        </w:trPr>
        <w:tc>
          <w:tcPr>
            <w:tcW w:w="5419" w:type="dxa"/>
          </w:tcPr>
          <w:p>
            <w:pPr>
              <w:pStyle w:val="TableParagraph"/>
              <w:spacing w:line="225" w:lineRule="exact"/>
              <w:ind w:left="410"/>
              <w:jc w:val="left"/>
              <w:rPr>
                <w:sz w:val="20"/>
              </w:rPr>
            </w:pPr>
            <w:r>
              <w:rPr>
                <w:sz w:val="20"/>
              </w:rPr>
              <w:t>provided by operating activities:</w:t>
            </w:r>
          </w:p>
        </w:tc>
        <w:tc>
          <w:tcPr>
            <w:tcW w:w="3940" w:type="dxa"/>
            <w:gridSpan w:val="3"/>
          </w:tcPr>
          <w:p>
            <w:pPr/>
          </w:p>
        </w:tc>
      </w:tr>
      <w:tr>
        <w:trPr>
          <w:trHeight w:val="233" w:hRule="exact"/>
        </w:trPr>
        <w:tc>
          <w:tcPr>
            <w:tcW w:w="5419" w:type="dxa"/>
          </w:tcPr>
          <w:p>
            <w:pPr>
              <w:pStyle w:val="TableParagraph"/>
              <w:spacing w:line="225" w:lineRule="exact"/>
              <w:ind w:left="592"/>
              <w:jc w:val="left"/>
              <w:rPr>
                <w:sz w:val="20"/>
              </w:rPr>
            </w:pPr>
            <w:r>
              <w:rPr>
                <w:sz w:val="20"/>
              </w:rPr>
              <w:t>Depreciation</w:t>
            </w:r>
          </w:p>
        </w:tc>
        <w:tc>
          <w:tcPr>
            <w:tcW w:w="1396" w:type="dxa"/>
          </w:tcPr>
          <w:p>
            <w:pPr>
              <w:pStyle w:val="TableParagraph"/>
              <w:spacing w:line="230" w:lineRule="exact"/>
              <w:ind w:right="246"/>
              <w:rPr>
                <w:b/>
                <w:sz w:val="20"/>
              </w:rPr>
            </w:pPr>
            <w:r>
              <w:rPr>
                <w:b/>
                <w:color w:val="000080"/>
                <w:sz w:val="20"/>
              </w:rPr>
              <w:t>225,212</w:t>
            </w:r>
          </w:p>
        </w:tc>
        <w:tc>
          <w:tcPr>
            <w:tcW w:w="1371" w:type="dxa"/>
          </w:tcPr>
          <w:p>
            <w:pPr>
              <w:pStyle w:val="TableParagraph"/>
              <w:spacing w:line="225" w:lineRule="exact"/>
              <w:ind w:right="266"/>
              <w:rPr>
                <w:sz w:val="20"/>
              </w:rPr>
            </w:pPr>
            <w:r>
              <w:rPr>
                <w:sz w:val="20"/>
              </w:rPr>
              <w:t>195,568</w:t>
            </w:r>
          </w:p>
        </w:tc>
        <w:tc>
          <w:tcPr>
            <w:tcW w:w="1173" w:type="dxa"/>
          </w:tcPr>
          <w:p>
            <w:pPr>
              <w:pStyle w:val="TableParagraph"/>
              <w:spacing w:line="225" w:lineRule="exact"/>
              <w:ind w:right="52"/>
              <w:rPr>
                <w:sz w:val="20"/>
              </w:rPr>
            </w:pPr>
            <w:r>
              <w:rPr>
                <w:sz w:val="20"/>
              </w:rPr>
              <w:t>183,470</w:t>
            </w:r>
          </w:p>
        </w:tc>
      </w:tr>
      <w:tr>
        <w:trPr>
          <w:trHeight w:val="235" w:hRule="exact"/>
        </w:trPr>
        <w:tc>
          <w:tcPr>
            <w:tcW w:w="5419" w:type="dxa"/>
          </w:tcPr>
          <w:p>
            <w:pPr>
              <w:pStyle w:val="TableParagraph"/>
              <w:spacing w:line="227" w:lineRule="exact"/>
              <w:ind w:left="592"/>
              <w:jc w:val="left"/>
              <w:rPr>
                <w:sz w:val="20"/>
              </w:rPr>
            </w:pPr>
            <w:r>
              <w:rPr>
                <w:sz w:val="20"/>
              </w:rPr>
              <w:t>Deferred income taxes</w:t>
            </w:r>
          </w:p>
        </w:tc>
        <w:tc>
          <w:tcPr>
            <w:tcW w:w="1396" w:type="dxa"/>
          </w:tcPr>
          <w:p>
            <w:pPr>
              <w:pStyle w:val="TableParagraph"/>
              <w:spacing w:before="2"/>
              <w:ind w:right="246"/>
              <w:rPr>
                <w:b/>
                <w:sz w:val="20"/>
              </w:rPr>
            </w:pPr>
            <w:r>
              <w:rPr>
                <w:b/>
                <w:color w:val="000080"/>
                <w:sz w:val="20"/>
              </w:rPr>
              <w:t>108,335</w:t>
            </w:r>
          </w:p>
        </w:tc>
        <w:tc>
          <w:tcPr>
            <w:tcW w:w="1371" w:type="dxa"/>
          </w:tcPr>
          <w:p>
            <w:pPr>
              <w:pStyle w:val="TableParagraph"/>
              <w:spacing w:line="227" w:lineRule="exact"/>
              <w:ind w:right="266"/>
              <w:rPr>
                <w:sz w:val="20"/>
              </w:rPr>
            </w:pPr>
            <w:r>
              <w:rPr>
                <w:sz w:val="20"/>
              </w:rPr>
              <w:t>81,711</w:t>
            </w:r>
          </w:p>
        </w:tc>
        <w:tc>
          <w:tcPr>
            <w:tcW w:w="1173" w:type="dxa"/>
          </w:tcPr>
          <w:p>
            <w:pPr>
              <w:pStyle w:val="TableParagraph"/>
              <w:spacing w:line="227" w:lineRule="exact"/>
              <w:ind w:right="52"/>
              <w:rPr>
                <w:sz w:val="20"/>
              </w:rPr>
            </w:pPr>
            <w:r>
              <w:rPr>
                <w:sz w:val="20"/>
              </w:rPr>
              <w:t>67,253</w:t>
            </w:r>
          </w:p>
        </w:tc>
      </w:tr>
      <w:tr>
        <w:trPr>
          <w:trHeight w:val="470" w:hRule="exact"/>
        </w:trPr>
        <w:tc>
          <w:tcPr>
            <w:tcW w:w="5419" w:type="dxa"/>
          </w:tcPr>
          <w:p>
            <w:pPr>
              <w:pStyle w:val="TableParagraph"/>
              <w:spacing w:line="226" w:lineRule="exact" w:before="4"/>
              <w:ind w:left="592" w:right="337"/>
              <w:jc w:val="left"/>
              <w:rPr>
                <w:sz w:val="20"/>
              </w:rPr>
            </w:pPr>
            <w:r>
              <w:rPr>
                <w:sz w:val="20"/>
              </w:rPr>
              <w:t>Amortization of deferred gains on sale and leaseback of aircraft</w:t>
            </w:r>
          </w:p>
        </w:tc>
        <w:tc>
          <w:tcPr>
            <w:tcW w:w="1396" w:type="dxa"/>
          </w:tcPr>
          <w:p>
            <w:pPr>
              <w:pStyle w:val="TableParagraph"/>
              <w:spacing w:before="7"/>
              <w:jc w:val="left"/>
              <w:rPr>
                <w:sz w:val="20"/>
              </w:rPr>
            </w:pPr>
          </w:p>
          <w:p>
            <w:pPr>
              <w:pStyle w:val="TableParagraph"/>
              <w:ind w:right="245"/>
              <w:rPr>
                <w:b/>
                <w:sz w:val="20"/>
              </w:rPr>
            </w:pPr>
            <w:r>
              <w:rPr>
                <w:b/>
                <w:color w:val="000080"/>
                <w:sz w:val="20"/>
              </w:rPr>
              <w:t>(15,251)</w:t>
            </w:r>
          </w:p>
        </w:tc>
        <w:tc>
          <w:tcPr>
            <w:tcW w:w="1371" w:type="dxa"/>
          </w:tcPr>
          <w:p>
            <w:pPr>
              <w:pStyle w:val="TableParagraph"/>
              <w:spacing w:before="4"/>
              <w:jc w:val="left"/>
              <w:rPr>
                <w:sz w:val="19"/>
              </w:rPr>
            </w:pPr>
          </w:p>
          <w:p>
            <w:pPr>
              <w:pStyle w:val="TableParagraph"/>
              <w:ind w:right="262"/>
              <w:rPr>
                <w:sz w:val="20"/>
              </w:rPr>
            </w:pPr>
            <w:r>
              <w:rPr>
                <w:sz w:val="20"/>
              </w:rPr>
              <w:t>(15,414)</w:t>
            </w:r>
          </w:p>
        </w:tc>
        <w:tc>
          <w:tcPr>
            <w:tcW w:w="1173" w:type="dxa"/>
          </w:tcPr>
          <w:p>
            <w:pPr>
              <w:pStyle w:val="TableParagraph"/>
              <w:spacing w:before="4"/>
              <w:jc w:val="left"/>
              <w:rPr>
                <w:sz w:val="19"/>
              </w:rPr>
            </w:pPr>
          </w:p>
          <w:p>
            <w:pPr>
              <w:pStyle w:val="TableParagraph"/>
              <w:ind w:right="48"/>
              <w:rPr>
                <w:sz w:val="20"/>
              </w:rPr>
            </w:pPr>
            <w:r>
              <w:rPr>
                <w:sz w:val="20"/>
              </w:rPr>
              <w:t>(18,263)</w:t>
            </w:r>
          </w:p>
        </w:tc>
      </w:tr>
      <w:tr>
        <w:trPr>
          <w:trHeight w:val="235" w:hRule="exact"/>
        </w:trPr>
        <w:tc>
          <w:tcPr>
            <w:tcW w:w="5419" w:type="dxa"/>
          </w:tcPr>
          <w:p>
            <w:pPr>
              <w:pStyle w:val="TableParagraph"/>
              <w:spacing w:line="227" w:lineRule="exact"/>
              <w:ind w:left="592"/>
              <w:jc w:val="left"/>
              <w:rPr>
                <w:sz w:val="20"/>
              </w:rPr>
            </w:pPr>
            <w:r>
              <w:rPr>
                <w:sz w:val="20"/>
              </w:rPr>
              <w:t>Amortization of scheduled airframe overhauls</w:t>
            </w:r>
          </w:p>
        </w:tc>
        <w:tc>
          <w:tcPr>
            <w:tcW w:w="1396" w:type="dxa"/>
          </w:tcPr>
          <w:p>
            <w:pPr>
              <w:pStyle w:val="TableParagraph"/>
              <w:spacing w:before="2"/>
              <w:ind w:right="246"/>
              <w:rPr>
                <w:b/>
                <w:sz w:val="20"/>
              </w:rPr>
            </w:pPr>
            <w:r>
              <w:rPr>
                <w:b/>
                <w:color w:val="000080"/>
                <w:sz w:val="20"/>
              </w:rPr>
              <w:t>22,763</w:t>
            </w:r>
          </w:p>
        </w:tc>
        <w:tc>
          <w:tcPr>
            <w:tcW w:w="1371" w:type="dxa"/>
          </w:tcPr>
          <w:p>
            <w:pPr>
              <w:pStyle w:val="TableParagraph"/>
              <w:spacing w:line="227" w:lineRule="exact"/>
              <w:ind w:right="266"/>
              <w:rPr>
                <w:sz w:val="20"/>
              </w:rPr>
            </w:pPr>
            <w:r>
              <w:rPr>
                <w:sz w:val="20"/>
              </w:rPr>
              <w:t>20,540</w:t>
            </w:r>
          </w:p>
        </w:tc>
        <w:tc>
          <w:tcPr>
            <w:tcW w:w="1173" w:type="dxa"/>
          </w:tcPr>
          <w:p>
            <w:pPr>
              <w:pStyle w:val="TableParagraph"/>
              <w:spacing w:line="227" w:lineRule="exact"/>
              <w:ind w:right="52"/>
              <w:rPr>
                <w:sz w:val="20"/>
              </w:rPr>
            </w:pPr>
            <w:r>
              <w:rPr>
                <w:sz w:val="20"/>
              </w:rPr>
              <w:t>20,539</w:t>
            </w:r>
          </w:p>
        </w:tc>
      </w:tr>
      <w:tr>
        <w:trPr>
          <w:trHeight w:val="233" w:hRule="exact"/>
        </w:trPr>
        <w:tc>
          <w:tcPr>
            <w:tcW w:w="5419" w:type="dxa"/>
          </w:tcPr>
          <w:p>
            <w:pPr>
              <w:pStyle w:val="TableParagraph"/>
              <w:spacing w:line="227" w:lineRule="exact"/>
              <w:ind w:left="592"/>
              <w:jc w:val="left"/>
              <w:rPr>
                <w:sz w:val="20"/>
              </w:rPr>
            </w:pPr>
            <w:r>
              <w:rPr>
                <w:sz w:val="20"/>
              </w:rPr>
              <w:t>Changes in certain assets and liabilities:</w:t>
            </w:r>
          </w:p>
        </w:tc>
        <w:tc>
          <w:tcPr>
            <w:tcW w:w="1396" w:type="dxa"/>
          </w:tcPr>
          <w:p>
            <w:pPr/>
          </w:p>
        </w:tc>
        <w:tc>
          <w:tcPr>
            <w:tcW w:w="1371" w:type="dxa"/>
          </w:tcPr>
          <w:p>
            <w:pPr/>
          </w:p>
        </w:tc>
        <w:tc>
          <w:tcPr>
            <w:tcW w:w="1173" w:type="dxa"/>
          </w:tcPr>
          <w:p>
            <w:pPr/>
          </w:p>
        </w:tc>
      </w:tr>
      <w:tr>
        <w:trPr>
          <w:trHeight w:val="238" w:hRule="exact"/>
        </w:trPr>
        <w:tc>
          <w:tcPr>
            <w:tcW w:w="5419" w:type="dxa"/>
          </w:tcPr>
          <w:p>
            <w:pPr>
              <w:pStyle w:val="TableParagraph"/>
              <w:ind w:left="770"/>
              <w:jc w:val="left"/>
              <w:rPr>
                <w:sz w:val="20"/>
              </w:rPr>
            </w:pPr>
            <w:r>
              <w:rPr>
                <w:sz w:val="20"/>
              </w:rPr>
              <w:t>Accounts receivable</w:t>
            </w:r>
          </w:p>
        </w:tc>
        <w:tc>
          <w:tcPr>
            <w:tcW w:w="1396" w:type="dxa"/>
          </w:tcPr>
          <w:p>
            <w:pPr>
              <w:pStyle w:val="TableParagraph"/>
              <w:spacing w:before="4"/>
              <w:ind w:right="245"/>
              <w:rPr>
                <w:b/>
                <w:sz w:val="20"/>
              </w:rPr>
            </w:pPr>
            <w:r>
              <w:rPr>
                <w:b/>
                <w:color w:val="000080"/>
                <w:sz w:val="20"/>
              </w:rPr>
              <w:t>(12,269)</w:t>
            </w:r>
          </w:p>
        </w:tc>
        <w:tc>
          <w:tcPr>
            <w:tcW w:w="1371" w:type="dxa"/>
          </w:tcPr>
          <w:p>
            <w:pPr>
              <w:pStyle w:val="TableParagraph"/>
              <w:ind w:right="263"/>
              <w:rPr>
                <w:sz w:val="20"/>
              </w:rPr>
            </w:pPr>
            <w:r>
              <w:rPr>
                <w:sz w:val="20"/>
              </w:rPr>
              <w:t>(3,090)</w:t>
            </w:r>
          </w:p>
        </w:tc>
        <w:tc>
          <w:tcPr>
            <w:tcW w:w="1173" w:type="dxa"/>
          </w:tcPr>
          <w:p>
            <w:pPr>
              <w:pStyle w:val="TableParagraph"/>
              <w:ind w:right="52"/>
              <w:rPr>
                <w:sz w:val="20"/>
              </w:rPr>
            </w:pPr>
            <w:r>
              <w:rPr>
                <w:sz w:val="20"/>
              </w:rPr>
              <w:t>6,341</w:t>
            </w:r>
          </w:p>
        </w:tc>
      </w:tr>
      <w:tr>
        <w:trPr>
          <w:trHeight w:val="235" w:hRule="exact"/>
        </w:trPr>
        <w:tc>
          <w:tcPr>
            <w:tcW w:w="5419" w:type="dxa"/>
          </w:tcPr>
          <w:p>
            <w:pPr>
              <w:pStyle w:val="TableParagraph"/>
              <w:spacing w:line="227" w:lineRule="exact"/>
              <w:ind w:left="770"/>
              <w:jc w:val="left"/>
              <w:rPr>
                <w:sz w:val="20"/>
              </w:rPr>
            </w:pPr>
            <w:r>
              <w:rPr>
                <w:sz w:val="20"/>
              </w:rPr>
              <w:t>Other current assets</w:t>
            </w:r>
          </w:p>
        </w:tc>
        <w:tc>
          <w:tcPr>
            <w:tcW w:w="1396" w:type="dxa"/>
          </w:tcPr>
          <w:p>
            <w:pPr>
              <w:pStyle w:val="TableParagraph"/>
              <w:spacing w:before="2"/>
              <w:ind w:right="246"/>
              <w:rPr>
                <w:b/>
                <w:sz w:val="20"/>
              </w:rPr>
            </w:pPr>
            <w:r>
              <w:rPr>
                <w:b/>
                <w:color w:val="000080"/>
                <w:sz w:val="20"/>
              </w:rPr>
              <w:t>1,589</w:t>
            </w:r>
          </w:p>
        </w:tc>
        <w:tc>
          <w:tcPr>
            <w:tcW w:w="1371" w:type="dxa"/>
          </w:tcPr>
          <w:p>
            <w:pPr>
              <w:pStyle w:val="TableParagraph"/>
              <w:spacing w:line="227" w:lineRule="exact"/>
              <w:ind w:right="266"/>
              <w:rPr>
                <w:sz w:val="20"/>
              </w:rPr>
            </w:pPr>
            <w:r>
              <w:rPr>
                <w:sz w:val="20"/>
              </w:rPr>
              <w:t>6,243</w:t>
            </w:r>
          </w:p>
        </w:tc>
        <w:tc>
          <w:tcPr>
            <w:tcW w:w="1173" w:type="dxa"/>
          </w:tcPr>
          <w:p>
            <w:pPr>
              <w:pStyle w:val="TableParagraph"/>
              <w:spacing w:line="227" w:lineRule="exact"/>
              <w:ind w:right="48"/>
              <w:rPr>
                <w:sz w:val="20"/>
              </w:rPr>
            </w:pPr>
            <w:r>
              <w:rPr>
                <w:sz w:val="20"/>
              </w:rPr>
              <w:t>(19,534)</w:t>
            </w:r>
          </w:p>
        </w:tc>
      </w:tr>
      <w:tr>
        <w:trPr>
          <w:trHeight w:val="235" w:hRule="exact"/>
        </w:trPr>
        <w:tc>
          <w:tcPr>
            <w:tcW w:w="5419" w:type="dxa"/>
          </w:tcPr>
          <w:p>
            <w:pPr>
              <w:pStyle w:val="TableParagraph"/>
              <w:spacing w:line="227" w:lineRule="exact"/>
              <w:ind w:left="770"/>
              <w:jc w:val="left"/>
              <w:rPr>
                <w:sz w:val="20"/>
              </w:rPr>
            </w:pPr>
            <w:r>
              <w:rPr>
                <w:sz w:val="20"/>
              </w:rPr>
              <w:t>Accounts  payable and accrued liabilities</w:t>
            </w:r>
          </w:p>
        </w:tc>
        <w:tc>
          <w:tcPr>
            <w:tcW w:w="1396" w:type="dxa"/>
          </w:tcPr>
          <w:p>
            <w:pPr>
              <w:pStyle w:val="TableParagraph"/>
              <w:spacing w:before="2"/>
              <w:ind w:right="246"/>
              <w:rPr>
                <w:b/>
                <w:sz w:val="20"/>
              </w:rPr>
            </w:pPr>
            <w:r>
              <w:rPr>
                <w:b/>
                <w:color w:val="000080"/>
                <w:sz w:val="20"/>
              </w:rPr>
              <w:t>53,194</w:t>
            </w:r>
          </w:p>
        </w:tc>
        <w:tc>
          <w:tcPr>
            <w:tcW w:w="1371" w:type="dxa"/>
          </w:tcPr>
          <w:p>
            <w:pPr>
              <w:pStyle w:val="TableParagraph"/>
              <w:spacing w:line="227" w:lineRule="exact"/>
              <w:ind w:right="266"/>
              <w:rPr>
                <w:sz w:val="20"/>
              </w:rPr>
            </w:pPr>
            <w:r>
              <w:rPr>
                <w:sz w:val="20"/>
              </w:rPr>
              <w:t>8,751</w:t>
            </w:r>
          </w:p>
        </w:tc>
        <w:tc>
          <w:tcPr>
            <w:tcW w:w="1173" w:type="dxa"/>
          </w:tcPr>
          <w:p>
            <w:pPr>
              <w:pStyle w:val="TableParagraph"/>
              <w:spacing w:line="227" w:lineRule="exact"/>
              <w:ind w:right="52"/>
              <w:rPr>
                <w:sz w:val="20"/>
              </w:rPr>
            </w:pPr>
            <w:r>
              <w:rPr>
                <w:sz w:val="20"/>
              </w:rPr>
              <w:t>132,096</w:t>
            </w:r>
          </w:p>
        </w:tc>
      </w:tr>
      <w:tr>
        <w:trPr>
          <w:trHeight w:val="235" w:hRule="exact"/>
        </w:trPr>
        <w:tc>
          <w:tcPr>
            <w:tcW w:w="5419" w:type="dxa"/>
          </w:tcPr>
          <w:p>
            <w:pPr>
              <w:pStyle w:val="TableParagraph"/>
              <w:spacing w:line="227" w:lineRule="exact"/>
              <w:ind w:left="770"/>
              <w:jc w:val="left"/>
              <w:rPr>
                <w:sz w:val="20"/>
              </w:rPr>
            </w:pPr>
            <w:r>
              <w:rPr>
                <w:sz w:val="20"/>
              </w:rPr>
              <w:t>Air traffic liability</w:t>
            </w:r>
          </w:p>
        </w:tc>
        <w:tc>
          <w:tcPr>
            <w:tcW w:w="1396" w:type="dxa"/>
          </w:tcPr>
          <w:p>
            <w:pPr>
              <w:pStyle w:val="TableParagraph"/>
              <w:spacing w:before="2"/>
              <w:ind w:right="246"/>
              <w:rPr>
                <w:b/>
                <w:sz w:val="20"/>
              </w:rPr>
            </w:pPr>
            <w:r>
              <w:rPr>
                <w:b/>
                <w:color w:val="000080"/>
                <w:sz w:val="20"/>
              </w:rPr>
              <w:t>46,737</w:t>
            </w:r>
          </w:p>
        </w:tc>
        <w:tc>
          <w:tcPr>
            <w:tcW w:w="1371" w:type="dxa"/>
          </w:tcPr>
          <w:p>
            <w:pPr>
              <w:pStyle w:val="TableParagraph"/>
              <w:spacing w:line="227" w:lineRule="exact"/>
              <w:ind w:right="263"/>
              <w:rPr>
                <w:sz w:val="20"/>
              </w:rPr>
            </w:pPr>
            <w:r>
              <w:rPr>
                <w:sz w:val="20"/>
              </w:rPr>
              <w:t>(4,757)</w:t>
            </w:r>
          </w:p>
        </w:tc>
        <w:tc>
          <w:tcPr>
            <w:tcW w:w="1173" w:type="dxa"/>
          </w:tcPr>
          <w:p>
            <w:pPr>
              <w:pStyle w:val="TableParagraph"/>
              <w:spacing w:line="227" w:lineRule="exact"/>
              <w:ind w:right="52"/>
              <w:rPr>
                <w:sz w:val="20"/>
              </w:rPr>
            </w:pPr>
            <w:r>
              <w:rPr>
                <w:sz w:val="20"/>
              </w:rPr>
              <w:t>26,942</w:t>
            </w:r>
          </w:p>
        </w:tc>
      </w:tr>
      <w:tr>
        <w:trPr>
          <w:trHeight w:val="235" w:hRule="exact"/>
        </w:trPr>
        <w:tc>
          <w:tcPr>
            <w:tcW w:w="5419" w:type="dxa"/>
          </w:tcPr>
          <w:p>
            <w:pPr>
              <w:pStyle w:val="TableParagraph"/>
              <w:spacing w:line="227" w:lineRule="exact"/>
              <w:ind w:left="770"/>
              <w:jc w:val="left"/>
              <w:rPr>
                <w:sz w:val="20"/>
              </w:rPr>
            </w:pPr>
            <w:r>
              <w:rPr>
                <w:sz w:val="20"/>
              </w:rPr>
              <w:t>Other current liabilities</w:t>
            </w:r>
          </w:p>
        </w:tc>
        <w:tc>
          <w:tcPr>
            <w:tcW w:w="1396" w:type="dxa"/>
          </w:tcPr>
          <w:p>
            <w:pPr>
              <w:pStyle w:val="TableParagraph"/>
              <w:spacing w:before="2"/>
              <w:ind w:right="246"/>
              <w:rPr>
                <w:b/>
                <w:sz w:val="20"/>
              </w:rPr>
            </w:pPr>
            <w:r>
              <w:rPr>
                <w:b/>
                <w:color w:val="000080"/>
                <w:sz w:val="20"/>
              </w:rPr>
              <w:t>19,293</w:t>
            </w:r>
          </w:p>
        </w:tc>
        <w:tc>
          <w:tcPr>
            <w:tcW w:w="1371" w:type="dxa"/>
          </w:tcPr>
          <w:p>
            <w:pPr>
              <w:pStyle w:val="TableParagraph"/>
              <w:spacing w:line="227" w:lineRule="exact"/>
              <w:ind w:right="263"/>
              <w:rPr>
                <w:sz w:val="20"/>
              </w:rPr>
            </w:pPr>
            <w:r>
              <w:rPr>
                <w:sz w:val="20"/>
              </w:rPr>
              <w:t>(4,204)</w:t>
            </w:r>
          </w:p>
        </w:tc>
        <w:tc>
          <w:tcPr>
            <w:tcW w:w="1173" w:type="dxa"/>
          </w:tcPr>
          <w:p>
            <w:pPr>
              <w:pStyle w:val="TableParagraph"/>
              <w:spacing w:line="227" w:lineRule="exact"/>
              <w:ind w:right="52"/>
              <w:rPr>
                <w:sz w:val="20"/>
              </w:rPr>
            </w:pPr>
            <w:r>
              <w:rPr>
                <w:sz w:val="20"/>
              </w:rPr>
              <w:t>5,334</w:t>
            </w:r>
          </w:p>
        </w:tc>
      </w:tr>
      <w:tr>
        <w:trPr>
          <w:trHeight w:val="235" w:hRule="exact"/>
        </w:trPr>
        <w:tc>
          <w:tcPr>
            <w:tcW w:w="5419" w:type="dxa"/>
          </w:tcPr>
          <w:p>
            <w:pPr>
              <w:pStyle w:val="TableParagraph"/>
              <w:spacing w:line="227" w:lineRule="exact"/>
              <w:ind w:left="592"/>
              <w:jc w:val="left"/>
              <w:rPr>
                <w:sz w:val="20"/>
              </w:rPr>
            </w:pPr>
            <w:r>
              <w:rPr>
                <w:sz w:val="20"/>
              </w:rPr>
              <w:t>Other</w:t>
            </w:r>
          </w:p>
        </w:tc>
        <w:tc>
          <w:tcPr>
            <w:tcW w:w="1396" w:type="dxa"/>
          </w:tcPr>
          <w:p>
            <w:pPr>
              <w:pStyle w:val="TableParagraph"/>
              <w:spacing w:before="2"/>
              <w:ind w:right="246"/>
              <w:rPr>
                <w:b/>
                <w:sz w:val="20"/>
              </w:rPr>
            </w:pPr>
            <w:r>
              <w:rPr>
                <w:b/>
                <w:color w:val="000080"/>
                <w:sz w:val="20"/>
                <w:u w:val="single" w:color="000080"/>
              </w:rPr>
              <w:t>3,101</w:t>
            </w:r>
          </w:p>
        </w:tc>
        <w:tc>
          <w:tcPr>
            <w:tcW w:w="1371" w:type="dxa"/>
          </w:tcPr>
          <w:p>
            <w:pPr>
              <w:pStyle w:val="TableParagraph"/>
              <w:spacing w:line="227" w:lineRule="exact"/>
              <w:ind w:right="266"/>
              <w:rPr>
                <w:sz w:val="20"/>
              </w:rPr>
            </w:pPr>
            <w:r>
              <w:rPr>
                <w:sz w:val="20"/>
                <w:u w:val="single"/>
              </w:rPr>
              <w:t>7,468</w:t>
            </w:r>
          </w:p>
        </w:tc>
        <w:tc>
          <w:tcPr>
            <w:tcW w:w="1173" w:type="dxa"/>
          </w:tcPr>
          <w:p>
            <w:pPr>
              <w:pStyle w:val="TableParagraph"/>
              <w:spacing w:line="227" w:lineRule="exact"/>
              <w:ind w:right="52"/>
              <w:rPr>
                <w:sz w:val="20"/>
              </w:rPr>
            </w:pPr>
            <w:r>
              <w:rPr>
                <w:sz w:val="20"/>
                <w:u w:val="single"/>
              </w:rPr>
              <w:t>3,713</w:t>
            </w:r>
          </w:p>
        </w:tc>
      </w:tr>
      <w:tr>
        <w:trPr>
          <w:trHeight w:val="355" w:hRule="exact"/>
        </w:trPr>
        <w:tc>
          <w:tcPr>
            <w:tcW w:w="5419" w:type="dxa"/>
          </w:tcPr>
          <w:p>
            <w:pPr>
              <w:pStyle w:val="TableParagraph"/>
              <w:spacing w:line="227" w:lineRule="exact"/>
              <w:ind w:left="770"/>
              <w:jc w:val="left"/>
              <w:rPr>
                <w:sz w:val="20"/>
              </w:rPr>
            </w:pPr>
            <w:r>
              <w:rPr>
                <w:sz w:val="20"/>
              </w:rPr>
              <w:t>Net cash provided by operating activities</w:t>
            </w:r>
          </w:p>
        </w:tc>
        <w:tc>
          <w:tcPr>
            <w:tcW w:w="1396" w:type="dxa"/>
          </w:tcPr>
          <w:p>
            <w:pPr>
              <w:pStyle w:val="TableParagraph"/>
              <w:spacing w:before="2"/>
              <w:ind w:right="246"/>
              <w:rPr>
                <w:b/>
                <w:sz w:val="20"/>
              </w:rPr>
            </w:pPr>
            <w:r>
              <w:rPr>
                <w:b/>
                <w:color w:val="000080"/>
                <w:sz w:val="20"/>
              </w:rPr>
              <w:t>886,135</w:t>
            </w:r>
          </w:p>
        </w:tc>
        <w:tc>
          <w:tcPr>
            <w:tcW w:w="1371" w:type="dxa"/>
          </w:tcPr>
          <w:p>
            <w:pPr>
              <w:pStyle w:val="TableParagraph"/>
              <w:spacing w:line="227" w:lineRule="exact"/>
              <w:ind w:right="266"/>
              <w:rPr>
                <w:sz w:val="20"/>
              </w:rPr>
            </w:pPr>
            <w:r>
              <w:rPr>
                <w:sz w:val="20"/>
              </w:rPr>
              <w:t>610,588</w:t>
            </w:r>
          </w:p>
        </w:tc>
        <w:tc>
          <w:tcPr>
            <w:tcW w:w="1173" w:type="dxa"/>
          </w:tcPr>
          <w:p>
            <w:pPr>
              <w:pStyle w:val="TableParagraph"/>
              <w:spacing w:line="227" w:lineRule="exact"/>
              <w:ind w:right="52"/>
              <w:rPr>
                <w:sz w:val="20"/>
              </w:rPr>
            </w:pPr>
            <w:r>
              <w:rPr>
                <w:sz w:val="20"/>
              </w:rPr>
              <w:t>615,228</w:t>
            </w:r>
          </w:p>
        </w:tc>
      </w:tr>
      <w:tr>
        <w:trPr>
          <w:trHeight w:val="350" w:hRule="exact"/>
        </w:trPr>
        <w:tc>
          <w:tcPr>
            <w:tcW w:w="5419" w:type="dxa"/>
          </w:tcPr>
          <w:p>
            <w:pPr>
              <w:pStyle w:val="TableParagraph"/>
              <w:spacing w:before="117"/>
              <w:ind w:left="50"/>
              <w:jc w:val="left"/>
              <w:rPr>
                <w:b/>
                <w:sz w:val="20"/>
              </w:rPr>
            </w:pPr>
            <w:r>
              <w:rPr>
                <w:b/>
                <w:color w:val="000080"/>
                <w:sz w:val="20"/>
              </w:rPr>
              <w:t>CASH FLOWS FROM INVESTING ACTIVITIES:</w:t>
            </w:r>
          </w:p>
        </w:tc>
        <w:tc>
          <w:tcPr>
            <w:tcW w:w="1396" w:type="dxa"/>
          </w:tcPr>
          <w:p>
            <w:pPr/>
          </w:p>
        </w:tc>
        <w:tc>
          <w:tcPr>
            <w:tcW w:w="1371" w:type="dxa"/>
          </w:tcPr>
          <w:p>
            <w:pPr/>
          </w:p>
        </w:tc>
        <w:tc>
          <w:tcPr>
            <w:tcW w:w="1173" w:type="dxa"/>
          </w:tcPr>
          <w:p>
            <w:pPr/>
          </w:p>
        </w:tc>
      </w:tr>
      <w:tr>
        <w:trPr>
          <w:trHeight w:val="235" w:hRule="exact"/>
        </w:trPr>
        <w:tc>
          <w:tcPr>
            <w:tcW w:w="5419" w:type="dxa"/>
          </w:tcPr>
          <w:p>
            <w:pPr>
              <w:pStyle w:val="TableParagraph"/>
              <w:spacing w:line="227" w:lineRule="exact"/>
              <w:ind w:left="232"/>
              <w:jc w:val="left"/>
              <w:rPr>
                <w:sz w:val="20"/>
              </w:rPr>
            </w:pPr>
            <w:r>
              <w:rPr>
                <w:sz w:val="20"/>
              </w:rPr>
              <w:t>Purchases  of property and equipment</w:t>
            </w:r>
          </w:p>
        </w:tc>
        <w:tc>
          <w:tcPr>
            <w:tcW w:w="1396" w:type="dxa"/>
          </w:tcPr>
          <w:p>
            <w:pPr>
              <w:pStyle w:val="TableParagraph"/>
              <w:spacing w:before="2"/>
              <w:ind w:right="246"/>
              <w:rPr>
                <w:b/>
                <w:sz w:val="20"/>
              </w:rPr>
            </w:pPr>
            <w:r>
              <w:rPr>
                <w:b/>
                <w:color w:val="000080"/>
                <w:sz w:val="20"/>
                <w:u w:val="single" w:color="000080"/>
              </w:rPr>
              <w:t>(947,096)</w:t>
            </w:r>
          </w:p>
        </w:tc>
        <w:tc>
          <w:tcPr>
            <w:tcW w:w="1371" w:type="dxa"/>
          </w:tcPr>
          <w:p>
            <w:pPr>
              <w:pStyle w:val="TableParagraph"/>
              <w:spacing w:line="227" w:lineRule="exact"/>
              <w:ind w:right="262"/>
              <w:rPr>
                <w:sz w:val="20"/>
              </w:rPr>
            </w:pPr>
            <w:r>
              <w:rPr>
                <w:sz w:val="20"/>
                <w:u w:val="single"/>
              </w:rPr>
              <w:t>(688,927)</w:t>
            </w:r>
          </w:p>
        </w:tc>
        <w:tc>
          <w:tcPr>
            <w:tcW w:w="1173" w:type="dxa"/>
          </w:tcPr>
          <w:p>
            <w:pPr>
              <w:pStyle w:val="TableParagraph"/>
              <w:spacing w:line="227" w:lineRule="exact"/>
              <w:ind w:right="48"/>
              <w:rPr>
                <w:sz w:val="20"/>
              </w:rPr>
            </w:pPr>
            <w:r>
              <w:rPr>
                <w:sz w:val="20"/>
                <w:u w:val="single"/>
              </w:rPr>
              <w:t>(677,431)</w:t>
            </w:r>
          </w:p>
        </w:tc>
      </w:tr>
      <w:tr>
        <w:trPr>
          <w:trHeight w:val="233" w:hRule="exact"/>
        </w:trPr>
        <w:tc>
          <w:tcPr>
            <w:tcW w:w="5419" w:type="dxa"/>
          </w:tcPr>
          <w:p>
            <w:pPr>
              <w:pStyle w:val="TableParagraph"/>
              <w:spacing w:line="227" w:lineRule="exact"/>
              <w:ind w:left="770"/>
              <w:jc w:val="left"/>
              <w:rPr>
                <w:sz w:val="20"/>
              </w:rPr>
            </w:pPr>
            <w:r>
              <w:rPr>
                <w:sz w:val="20"/>
              </w:rPr>
              <w:t>Net cash used in investing activities</w:t>
            </w:r>
          </w:p>
        </w:tc>
        <w:tc>
          <w:tcPr>
            <w:tcW w:w="1396" w:type="dxa"/>
          </w:tcPr>
          <w:p>
            <w:pPr>
              <w:pStyle w:val="TableParagraph"/>
              <w:spacing w:before="2"/>
              <w:ind w:right="246"/>
              <w:rPr>
                <w:b/>
                <w:sz w:val="20"/>
              </w:rPr>
            </w:pPr>
            <w:r>
              <w:rPr>
                <w:b/>
                <w:color w:val="000080"/>
                <w:sz w:val="20"/>
              </w:rPr>
              <w:t>(947,096)</w:t>
            </w:r>
          </w:p>
        </w:tc>
        <w:tc>
          <w:tcPr>
            <w:tcW w:w="1371" w:type="dxa"/>
          </w:tcPr>
          <w:p>
            <w:pPr>
              <w:pStyle w:val="TableParagraph"/>
              <w:spacing w:line="227" w:lineRule="exact"/>
              <w:ind w:right="262"/>
              <w:rPr>
                <w:sz w:val="20"/>
              </w:rPr>
            </w:pPr>
            <w:r>
              <w:rPr>
                <w:sz w:val="20"/>
              </w:rPr>
              <w:t>(688,927)</w:t>
            </w:r>
          </w:p>
        </w:tc>
        <w:tc>
          <w:tcPr>
            <w:tcW w:w="1173" w:type="dxa"/>
          </w:tcPr>
          <w:p>
            <w:pPr>
              <w:pStyle w:val="TableParagraph"/>
              <w:spacing w:line="227" w:lineRule="exact"/>
              <w:ind w:right="48"/>
              <w:rPr>
                <w:sz w:val="20"/>
              </w:rPr>
            </w:pPr>
            <w:r>
              <w:rPr>
                <w:sz w:val="20"/>
              </w:rPr>
              <w:t>(677,431)</w:t>
            </w:r>
          </w:p>
        </w:tc>
      </w:tr>
      <w:tr>
        <w:trPr>
          <w:trHeight w:val="470" w:hRule="exact"/>
        </w:trPr>
        <w:tc>
          <w:tcPr>
            <w:tcW w:w="5419" w:type="dxa"/>
          </w:tcPr>
          <w:p>
            <w:pPr>
              <w:pStyle w:val="TableParagraph"/>
              <w:spacing w:before="10"/>
              <w:jc w:val="left"/>
              <w:rPr>
                <w:sz w:val="20"/>
              </w:rPr>
            </w:pPr>
          </w:p>
          <w:p>
            <w:pPr>
              <w:pStyle w:val="TableParagraph"/>
              <w:ind w:left="50"/>
              <w:jc w:val="left"/>
              <w:rPr>
                <w:b/>
                <w:sz w:val="20"/>
              </w:rPr>
            </w:pPr>
            <w:r>
              <w:rPr>
                <w:b/>
                <w:color w:val="000080"/>
                <w:sz w:val="20"/>
              </w:rPr>
              <w:t>CASH FLOWS FROM FINANCING ACTIVITIES:</w:t>
            </w:r>
          </w:p>
        </w:tc>
        <w:tc>
          <w:tcPr>
            <w:tcW w:w="1396" w:type="dxa"/>
          </w:tcPr>
          <w:p>
            <w:pPr/>
          </w:p>
        </w:tc>
        <w:tc>
          <w:tcPr>
            <w:tcW w:w="1371" w:type="dxa"/>
          </w:tcPr>
          <w:p>
            <w:pPr/>
          </w:p>
        </w:tc>
        <w:tc>
          <w:tcPr>
            <w:tcW w:w="1173" w:type="dxa"/>
          </w:tcPr>
          <w:p>
            <w:pPr/>
          </w:p>
        </w:tc>
      </w:tr>
      <w:tr>
        <w:trPr>
          <w:trHeight w:val="238" w:hRule="exact"/>
        </w:trPr>
        <w:tc>
          <w:tcPr>
            <w:tcW w:w="5419" w:type="dxa"/>
          </w:tcPr>
          <w:p>
            <w:pPr>
              <w:pStyle w:val="TableParagraph"/>
              <w:spacing w:line="225" w:lineRule="exact"/>
              <w:ind w:left="232"/>
              <w:jc w:val="left"/>
              <w:rPr>
                <w:sz w:val="20"/>
              </w:rPr>
            </w:pPr>
            <w:r>
              <w:rPr>
                <w:sz w:val="20"/>
              </w:rPr>
              <w:t>Issuance of long-term debt</w:t>
            </w:r>
          </w:p>
        </w:tc>
        <w:tc>
          <w:tcPr>
            <w:tcW w:w="2767" w:type="dxa"/>
            <w:gridSpan w:val="2"/>
          </w:tcPr>
          <w:p>
            <w:pPr>
              <w:pStyle w:val="TableParagraph"/>
              <w:tabs>
                <w:tab w:pos="1888" w:val="left" w:leader="none"/>
              </w:tabs>
              <w:spacing w:line="230" w:lineRule="exact"/>
              <w:ind w:left="1081"/>
              <w:jc w:val="left"/>
              <w:rPr>
                <w:sz w:val="20"/>
              </w:rPr>
            </w:pPr>
            <w:r>
              <w:rPr>
                <w:b/>
                <w:color w:val="000080"/>
                <w:sz w:val="20"/>
              </w:rPr>
              <w:t>-</w:t>
              <w:tab/>
            </w:r>
            <w:r>
              <w:rPr>
                <w:spacing w:val="-2"/>
                <w:sz w:val="20"/>
              </w:rPr>
              <w:t>98,764</w:t>
            </w:r>
          </w:p>
        </w:tc>
        <w:tc>
          <w:tcPr>
            <w:tcW w:w="1173" w:type="dxa"/>
          </w:tcPr>
          <w:p>
            <w:pPr>
              <w:pStyle w:val="TableParagraph"/>
              <w:spacing w:line="225" w:lineRule="exact"/>
              <w:ind w:right="52"/>
              <w:rPr>
                <w:sz w:val="20"/>
              </w:rPr>
            </w:pPr>
            <w:r>
              <w:rPr>
                <w:w w:val="100"/>
                <w:sz w:val="20"/>
              </w:rPr>
              <w:t>-</w:t>
            </w:r>
          </w:p>
        </w:tc>
      </w:tr>
      <w:tr>
        <w:trPr>
          <w:trHeight w:val="470" w:hRule="exact"/>
        </w:trPr>
        <w:tc>
          <w:tcPr>
            <w:tcW w:w="5419" w:type="dxa"/>
          </w:tcPr>
          <w:p>
            <w:pPr>
              <w:pStyle w:val="TableParagraph"/>
              <w:spacing w:line="227" w:lineRule="exact"/>
              <w:ind w:left="232"/>
              <w:jc w:val="left"/>
              <w:rPr>
                <w:sz w:val="20"/>
              </w:rPr>
            </w:pPr>
            <w:r>
              <w:rPr>
                <w:sz w:val="20"/>
              </w:rPr>
              <w:t>Proceeds  from aircraft sale and leaseback transactions</w:t>
            </w:r>
          </w:p>
        </w:tc>
        <w:tc>
          <w:tcPr>
            <w:tcW w:w="2767" w:type="dxa"/>
            <w:gridSpan w:val="2"/>
          </w:tcPr>
          <w:p>
            <w:pPr>
              <w:pStyle w:val="TableParagraph"/>
              <w:spacing w:before="9"/>
              <w:jc w:val="left"/>
              <w:rPr>
                <w:sz w:val="19"/>
              </w:rPr>
            </w:pPr>
          </w:p>
          <w:p>
            <w:pPr>
              <w:pStyle w:val="TableParagraph"/>
              <w:tabs>
                <w:tab w:pos="2430" w:val="left" w:leader="none"/>
              </w:tabs>
              <w:ind w:left="1081"/>
              <w:jc w:val="left"/>
              <w:rPr>
                <w:sz w:val="20"/>
              </w:rPr>
            </w:pPr>
            <w:r>
              <w:rPr>
                <w:b/>
                <w:color w:val="000080"/>
                <w:sz w:val="20"/>
              </w:rPr>
              <w:t>-</w:t>
              <w:tab/>
            </w:r>
            <w:r>
              <w:rPr>
                <w:position w:val="1"/>
                <w:sz w:val="20"/>
              </w:rPr>
              <w:t>-</w:t>
            </w:r>
          </w:p>
        </w:tc>
        <w:tc>
          <w:tcPr>
            <w:tcW w:w="1173" w:type="dxa"/>
          </w:tcPr>
          <w:p>
            <w:pPr>
              <w:pStyle w:val="TableParagraph"/>
              <w:spacing w:before="4"/>
              <w:jc w:val="left"/>
              <w:rPr>
                <w:sz w:val="19"/>
              </w:rPr>
            </w:pPr>
          </w:p>
          <w:p>
            <w:pPr>
              <w:pStyle w:val="TableParagraph"/>
              <w:ind w:right="52"/>
              <w:rPr>
                <w:sz w:val="20"/>
              </w:rPr>
            </w:pPr>
            <w:r>
              <w:rPr>
                <w:sz w:val="20"/>
              </w:rPr>
              <w:t>330,000</w:t>
            </w:r>
          </w:p>
        </w:tc>
      </w:tr>
      <w:tr>
        <w:trPr>
          <w:trHeight w:val="470" w:hRule="exact"/>
        </w:trPr>
        <w:tc>
          <w:tcPr>
            <w:tcW w:w="5419" w:type="dxa"/>
          </w:tcPr>
          <w:p>
            <w:pPr>
              <w:pStyle w:val="TableParagraph"/>
              <w:spacing w:line="226" w:lineRule="exact" w:before="4"/>
              <w:ind w:left="410" w:right="337" w:hanging="178"/>
              <w:jc w:val="left"/>
              <w:rPr>
                <w:sz w:val="20"/>
              </w:rPr>
            </w:pPr>
            <w:r>
              <w:rPr>
                <w:sz w:val="20"/>
              </w:rPr>
              <w:t>Payment of long-term debt and capital lease obligations</w:t>
            </w:r>
          </w:p>
        </w:tc>
        <w:tc>
          <w:tcPr>
            <w:tcW w:w="2767" w:type="dxa"/>
            <w:gridSpan w:val="2"/>
          </w:tcPr>
          <w:p>
            <w:pPr>
              <w:pStyle w:val="TableParagraph"/>
              <w:spacing w:before="9"/>
              <w:jc w:val="left"/>
              <w:rPr>
                <w:sz w:val="19"/>
              </w:rPr>
            </w:pPr>
          </w:p>
          <w:p>
            <w:pPr>
              <w:pStyle w:val="TableParagraph"/>
              <w:tabs>
                <w:tab w:pos="1753" w:val="left" w:leader="none"/>
              </w:tabs>
              <w:ind w:left="294"/>
              <w:jc w:val="left"/>
              <w:rPr>
                <w:sz w:val="20"/>
              </w:rPr>
            </w:pPr>
            <w:r>
              <w:rPr>
                <w:b/>
                <w:color w:val="000080"/>
                <w:sz w:val="20"/>
              </w:rPr>
              <w:t>(118,859)</w:t>
              <w:tab/>
            </w:r>
            <w:r>
              <w:rPr>
                <w:position w:val="1"/>
                <w:sz w:val="20"/>
              </w:rPr>
              <w:t>(12,665)</w:t>
            </w:r>
          </w:p>
        </w:tc>
        <w:tc>
          <w:tcPr>
            <w:tcW w:w="1173" w:type="dxa"/>
          </w:tcPr>
          <w:p>
            <w:pPr>
              <w:pStyle w:val="TableParagraph"/>
              <w:spacing w:before="4"/>
              <w:jc w:val="left"/>
              <w:rPr>
                <w:sz w:val="19"/>
              </w:rPr>
            </w:pPr>
          </w:p>
          <w:p>
            <w:pPr>
              <w:pStyle w:val="TableParagraph"/>
              <w:ind w:right="48"/>
              <w:rPr>
                <w:sz w:val="20"/>
              </w:rPr>
            </w:pPr>
            <w:r>
              <w:rPr>
                <w:sz w:val="20"/>
              </w:rPr>
              <w:t>(12,695)</w:t>
            </w:r>
          </w:p>
        </w:tc>
      </w:tr>
      <w:tr>
        <w:trPr>
          <w:trHeight w:val="235" w:hRule="exact"/>
        </w:trPr>
        <w:tc>
          <w:tcPr>
            <w:tcW w:w="5419" w:type="dxa"/>
          </w:tcPr>
          <w:p>
            <w:pPr>
              <w:pStyle w:val="TableParagraph"/>
              <w:spacing w:line="227" w:lineRule="exact"/>
              <w:ind w:left="232"/>
              <w:jc w:val="left"/>
              <w:rPr>
                <w:sz w:val="20"/>
              </w:rPr>
            </w:pPr>
            <w:r>
              <w:rPr>
                <w:sz w:val="20"/>
              </w:rPr>
              <w:t>Payment of cash dividends</w:t>
            </w:r>
          </w:p>
        </w:tc>
        <w:tc>
          <w:tcPr>
            <w:tcW w:w="2767" w:type="dxa"/>
            <w:gridSpan w:val="2"/>
          </w:tcPr>
          <w:p>
            <w:pPr>
              <w:pStyle w:val="TableParagraph"/>
              <w:tabs>
                <w:tab w:pos="1864" w:val="left" w:leader="none"/>
              </w:tabs>
              <w:spacing w:before="2"/>
              <w:ind w:left="515"/>
              <w:jc w:val="left"/>
              <w:rPr>
                <w:sz w:val="20"/>
              </w:rPr>
            </w:pPr>
            <w:r>
              <w:rPr>
                <w:b/>
                <w:color w:val="000080"/>
                <w:sz w:val="20"/>
              </w:rPr>
              <w:t>(9,284)</w:t>
              <w:tab/>
            </w:r>
            <w:r>
              <w:rPr>
                <w:sz w:val="20"/>
              </w:rPr>
              <w:t>(6,593)</w:t>
            </w:r>
          </w:p>
        </w:tc>
        <w:tc>
          <w:tcPr>
            <w:tcW w:w="1173" w:type="dxa"/>
          </w:tcPr>
          <w:p>
            <w:pPr>
              <w:pStyle w:val="TableParagraph"/>
              <w:spacing w:line="227" w:lineRule="exact"/>
              <w:ind w:right="49"/>
              <w:rPr>
                <w:sz w:val="20"/>
              </w:rPr>
            </w:pPr>
            <w:r>
              <w:rPr>
                <w:sz w:val="20"/>
              </w:rPr>
              <w:t>(6,216)</w:t>
            </w:r>
          </w:p>
        </w:tc>
      </w:tr>
      <w:tr>
        <w:trPr>
          <w:trHeight w:val="235" w:hRule="exact"/>
        </w:trPr>
        <w:tc>
          <w:tcPr>
            <w:tcW w:w="5419" w:type="dxa"/>
          </w:tcPr>
          <w:p>
            <w:pPr>
              <w:pStyle w:val="TableParagraph"/>
              <w:spacing w:line="227" w:lineRule="exact"/>
              <w:ind w:left="232"/>
              <w:jc w:val="left"/>
              <w:rPr>
                <w:sz w:val="20"/>
              </w:rPr>
            </w:pPr>
            <w:r>
              <w:rPr>
                <w:sz w:val="20"/>
              </w:rPr>
              <w:t>Proceeds  from Employee stock plans</w:t>
            </w:r>
          </w:p>
        </w:tc>
        <w:tc>
          <w:tcPr>
            <w:tcW w:w="2767" w:type="dxa"/>
            <w:gridSpan w:val="2"/>
          </w:tcPr>
          <w:p>
            <w:pPr>
              <w:pStyle w:val="TableParagraph"/>
              <w:tabs>
                <w:tab w:pos="1888" w:val="left" w:leader="none"/>
              </w:tabs>
              <w:spacing w:before="2"/>
              <w:ind w:left="539"/>
              <w:jc w:val="left"/>
              <w:rPr>
                <w:sz w:val="20"/>
              </w:rPr>
            </w:pPr>
            <w:r>
              <w:rPr>
                <w:b/>
                <w:color w:val="000080"/>
                <w:sz w:val="20"/>
              </w:rPr>
              <w:t>44,272</w:t>
              <w:tab/>
            </w:r>
            <w:r>
              <w:rPr>
                <w:spacing w:val="-2"/>
                <w:sz w:val="20"/>
              </w:rPr>
              <w:t>40,335</w:t>
            </w:r>
          </w:p>
        </w:tc>
        <w:tc>
          <w:tcPr>
            <w:tcW w:w="1173" w:type="dxa"/>
          </w:tcPr>
          <w:p>
            <w:pPr>
              <w:pStyle w:val="TableParagraph"/>
              <w:spacing w:line="227" w:lineRule="exact"/>
              <w:ind w:right="52"/>
              <w:rPr>
                <w:sz w:val="20"/>
              </w:rPr>
            </w:pPr>
            <w:r>
              <w:rPr>
                <w:sz w:val="20"/>
              </w:rPr>
              <w:t>15,592</w:t>
            </w:r>
          </w:p>
        </w:tc>
      </w:tr>
      <w:tr>
        <w:trPr>
          <w:trHeight w:val="211" w:hRule="exact"/>
        </w:trPr>
        <w:tc>
          <w:tcPr>
            <w:tcW w:w="5419" w:type="dxa"/>
          </w:tcPr>
          <w:p>
            <w:pPr>
              <w:pStyle w:val="TableParagraph"/>
              <w:spacing w:line="227" w:lineRule="exact"/>
              <w:ind w:left="232"/>
              <w:jc w:val="left"/>
              <w:rPr>
                <w:sz w:val="20"/>
              </w:rPr>
            </w:pPr>
            <w:r>
              <w:rPr>
                <w:sz w:val="20"/>
              </w:rPr>
              <w:t>Repurchase of common stock</w:t>
            </w:r>
          </w:p>
        </w:tc>
        <w:tc>
          <w:tcPr>
            <w:tcW w:w="2767" w:type="dxa"/>
            <w:gridSpan w:val="2"/>
          </w:tcPr>
          <w:p>
            <w:pPr>
              <w:pStyle w:val="TableParagraph"/>
              <w:tabs>
                <w:tab w:pos="2373" w:val="left" w:leader="none"/>
              </w:tabs>
              <w:spacing w:before="2"/>
              <w:ind w:left="294"/>
              <w:jc w:val="left"/>
              <w:rPr>
                <w:sz w:val="20"/>
              </w:rPr>
            </w:pPr>
            <w:r>
              <w:rPr>
                <w:b/>
                <w:color w:val="000080"/>
                <w:sz w:val="20"/>
                <w:u w:val="single" w:color="000080"/>
              </w:rPr>
              <w:t>(100,000)</w:t>
            </w:r>
            <w:r>
              <w:rPr>
                <w:b/>
                <w:color w:val="000080"/>
                <w:sz w:val="20"/>
              </w:rPr>
              <w:tab/>
            </w:r>
            <w:r>
              <w:rPr>
                <w:sz w:val="20"/>
                <w:u w:val="single"/>
              </w:rPr>
              <w:t>-</w:t>
            </w:r>
          </w:p>
        </w:tc>
        <w:tc>
          <w:tcPr>
            <w:tcW w:w="1173" w:type="dxa"/>
          </w:tcPr>
          <w:p>
            <w:pPr>
              <w:pStyle w:val="TableParagraph"/>
              <w:spacing w:line="227" w:lineRule="exact"/>
              <w:ind w:right="52"/>
              <w:rPr>
                <w:sz w:val="20"/>
              </w:rPr>
            </w:pPr>
            <w:r>
              <w:rPr>
                <w:w w:val="100"/>
                <w:sz w:val="20"/>
              </w:rPr>
              <w:t>-</w:t>
            </w:r>
          </w:p>
        </w:tc>
      </w:tr>
    </w:tbl>
    <w:p>
      <w:pPr>
        <w:spacing w:before="7"/>
        <w:ind w:left="880" w:right="0" w:firstLine="0"/>
        <w:jc w:val="left"/>
        <w:rPr>
          <w:sz w:val="20"/>
        </w:rPr>
      </w:pPr>
      <w:r>
        <w:rPr>
          <w:sz w:val="20"/>
        </w:rPr>
        <w:t>Net cash provided by (used in) financing</w:t>
      </w:r>
    </w:p>
    <w:p>
      <w:pPr>
        <w:tabs>
          <w:tab w:pos="5823" w:val="left" w:leader="none"/>
          <w:tab w:pos="7307" w:val="left" w:leader="none"/>
          <w:tab w:pos="8694" w:val="left" w:leader="none"/>
        </w:tabs>
        <w:spacing w:before="0"/>
        <w:ind w:left="1062" w:right="0" w:firstLine="0"/>
        <w:jc w:val="left"/>
        <w:rPr>
          <w:sz w:val="20"/>
        </w:rPr>
      </w:pPr>
      <w:r>
        <w:rPr>
          <w:position w:val="1"/>
          <w:sz w:val="20"/>
        </w:rPr>
        <w:t>activities</w:t>
        <w:tab/>
      </w:r>
      <w:r>
        <w:rPr>
          <w:b/>
          <w:color w:val="000080"/>
          <w:sz w:val="20"/>
          <w:u w:val="single" w:color="000080"/>
        </w:rPr>
        <w:t>(183,871)</w:t>
      </w:r>
      <w:r>
        <w:rPr>
          <w:b/>
          <w:color w:val="000080"/>
          <w:sz w:val="20"/>
        </w:rPr>
        <w:tab/>
      </w:r>
      <w:r>
        <w:rPr>
          <w:position w:val="1"/>
          <w:sz w:val="20"/>
          <w:u w:val="single"/>
        </w:rPr>
        <w:t>119,841</w:t>
      </w:r>
      <w:r>
        <w:rPr>
          <w:position w:val="1"/>
          <w:sz w:val="20"/>
        </w:rPr>
        <w:tab/>
      </w:r>
      <w:r>
        <w:rPr>
          <w:position w:val="1"/>
          <w:sz w:val="20"/>
          <w:u w:val="single"/>
        </w:rPr>
        <w:t>326,681</w:t>
      </w:r>
    </w:p>
    <w:p>
      <w:pPr>
        <w:pStyle w:val="BodyText"/>
        <w:spacing w:before="7"/>
        <w:rPr>
          <w:sz w:val="12"/>
        </w:rPr>
      </w:pPr>
    </w:p>
    <w:p>
      <w:pPr>
        <w:spacing w:line="228" w:lineRule="exact" w:before="95"/>
        <w:ind w:left="160" w:right="0" w:firstLine="0"/>
        <w:jc w:val="left"/>
        <w:rPr>
          <w:b/>
          <w:sz w:val="20"/>
        </w:rPr>
      </w:pPr>
      <w:r>
        <w:rPr>
          <w:b/>
          <w:color w:val="000080"/>
          <w:sz w:val="20"/>
        </w:rPr>
        <w:t>NET INCREASE (DECREASE) IN CASH AND CASH</w:t>
      </w:r>
    </w:p>
    <w:p>
      <w:pPr>
        <w:tabs>
          <w:tab w:pos="5823" w:val="left" w:leader="none"/>
          <w:tab w:pos="7417" w:val="left" w:leader="none"/>
          <w:tab w:pos="8694" w:val="left" w:leader="none"/>
        </w:tabs>
        <w:spacing w:line="238" w:lineRule="exact" w:before="0"/>
        <w:ind w:left="520" w:right="0" w:firstLine="0"/>
        <w:jc w:val="left"/>
        <w:rPr>
          <w:sz w:val="20"/>
        </w:rPr>
      </w:pPr>
      <w:r>
        <w:rPr>
          <w:b/>
          <w:color w:val="000080"/>
          <w:sz w:val="20"/>
        </w:rPr>
        <w:t>EQUIVALENTS</w:t>
        <w:tab/>
        <w:t>(244,832)</w:t>
        <w:tab/>
      </w:r>
      <w:r>
        <w:rPr>
          <w:position w:val="1"/>
          <w:sz w:val="20"/>
        </w:rPr>
        <w:t>41,502</w:t>
        <w:tab/>
        <w:t>264,478</w:t>
      </w:r>
    </w:p>
    <w:p>
      <w:pPr>
        <w:spacing w:line="228" w:lineRule="exact" w:before="5"/>
        <w:ind w:left="160" w:right="0" w:firstLine="0"/>
        <w:jc w:val="left"/>
        <w:rPr>
          <w:b/>
          <w:sz w:val="20"/>
        </w:rPr>
      </w:pPr>
      <w:r>
        <w:rPr>
          <w:b/>
          <w:color w:val="000080"/>
          <w:sz w:val="20"/>
        </w:rPr>
        <w:t>CASH AND CASH EQUIVALENTS AT BEGINNING OF</w:t>
      </w:r>
    </w:p>
    <w:p>
      <w:pPr>
        <w:tabs>
          <w:tab w:pos="5958" w:val="left" w:leader="none"/>
          <w:tab w:pos="7307" w:val="left" w:leader="none"/>
          <w:tab w:pos="8694" w:val="left" w:leader="none"/>
        </w:tabs>
        <w:spacing w:line="238" w:lineRule="exact" w:before="0"/>
        <w:ind w:left="520" w:right="0" w:firstLine="0"/>
        <w:jc w:val="left"/>
        <w:rPr>
          <w:sz w:val="20"/>
        </w:rPr>
      </w:pPr>
      <w:r>
        <w:rPr>
          <w:b/>
          <w:color w:val="000080"/>
          <w:sz w:val="20"/>
        </w:rPr>
        <w:t>PERIOD</w:t>
        <w:tab/>
      </w:r>
      <w:r>
        <w:rPr>
          <w:b/>
          <w:color w:val="000080"/>
          <w:sz w:val="20"/>
          <w:u w:val="single" w:color="000080"/>
        </w:rPr>
        <w:t>623,343</w:t>
      </w:r>
      <w:r>
        <w:rPr>
          <w:b/>
          <w:color w:val="000080"/>
          <w:sz w:val="20"/>
        </w:rPr>
        <w:tab/>
      </w:r>
      <w:r>
        <w:rPr>
          <w:position w:val="1"/>
          <w:sz w:val="20"/>
          <w:u w:val="single"/>
        </w:rPr>
        <w:t>581,841</w:t>
      </w:r>
      <w:r>
        <w:rPr>
          <w:position w:val="1"/>
          <w:sz w:val="20"/>
        </w:rPr>
        <w:tab/>
      </w:r>
      <w:r>
        <w:rPr>
          <w:position w:val="1"/>
          <w:sz w:val="20"/>
          <w:u w:val="single"/>
        </w:rPr>
        <w:t>317,363</w:t>
      </w:r>
    </w:p>
    <w:p>
      <w:pPr>
        <w:spacing w:line="228" w:lineRule="exact" w:before="5"/>
        <w:ind w:left="160" w:right="0" w:firstLine="0"/>
        <w:jc w:val="left"/>
        <w:rPr>
          <w:b/>
          <w:sz w:val="20"/>
        </w:rPr>
      </w:pPr>
      <w:r>
        <w:rPr>
          <w:b/>
          <w:color w:val="000080"/>
          <w:sz w:val="20"/>
        </w:rPr>
        <w:t>CASH AND CASH EQUIVALENTS AT END OF</w:t>
      </w:r>
    </w:p>
    <w:p>
      <w:pPr>
        <w:tabs>
          <w:tab w:pos="5847" w:val="left" w:leader="none"/>
          <w:tab w:pos="7196" w:val="left" w:leader="none"/>
          <w:tab w:pos="8583" w:val="left" w:leader="none"/>
        </w:tabs>
        <w:spacing w:line="238" w:lineRule="exact" w:before="0"/>
        <w:ind w:left="520" w:right="0" w:firstLine="0"/>
        <w:jc w:val="left"/>
        <w:rPr>
          <w:sz w:val="20"/>
        </w:rPr>
      </w:pPr>
      <w:r>
        <w:rPr>
          <w:b/>
          <w:color w:val="000080"/>
          <w:sz w:val="20"/>
        </w:rPr>
        <w:t>PERIOD</w:t>
        <w:tab/>
      </w:r>
      <w:r>
        <w:rPr>
          <w:b/>
          <w:color w:val="000080"/>
          <w:sz w:val="20"/>
          <w:u w:val="thick" w:color="000080"/>
        </w:rPr>
        <w:t>$378,511</w:t>
      </w:r>
      <w:r>
        <w:rPr>
          <w:b/>
          <w:color w:val="000080"/>
          <w:sz w:val="20"/>
        </w:rPr>
        <w:tab/>
      </w:r>
      <w:r>
        <w:rPr>
          <w:position w:val="1"/>
          <w:sz w:val="20"/>
          <w:u w:val="thick"/>
        </w:rPr>
        <w:t>$623,343</w:t>
      </w:r>
      <w:r>
        <w:rPr>
          <w:position w:val="1"/>
          <w:sz w:val="20"/>
        </w:rPr>
        <w:tab/>
      </w:r>
      <w:r>
        <w:rPr>
          <w:position w:val="1"/>
          <w:sz w:val="20"/>
          <w:u w:val="thick"/>
        </w:rPr>
        <w:t>$581,841</w:t>
      </w:r>
    </w:p>
    <w:p>
      <w:pPr>
        <w:pStyle w:val="BodyText"/>
        <w:spacing w:before="8"/>
        <w:rPr>
          <w:sz w:val="12"/>
        </w:rPr>
      </w:pPr>
    </w:p>
    <w:p>
      <w:pPr>
        <w:spacing w:before="95" w:after="5"/>
        <w:ind w:left="160" w:right="0" w:firstLine="0"/>
        <w:jc w:val="left"/>
        <w:rPr>
          <w:b/>
          <w:sz w:val="20"/>
        </w:rPr>
      </w:pPr>
      <w:r>
        <w:rPr>
          <w:b/>
          <w:color w:val="000080"/>
          <w:sz w:val="20"/>
        </w:rPr>
        <w:t>CASH PAYMENTS FOR:</w:t>
      </w:r>
    </w:p>
    <w:tbl>
      <w:tblPr>
        <w:tblW w:w="0" w:type="auto"/>
        <w:jc w:val="left"/>
        <w:tblInd w:w="29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74"/>
        <w:gridCol w:w="2325"/>
        <w:gridCol w:w="1369"/>
        <w:gridCol w:w="1104"/>
      </w:tblGrid>
      <w:tr>
        <w:trPr>
          <w:trHeight w:val="233" w:hRule="exact"/>
        </w:trPr>
        <w:tc>
          <w:tcPr>
            <w:tcW w:w="4374" w:type="dxa"/>
          </w:tcPr>
          <w:p>
            <w:pPr>
              <w:pStyle w:val="TableParagraph"/>
              <w:spacing w:line="225" w:lineRule="exact"/>
              <w:ind w:left="50"/>
              <w:jc w:val="left"/>
              <w:rPr>
                <w:sz w:val="20"/>
              </w:rPr>
            </w:pPr>
            <w:r>
              <w:rPr>
                <w:sz w:val="20"/>
              </w:rPr>
              <w:t>Interest, net of amount capitalized</w:t>
            </w:r>
          </w:p>
        </w:tc>
        <w:tc>
          <w:tcPr>
            <w:tcW w:w="2325" w:type="dxa"/>
          </w:tcPr>
          <w:p>
            <w:pPr>
              <w:pStyle w:val="TableParagraph"/>
              <w:spacing w:line="230" w:lineRule="exact"/>
              <w:ind w:right="313"/>
              <w:rPr>
                <w:b/>
                <w:sz w:val="20"/>
              </w:rPr>
            </w:pPr>
            <w:r>
              <w:rPr>
                <w:b/>
                <w:color w:val="000080"/>
                <w:sz w:val="20"/>
              </w:rPr>
              <w:t>$33,384</w:t>
            </w:r>
          </w:p>
        </w:tc>
        <w:tc>
          <w:tcPr>
            <w:tcW w:w="1369" w:type="dxa"/>
          </w:tcPr>
          <w:p>
            <w:pPr>
              <w:pStyle w:val="TableParagraph"/>
              <w:spacing w:line="225" w:lineRule="exact"/>
              <w:ind w:left="315"/>
              <w:jc w:val="left"/>
              <w:rPr>
                <w:sz w:val="20"/>
              </w:rPr>
            </w:pPr>
            <w:r>
              <w:rPr>
                <w:sz w:val="20"/>
              </w:rPr>
              <w:t>$42,372</w:t>
            </w:r>
          </w:p>
        </w:tc>
        <w:tc>
          <w:tcPr>
            <w:tcW w:w="1104" w:type="dxa"/>
          </w:tcPr>
          <w:p>
            <w:pPr>
              <w:pStyle w:val="TableParagraph"/>
              <w:spacing w:line="225" w:lineRule="exact"/>
              <w:ind w:right="48"/>
              <w:rPr>
                <w:sz w:val="20"/>
              </w:rPr>
            </w:pPr>
            <w:r>
              <w:rPr>
                <w:sz w:val="20"/>
              </w:rPr>
              <w:t>$36,640</w:t>
            </w:r>
          </w:p>
        </w:tc>
      </w:tr>
      <w:tr>
        <w:trPr>
          <w:trHeight w:val="233" w:hRule="exact"/>
        </w:trPr>
        <w:tc>
          <w:tcPr>
            <w:tcW w:w="4374" w:type="dxa"/>
          </w:tcPr>
          <w:p>
            <w:pPr>
              <w:pStyle w:val="TableParagraph"/>
              <w:spacing w:line="227" w:lineRule="exact"/>
              <w:ind w:left="50"/>
              <w:jc w:val="left"/>
              <w:rPr>
                <w:sz w:val="20"/>
              </w:rPr>
            </w:pPr>
            <w:r>
              <w:rPr>
                <w:sz w:val="20"/>
              </w:rPr>
              <w:t>Income taxes</w:t>
            </w:r>
          </w:p>
        </w:tc>
        <w:tc>
          <w:tcPr>
            <w:tcW w:w="2325" w:type="dxa"/>
          </w:tcPr>
          <w:p>
            <w:pPr>
              <w:pStyle w:val="TableParagraph"/>
              <w:spacing w:before="2"/>
              <w:ind w:right="313"/>
              <w:rPr>
                <w:b/>
                <w:sz w:val="20"/>
              </w:rPr>
            </w:pPr>
            <w:r>
              <w:rPr>
                <w:b/>
                <w:color w:val="000080"/>
                <w:sz w:val="20"/>
              </w:rPr>
              <w:t>147,447</w:t>
            </w:r>
          </w:p>
        </w:tc>
        <w:tc>
          <w:tcPr>
            <w:tcW w:w="1369" w:type="dxa"/>
          </w:tcPr>
          <w:p>
            <w:pPr>
              <w:pStyle w:val="TableParagraph"/>
              <w:spacing w:line="227" w:lineRule="exact"/>
              <w:ind w:left="315"/>
              <w:jc w:val="left"/>
              <w:rPr>
                <w:sz w:val="20"/>
              </w:rPr>
            </w:pPr>
            <w:r>
              <w:rPr>
                <w:sz w:val="20"/>
              </w:rPr>
              <w:t>107,066</w:t>
            </w:r>
          </w:p>
        </w:tc>
        <w:tc>
          <w:tcPr>
            <w:tcW w:w="1104" w:type="dxa"/>
          </w:tcPr>
          <w:p>
            <w:pPr>
              <w:pStyle w:val="TableParagraph"/>
              <w:spacing w:line="227" w:lineRule="exact"/>
              <w:ind w:right="48"/>
              <w:rPr>
                <w:sz w:val="20"/>
              </w:rPr>
            </w:pPr>
            <w:r>
              <w:rPr>
                <w:sz w:val="20"/>
              </w:rPr>
              <w:t>66,447</w:t>
            </w:r>
          </w:p>
        </w:tc>
      </w:tr>
    </w:tbl>
    <w:p>
      <w:pPr>
        <w:pStyle w:val="BodyText"/>
        <w:rPr>
          <w:b/>
          <w:sz w:val="22"/>
        </w:rPr>
      </w:pPr>
    </w:p>
    <w:p>
      <w:pPr>
        <w:pStyle w:val="BodyText"/>
        <w:spacing w:before="194"/>
        <w:ind w:left="160"/>
      </w:pPr>
      <w:r>
        <w:rPr/>
        <w:t>See accompanying notes.</w:t>
      </w:r>
    </w:p>
    <w:p>
      <w:pPr>
        <w:spacing w:after="0"/>
        <w:sectPr>
          <w:type w:val="continuous"/>
          <w:pgSz w:w="12240" w:h="15840"/>
          <w:pgMar w:top="1680" w:bottom="540" w:left="1280" w:right="1320"/>
        </w:sectPr>
      </w:pPr>
    </w:p>
    <w:p>
      <w:pPr>
        <w:pStyle w:val="BodyText"/>
        <w:rPr>
          <w:sz w:val="20"/>
        </w:rPr>
      </w:pPr>
    </w:p>
    <w:p>
      <w:pPr>
        <w:pStyle w:val="Heading4"/>
        <w:spacing w:line="312" w:lineRule="auto" w:before="214"/>
        <w:ind w:right="2250"/>
      </w:pPr>
      <w:r>
        <w:rPr>
          <w:color w:val="808080"/>
        </w:rPr>
        <w:t>NOTES TO CONSOLIDATED FINANCIAL STATEMENTS </w:t>
      </w:r>
      <w:r>
        <w:rPr>
          <w:color w:val="000080"/>
        </w:rPr>
        <w:t>DECEMBER 31, 1998</w:t>
      </w:r>
    </w:p>
    <w:p>
      <w:pPr>
        <w:pStyle w:val="BodyText"/>
        <w:spacing w:before="7"/>
        <w:rPr>
          <w:b/>
          <w:sz w:val="31"/>
        </w:rPr>
      </w:pPr>
    </w:p>
    <w:p>
      <w:pPr>
        <w:pStyle w:val="ListParagraph"/>
        <w:numPr>
          <w:ilvl w:val="0"/>
          <w:numId w:val="1"/>
        </w:numPr>
        <w:tabs>
          <w:tab w:pos="369" w:val="left" w:leader="none"/>
        </w:tabs>
        <w:spacing w:line="240" w:lineRule="auto" w:before="0" w:after="0"/>
        <w:ind w:left="368" w:right="0" w:hanging="268"/>
        <w:jc w:val="left"/>
        <w:rPr>
          <w:b/>
          <w:sz w:val="24"/>
        </w:rPr>
      </w:pPr>
      <w:r>
        <w:rPr>
          <w:b/>
          <w:color w:val="000080"/>
          <w:sz w:val="24"/>
        </w:rPr>
        <w:t>SUMMARY OF SIGNIFICANT ACCOUNTING</w:t>
      </w:r>
      <w:r>
        <w:rPr>
          <w:b/>
          <w:color w:val="000080"/>
          <w:spacing w:val="-45"/>
          <w:sz w:val="24"/>
        </w:rPr>
        <w:t> </w:t>
      </w:r>
      <w:r>
        <w:rPr>
          <w:b/>
          <w:color w:val="000080"/>
          <w:sz w:val="24"/>
        </w:rPr>
        <w:t>POLICIES</w:t>
      </w:r>
    </w:p>
    <w:p>
      <w:pPr>
        <w:pStyle w:val="BodyText"/>
        <w:spacing w:line="312" w:lineRule="auto" w:before="88"/>
        <w:ind w:left="100" w:right="115" w:firstLine="187"/>
        <w:jc w:val="both"/>
      </w:pPr>
      <w:r>
        <w:rPr>
          <w:i/>
          <w:color w:val="000080"/>
        </w:rPr>
        <w:t>BASIS OF PRESENTATION </w:t>
      </w:r>
      <w:r>
        <w:rPr/>
        <w:t>Southwest Airlines Co. (Southwest) is a </w:t>
      </w:r>
      <w:r>
        <w:rPr>
          <w:spacing w:val="-3"/>
        </w:rPr>
        <w:t>major </w:t>
      </w:r>
      <w:r>
        <w:rPr/>
        <w:t>domestic airline that provides shorthaul, high-frequency, point-to-point, low-fare service. </w:t>
      </w:r>
      <w:r>
        <w:rPr>
          <w:spacing w:val="2"/>
        </w:rPr>
        <w:t>The </w:t>
      </w:r>
      <w:r>
        <w:rPr/>
        <w:t>consolidated financial statements include the accounts of Southwest and its wholly owned subsidiaries </w:t>
      </w:r>
      <w:r>
        <w:rPr>
          <w:spacing w:val="2"/>
        </w:rPr>
        <w:t>(the </w:t>
      </w:r>
      <w:r>
        <w:rPr/>
        <w:t>Company). All significant intercompany balances and transactions have been eliminated. </w:t>
      </w:r>
      <w:r>
        <w:rPr>
          <w:spacing w:val="2"/>
        </w:rPr>
        <w:t>The </w:t>
      </w:r>
      <w:r>
        <w:rPr/>
        <w:t>preparation of financial  statements  in conformity with generally accepted accounting principles requires management to  make estimates and assumptions that affect the amounts </w:t>
      </w:r>
      <w:r>
        <w:rPr>
          <w:spacing w:val="2"/>
        </w:rPr>
        <w:t>reported </w:t>
      </w:r>
      <w:r>
        <w:rPr/>
        <w:t>in the financial statements and accompanying notes. Actual results could differ from these estimates. Certain prior year amounts have been reclassified for comparison</w:t>
      </w:r>
      <w:r>
        <w:rPr>
          <w:spacing w:val="21"/>
        </w:rPr>
        <w:t> </w:t>
      </w:r>
      <w:r>
        <w:rPr/>
        <w:t>purposes.</w:t>
      </w:r>
    </w:p>
    <w:p>
      <w:pPr>
        <w:pStyle w:val="BodyText"/>
        <w:spacing w:before="6"/>
        <w:rPr>
          <w:sz w:val="31"/>
        </w:rPr>
      </w:pPr>
    </w:p>
    <w:p>
      <w:pPr>
        <w:pStyle w:val="BodyText"/>
        <w:spacing w:line="312" w:lineRule="auto"/>
        <w:ind w:left="100" w:right="115" w:firstLine="187"/>
        <w:jc w:val="both"/>
      </w:pPr>
      <w:r>
        <w:rPr>
          <w:i/>
          <w:color w:val="000080"/>
        </w:rPr>
        <w:t>CASH AND CASH EQUIVALENTS </w:t>
      </w:r>
      <w:r>
        <w:rPr/>
        <w:t>Cash equivalents consist of certificates of deposit and investment grade commercial paper issued by major corporations and financial institutions that are highly liquid and have original maturities of three months or less. Cash and cash equivalents are carried at cost, which approximates market value.</w:t>
      </w:r>
    </w:p>
    <w:p>
      <w:pPr>
        <w:pStyle w:val="BodyText"/>
        <w:spacing w:before="6"/>
        <w:rPr>
          <w:sz w:val="31"/>
        </w:rPr>
      </w:pPr>
    </w:p>
    <w:p>
      <w:pPr>
        <w:pStyle w:val="BodyText"/>
        <w:spacing w:line="312" w:lineRule="auto"/>
        <w:ind w:left="100" w:right="119" w:firstLine="187"/>
        <w:jc w:val="both"/>
      </w:pPr>
      <w:r>
        <w:rPr>
          <w:i/>
          <w:color w:val="000080"/>
        </w:rPr>
        <w:t>INVENTORIES </w:t>
      </w:r>
      <w:r>
        <w:rPr/>
        <w:t>Inventories of flight equipment expendable parts, materials, and supplies are carried at average cost. These items are charged to expense when issued for use.</w:t>
      </w:r>
    </w:p>
    <w:p>
      <w:pPr>
        <w:pStyle w:val="BodyText"/>
        <w:spacing w:before="6"/>
        <w:rPr>
          <w:sz w:val="31"/>
        </w:rPr>
      </w:pPr>
    </w:p>
    <w:p>
      <w:pPr>
        <w:pStyle w:val="BodyText"/>
        <w:spacing w:line="312" w:lineRule="auto"/>
        <w:ind w:left="100" w:right="114" w:firstLine="187"/>
        <w:jc w:val="both"/>
      </w:pPr>
      <w:r>
        <w:rPr>
          <w:i/>
          <w:color w:val="000080"/>
        </w:rPr>
        <w:t>PROPERTY AND EQUIPMENT </w:t>
      </w:r>
      <w:r>
        <w:rPr/>
        <w:t>Depreciation is provided by the straight-line method  to estimated residual values over periods ranging from 20 to 25 years for flight equipment and 3 to 30 years for ground property and equipment. </w:t>
      </w:r>
      <w:r>
        <w:rPr>
          <w:spacing w:val="-4"/>
        </w:rPr>
        <w:t>Property </w:t>
      </w:r>
      <w:r>
        <w:rPr/>
        <w:t>under capital leases and related obligations are </w:t>
      </w:r>
      <w:r>
        <w:rPr>
          <w:spacing w:val="2"/>
        </w:rPr>
        <w:t>recorded </w:t>
      </w:r>
      <w:r>
        <w:rPr/>
        <w:t>at an amount equal to the present value of future minimum lease payments computed on the basis of the Company’s incremental borrowing </w:t>
      </w:r>
      <w:r>
        <w:rPr>
          <w:spacing w:val="2"/>
        </w:rPr>
        <w:t>rate </w:t>
      </w:r>
      <w:r>
        <w:rPr/>
        <w:t>or, when known, the interest </w:t>
      </w:r>
      <w:r>
        <w:rPr>
          <w:spacing w:val="2"/>
        </w:rPr>
        <w:t>rate </w:t>
      </w:r>
      <w:r>
        <w:rPr/>
        <w:t>implicit in the lease. Amortization of property under capital leases is on a straight-line basis over the lease term and is included in depreciation expense. </w:t>
      </w:r>
      <w:r>
        <w:rPr>
          <w:spacing w:val="2"/>
        </w:rPr>
        <w:t>The </w:t>
      </w:r>
      <w:r>
        <w:rPr/>
        <w:t>Company </w:t>
      </w:r>
      <w:r>
        <w:rPr>
          <w:spacing w:val="2"/>
        </w:rPr>
        <w:t>records </w:t>
      </w:r>
      <w:r>
        <w:rPr/>
        <w:t>impairment losses on long- lived assets used in operations when events and circumstances indicate that the assets might be impaired and the undiscounted cash flows to be generated by those assets  are less than the carrying amounts of those</w:t>
      </w:r>
      <w:r>
        <w:rPr>
          <w:spacing w:val="8"/>
        </w:rPr>
        <w:t> </w:t>
      </w:r>
      <w:r>
        <w:rPr/>
        <w:t>assets.</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20" w:right="117" w:firstLine="187"/>
        <w:jc w:val="both"/>
      </w:pPr>
      <w:r>
        <w:rPr>
          <w:i/>
          <w:color w:val="000080"/>
        </w:rPr>
        <w:t>AIRCRAFT AND ENGINE MAINTENANCE </w:t>
      </w:r>
      <w:r>
        <w:rPr>
          <w:spacing w:val="2"/>
        </w:rPr>
        <w:t>The </w:t>
      </w:r>
      <w:r>
        <w:rPr/>
        <w:t>cost of engine overhauls and routine maintenance costs for </w:t>
      </w:r>
      <w:r>
        <w:rPr>
          <w:spacing w:val="2"/>
        </w:rPr>
        <w:t>aircraft </w:t>
      </w:r>
      <w:r>
        <w:rPr/>
        <w:t>and engines are charged to maintenance expense as incurred. Scheduled airframe overhaul costs are capitalized and amortized over the estimated period benefited, presently the lesser of ten years or the remaining life of the </w:t>
      </w:r>
      <w:r>
        <w:rPr>
          <w:spacing w:val="2"/>
        </w:rPr>
        <w:t>aircraft. </w:t>
      </w:r>
      <w:r>
        <w:rPr/>
        <w:t>Modifications that significantly enhance the operating performance or extend the useful lives of </w:t>
      </w:r>
      <w:r>
        <w:rPr>
          <w:spacing w:val="2"/>
        </w:rPr>
        <w:t>aircraft </w:t>
      </w:r>
      <w:r>
        <w:rPr/>
        <w:t>or engines are capitalized and amortized over the remaining life of the</w:t>
      </w:r>
      <w:r>
        <w:rPr>
          <w:spacing w:val="10"/>
        </w:rPr>
        <w:t> </w:t>
      </w:r>
      <w:r>
        <w:rPr/>
        <w:t>asset.</w:t>
      </w:r>
    </w:p>
    <w:p>
      <w:pPr>
        <w:pStyle w:val="BodyText"/>
        <w:spacing w:before="7"/>
        <w:rPr>
          <w:sz w:val="31"/>
        </w:rPr>
      </w:pPr>
    </w:p>
    <w:p>
      <w:pPr>
        <w:pStyle w:val="BodyText"/>
        <w:spacing w:line="312" w:lineRule="auto"/>
        <w:ind w:left="120" w:right="116" w:firstLine="187"/>
        <w:jc w:val="both"/>
      </w:pPr>
      <w:r>
        <w:rPr>
          <w:i/>
          <w:color w:val="000080"/>
        </w:rPr>
        <w:t>REVENUE RECOGNITION </w:t>
      </w:r>
      <w:r>
        <w:rPr/>
        <w:t>Passenger revenue is recognized when transportation is provided. Tickets sold but not yet used are included in “Air traffic liability,”  which includes estimates that are evaluated and adjusted periodically. Any adjustments resulting therefrom are included in results of operations for the periods in which the evaluations are completed.</w:t>
      </w:r>
    </w:p>
    <w:p>
      <w:pPr>
        <w:pStyle w:val="BodyText"/>
        <w:spacing w:before="6"/>
        <w:rPr>
          <w:sz w:val="31"/>
        </w:rPr>
      </w:pPr>
    </w:p>
    <w:p>
      <w:pPr>
        <w:pStyle w:val="BodyText"/>
        <w:spacing w:line="312" w:lineRule="auto" w:before="1"/>
        <w:ind w:left="120" w:right="117" w:firstLine="187"/>
        <w:jc w:val="both"/>
      </w:pPr>
      <w:r>
        <w:rPr>
          <w:i/>
          <w:color w:val="000080"/>
        </w:rPr>
        <w:t>FREQUENT FLYER PROGRAM </w:t>
      </w:r>
      <w:r>
        <w:rPr>
          <w:spacing w:val="2"/>
        </w:rPr>
        <w:t>The </w:t>
      </w:r>
      <w:r>
        <w:rPr/>
        <w:t>Company accrues the estimated incremental cost of providing free travel awards earned under its Rapid Rewards frequent flyer program. </w:t>
      </w:r>
      <w:r>
        <w:rPr>
          <w:spacing w:val="2"/>
        </w:rPr>
        <w:t>The </w:t>
      </w:r>
      <w:r>
        <w:rPr/>
        <w:t>Company also sells flight segment credits to companies participating in   its Rapid Rewards frequent flyer program. </w:t>
      </w:r>
      <w:r>
        <w:rPr>
          <w:spacing w:val="2"/>
        </w:rPr>
        <w:t>The revenue </w:t>
      </w:r>
      <w:r>
        <w:rPr/>
        <w:t>from the sale of flight segment credits is recognized when the credits are</w:t>
      </w:r>
      <w:r>
        <w:rPr>
          <w:spacing w:val="27"/>
        </w:rPr>
        <w:t> </w:t>
      </w:r>
      <w:r>
        <w:rPr/>
        <w:t>sold.</w:t>
      </w:r>
    </w:p>
    <w:p>
      <w:pPr>
        <w:pStyle w:val="BodyText"/>
        <w:spacing w:before="7"/>
        <w:rPr>
          <w:sz w:val="31"/>
        </w:rPr>
      </w:pPr>
    </w:p>
    <w:p>
      <w:pPr>
        <w:pStyle w:val="BodyText"/>
        <w:spacing w:line="312" w:lineRule="auto"/>
        <w:ind w:left="120" w:right="117" w:firstLine="187"/>
        <w:jc w:val="both"/>
      </w:pPr>
      <w:r>
        <w:rPr>
          <w:i/>
          <w:color w:val="000080"/>
        </w:rPr>
        <w:t>ADVERTISING </w:t>
      </w:r>
      <w:r>
        <w:rPr/>
        <w:t>The Company expenses the costs of advertising as incurred. Advertising  expense for  the  years  ended December  31, 1998, 1997, and 1996    was</w:t>
      </w:r>
    </w:p>
    <w:p>
      <w:pPr>
        <w:pStyle w:val="BodyText"/>
        <w:spacing w:before="3"/>
        <w:ind w:left="120"/>
      </w:pPr>
      <w:r>
        <w:rPr/>
        <w:t>$119,739,000, $112,961,000, and $109,136,000, respectively.</w:t>
      </w:r>
    </w:p>
    <w:p>
      <w:pPr>
        <w:pStyle w:val="BodyText"/>
        <w:spacing w:before="6"/>
        <w:rPr>
          <w:sz w:val="38"/>
        </w:rPr>
      </w:pPr>
    </w:p>
    <w:p>
      <w:pPr>
        <w:spacing w:line="312" w:lineRule="auto" w:before="0"/>
        <w:ind w:left="119" w:right="98" w:firstLine="187"/>
        <w:jc w:val="both"/>
        <w:rPr>
          <w:sz w:val="24"/>
        </w:rPr>
      </w:pPr>
      <w:r>
        <w:rPr>
          <w:i/>
          <w:color w:val="000080"/>
          <w:sz w:val="24"/>
        </w:rPr>
        <w:t>STOCK-BASED EMPLOYEE COMPENSATION </w:t>
      </w:r>
      <w:r>
        <w:rPr>
          <w:sz w:val="24"/>
        </w:rPr>
        <w:t>Pursuant to Statement of Financial Accounting Standards No. 123 (SFAS 123), </w:t>
      </w:r>
      <w:r>
        <w:rPr>
          <w:i/>
          <w:sz w:val="24"/>
        </w:rPr>
        <w:t>Accounting  for  Stock-Based </w:t>
      </w:r>
      <w:r>
        <w:rPr>
          <w:i/>
          <w:sz w:val="24"/>
        </w:rPr>
        <w:t>Compensation</w:t>
      </w:r>
      <w:r>
        <w:rPr>
          <w:sz w:val="24"/>
        </w:rPr>
        <w:t>, the Company accounts for  stock-based  compensation  plans  utilizing the provisions of Accounting Principles Board Opinion No. 25 (APB 25), </w:t>
      </w:r>
      <w:r>
        <w:rPr>
          <w:i/>
          <w:sz w:val="24"/>
        </w:rPr>
        <w:t>Accounting for </w:t>
      </w:r>
      <w:r>
        <w:rPr>
          <w:i/>
          <w:sz w:val="24"/>
        </w:rPr>
        <w:t>Stock Issued to Employees and related Interpretations</w:t>
      </w:r>
      <w:r>
        <w:rPr>
          <w:sz w:val="24"/>
        </w:rPr>
        <w:t>.</w:t>
      </w:r>
    </w:p>
    <w:p>
      <w:pPr>
        <w:spacing w:after="0" w:line="312" w:lineRule="auto"/>
        <w:jc w:val="both"/>
        <w:rPr>
          <w:sz w:val="24"/>
        </w:rPr>
        <w:sectPr>
          <w:pgSz w:w="12240" w:h="15840"/>
          <w:pgMar w:header="1448" w:footer="344" w:top="1700" w:bottom="540" w:left="1320" w:right="1320"/>
        </w:sectPr>
      </w:pPr>
    </w:p>
    <w:p>
      <w:pPr>
        <w:pStyle w:val="BodyText"/>
        <w:rPr>
          <w:sz w:val="20"/>
        </w:rPr>
      </w:pPr>
    </w:p>
    <w:p>
      <w:pPr>
        <w:pStyle w:val="BodyText"/>
        <w:spacing w:line="312" w:lineRule="auto" w:before="219"/>
        <w:ind w:left="100" w:right="115" w:firstLine="182"/>
        <w:jc w:val="both"/>
      </w:pPr>
      <w:r>
        <w:rPr>
          <w:i/>
          <w:color w:val="000080"/>
        </w:rPr>
        <w:t>DERIVATIVE FINANCIAL INSTRUMENTS </w:t>
      </w:r>
      <w:r>
        <w:rPr>
          <w:spacing w:val="2"/>
        </w:rPr>
        <w:t>The </w:t>
      </w:r>
      <w:r>
        <w:rPr/>
        <w:t>Company utilizes purchased crude </w:t>
      </w:r>
      <w:r>
        <w:rPr>
          <w:spacing w:val="2"/>
        </w:rPr>
        <w:t>oil </w:t>
      </w:r>
      <w:r>
        <w:rPr/>
        <w:t>call options and fixed price swap agreements to hedge a portion of its exposure to fuel price fluctuations. </w:t>
      </w:r>
      <w:r>
        <w:rPr>
          <w:spacing w:val="2"/>
        </w:rPr>
        <w:t>The </w:t>
      </w:r>
      <w:r>
        <w:rPr/>
        <w:t>cost of purchased crude oil call options and gains and losses on fixed price swap agreements are deferred and charged or credited to fuel expense in  the same month that the underlying fuel being hedged is used. Gains and losses resulting from hedging positions terminated or settled early are </w:t>
      </w:r>
      <w:r>
        <w:rPr>
          <w:spacing w:val="2"/>
        </w:rPr>
        <w:t>recorded </w:t>
      </w:r>
      <w:r>
        <w:rPr/>
        <w:t>to fuel  expense in the month of termination or settlement. Gains and losses on hedging transactions have not been</w:t>
      </w:r>
      <w:r>
        <w:rPr>
          <w:spacing w:val="8"/>
        </w:rPr>
        <w:t> </w:t>
      </w:r>
      <w:r>
        <w:rPr/>
        <w:t>material.</w:t>
      </w:r>
    </w:p>
    <w:p>
      <w:pPr>
        <w:pStyle w:val="BodyText"/>
        <w:spacing w:before="7"/>
        <w:rPr>
          <w:sz w:val="31"/>
        </w:rPr>
      </w:pPr>
    </w:p>
    <w:p>
      <w:pPr>
        <w:pStyle w:val="BodyText"/>
        <w:spacing w:line="312" w:lineRule="auto"/>
        <w:ind w:left="100" w:right="98" w:firstLine="187"/>
        <w:jc w:val="both"/>
      </w:pPr>
      <w:r>
        <w:rPr/>
        <w:t>In 1998, the </w:t>
      </w:r>
      <w:r>
        <w:rPr>
          <w:spacing w:val="3"/>
        </w:rPr>
        <w:t>Financial </w:t>
      </w:r>
      <w:r>
        <w:rPr/>
        <w:t>Accounting </w:t>
      </w:r>
      <w:r>
        <w:rPr>
          <w:spacing w:val="-4"/>
        </w:rPr>
        <w:t>Standards Board </w:t>
      </w:r>
      <w:r>
        <w:rPr/>
        <w:t>issued Statement of </w:t>
      </w:r>
      <w:r>
        <w:rPr>
          <w:spacing w:val="4"/>
        </w:rPr>
        <w:t>Financial </w:t>
      </w:r>
      <w:r>
        <w:rPr/>
        <w:t>Accounting </w:t>
      </w:r>
      <w:r>
        <w:rPr>
          <w:spacing w:val="-4"/>
        </w:rPr>
        <w:t>Standards </w:t>
      </w:r>
      <w:r>
        <w:rPr/>
        <w:t>No. 133 </w:t>
      </w:r>
      <w:r>
        <w:rPr>
          <w:spacing w:val="2"/>
        </w:rPr>
        <w:t>(SFAS </w:t>
      </w:r>
      <w:r>
        <w:rPr/>
        <w:t>133), </w:t>
      </w:r>
      <w:r>
        <w:rPr>
          <w:i/>
        </w:rPr>
        <w:t>Accounting for Derivative Instruments and </w:t>
      </w:r>
      <w:r>
        <w:rPr>
          <w:i/>
        </w:rPr>
        <w:t>Hedging Activities</w:t>
      </w:r>
      <w:r>
        <w:rPr/>
        <w:t>, which is required to be adopted in years beginning after June 15, 1999. </w:t>
      </w:r>
      <w:r>
        <w:rPr>
          <w:spacing w:val="-3"/>
        </w:rPr>
        <w:t>SFAS  </w:t>
      </w:r>
      <w:r>
        <w:rPr/>
        <w:t>133 permits early adoption as of the beginning of any fiscal quarter after  its issuance. </w:t>
      </w:r>
      <w:r>
        <w:rPr>
          <w:spacing w:val="2"/>
        </w:rPr>
        <w:t>The </w:t>
      </w:r>
      <w:r>
        <w:rPr/>
        <w:t>Company expects to adopt the new Statement effective January 1, 2000. </w:t>
      </w:r>
      <w:r>
        <w:rPr>
          <w:spacing w:val="-3"/>
        </w:rPr>
        <w:t>SFAS </w:t>
      </w:r>
      <w:r>
        <w:rPr/>
        <w:t>133 will require the Company to recognize all derivatives on the balance sheet at fair value. Derivatives that are not hedges must be adjusted to fair value through income. If the derivative is a hedge, depending on the nature of the hedge, changes in the fair value of derivatives will either be offset against the change in fair value of the hedged assets, </w:t>
      </w:r>
      <w:r>
        <w:rPr>
          <w:spacing w:val="2"/>
        </w:rPr>
        <w:t>liabilities, </w:t>
      </w:r>
      <w:r>
        <w:rPr/>
        <w:t>or firm commitments through earnings or recognized in other comprehensive income until the hedged item is recognized in earnings. </w:t>
      </w:r>
      <w:r>
        <w:rPr>
          <w:spacing w:val="2"/>
        </w:rPr>
        <w:t>The </w:t>
      </w:r>
      <w:r>
        <w:rPr/>
        <w:t>ineffective portion of a derivative’s change in fair value will be  immediately recognized in earnings. </w:t>
      </w:r>
      <w:r>
        <w:rPr>
          <w:spacing w:val="2"/>
        </w:rPr>
        <w:t>The </w:t>
      </w:r>
      <w:r>
        <w:rPr/>
        <w:t>Company has not yet determined what the effect of </w:t>
      </w:r>
      <w:r>
        <w:rPr>
          <w:spacing w:val="-3"/>
        </w:rPr>
        <w:t>SFAS </w:t>
      </w:r>
      <w:r>
        <w:rPr/>
        <w:t>133 will be on the earnings and financial position of the</w:t>
      </w:r>
      <w:r>
        <w:rPr>
          <w:spacing w:val="38"/>
        </w:rPr>
        <w:t> </w:t>
      </w:r>
      <w:r>
        <w:rPr/>
        <w:t>Company.</w:t>
      </w:r>
    </w:p>
    <w:p>
      <w:pPr>
        <w:pStyle w:val="BodyText"/>
        <w:spacing w:before="2"/>
        <w:rPr>
          <w:sz w:val="31"/>
        </w:rPr>
      </w:pPr>
    </w:p>
    <w:p>
      <w:pPr>
        <w:pStyle w:val="Heading4"/>
        <w:numPr>
          <w:ilvl w:val="0"/>
          <w:numId w:val="1"/>
        </w:numPr>
        <w:tabs>
          <w:tab w:pos="369" w:val="left" w:leader="none"/>
        </w:tabs>
        <w:spacing w:line="240" w:lineRule="auto" w:before="0" w:after="0"/>
        <w:ind w:left="368" w:right="0" w:hanging="268"/>
        <w:jc w:val="left"/>
      </w:pPr>
      <w:r>
        <w:rPr>
          <w:color w:val="000080"/>
        </w:rPr>
        <w:t>COMMITMENTS</w:t>
      </w:r>
    </w:p>
    <w:p>
      <w:pPr>
        <w:pStyle w:val="BodyText"/>
        <w:spacing w:line="312" w:lineRule="auto" w:before="88"/>
        <w:ind w:left="100" w:right="116" w:firstLine="187"/>
        <w:jc w:val="both"/>
      </w:pPr>
      <w:r>
        <w:rPr>
          <w:spacing w:val="2"/>
        </w:rPr>
        <w:t>The </w:t>
      </w:r>
      <w:r>
        <w:rPr/>
        <w:t>Company’s contractual purchase commitments consist primarily of scheduled </w:t>
      </w:r>
      <w:r>
        <w:rPr>
          <w:spacing w:val="2"/>
        </w:rPr>
        <w:t>aircraft </w:t>
      </w:r>
      <w:r>
        <w:rPr/>
        <w:t>acquisitions. Thirty-two 737-700 </w:t>
      </w:r>
      <w:r>
        <w:rPr>
          <w:spacing w:val="2"/>
        </w:rPr>
        <w:t>aircraft </w:t>
      </w:r>
      <w:r>
        <w:rPr/>
        <w:t>are scheduled for delivery in 1999, 21  in 2000, 21 in 2001, 21 in 2002, five in 2003, and five in 2004.  In  addition,  the Company has options to purchase up to 62 </w:t>
      </w:r>
      <w:r>
        <w:rPr>
          <w:spacing w:val="2"/>
        </w:rPr>
        <w:t>-700s </w:t>
      </w:r>
      <w:r>
        <w:rPr/>
        <w:t>during 2003–2006. </w:t>
      </w:r>
      <w:r>
        <w:rPr>
          <w:spacing w:val="2"/>
        </w:rPr>
        <w:t>The </w:t>
      </w:r>
      <w:r>
        <w:rPr/>
        <w:t>Company  has the option, which must be exercised two years prior to the contractual delivery   date, to substitute 737-600s or 737-800s for the </w:t>
      </w:r>
      <w:r>
        <w:rPr>
          <w:spacing w:val="2"/>
        </w:rPr>
        <w:t>-700s </w:t>
      </w:r>
      <w:r>
        <w:rPr/>
        <w:t>scheduled subsequent to 2000. </w:t>
      </w:r>
      <w:r>
        <w:rPr>
          <w:spacing w:val="-4"/>
        </w:rPr>
        <w:t>Aggregate </w:t>
      </w:r>
      <w:r>
        <w:rPr/>
        <w:t>funding needed for firm commitments is approximately $2,492.5 million, subject to adjustments for inflation, due as follows: $715.9 million in</w:t>
      </w:r>
      <w:r>
        <w:rPr>
          <w:spacing w:val="12"/>
        </w:rPr>
        <w:t> </w:t>
      </w:r>
      <w:r>
        <w:rPr/>
        <w:t>1999,</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59" w:right="223" w:firstLine="187"/>
      </w:pPr>
      <w:r>
        <w:rPr/>
        <w:t>$520.2 million in 2000, $498.7 million in 2001, $515.8 million in 2002, $152.8 million   in 2003,and $89.1 million in</w:t>
      </w:r>
      <w:r>
        <w:rPr>
          <w:spacing w:val="20"/>
        </w:rPr>
        <w:t> </w:t>
      </w:r>
      <w:r>
        <w:rPr/>
        <w:t>2004.</w:t>
      </w:r>
    </w:p>
    <w:p>
      <w:pPr>
        <w:pStyle w:val="BodyText"/>
        <w:rPr>
          <w:sz w:val="20"/>
        </w:rPr>
      </w:pPr>
    </w:p>
    <w:p>
      <w:pPr>
        <w:pStyle w:val="BodyText"/>
        <w:spacing w:before="10"/>
        <w:rPr>
          <w:sz w:val="11"/>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61"/>
        <w:gridCol w:w="2373"/>
        <w:gridCol w:w="1321"/>
      </w:tblGrid>
      <w:tr>
        <w:trPr>
          <w:trHeight w:val="276" w:hRule="exact"/>
        </w:trPr>
        <w:tc>
          <w:tcPr>
            <w:tcW w:w="5661" w:type="dxa"/>
          </w:tcPr>
          <w:p>
            <w:pPr>
              <w:pStyle w:val="TableParagraph"/>
              <w:spacing w:line="268" w:lineRule="exact"/>
              <w:ind w:left="50"/>
              <w:jc w:val="left"/>
              <w:rPr>
                <w:b/>
                <w:sz w:val="24"/>
              </w:rPr>
            </w:pPr>
            <w:r>
              <w:rPr>
                <w:b/>
                <w:color w:val="000080"/>
                <w:sz w:val="24"/>
              </w:rPr>
              <w:t>3. ACCRUED LIABILITIES</w:t>
            </w:r>
          </w:p>
        </w:tc>
        <w:tc>
          <w:tcPr>
            <w:tcW w:w="3694" w:type="dxa"/>
            <w:gridSpan w:val="2"/>
          </w:tcPr>
          <w:p>
            <w:pPr/>
          </w:p>
        </w:tc>
      </w:tr>
      <w:tr>
        <w:trPr>
          <w:trHeight w:val="243" w:hRule="exact"/>
        </w:trPr>
        <w:tc>
          <w:tcPr>
            <w:tcW w:w="5661" w:type="dxa"/>
          </w:tcPr>
          <w:p>
            <w:pPr>
              <w:pStyle w:val="TableParagraph"/>
              <w:spacing w:before="8"/>
              <w:ind w:left="50"/>
              <w:jc w:val="left"/>
              <w:rPr>
                <w:sz w:val="20"/>
              </w:rPr>
            </w:pPr>
            <w:r>
              <w:rPr>
                <w:sz w:val="20"/>
              </w:rPr>
              <w:t>(In thousands)</w:t>
            </w:r>
          </w:p>
        </w:tc>
        <w:tc>
          <w:tcPr>
            <w:tcW w:w="3694" w:type="dxa"/>
            <w:gridSpan w:val="2"/>
          </w:tcPr>
          <w:p>
            <w:pPr>
              <w:pStyle w:val="TableParagraph"/>
              <w:tabs>
                <w:tab w:pos="2803" w:val="left" w:leader="none"/>
              </w:tabs>
              <w:spacing w:before="8"/>
              <w:ind w:left="1368"/>
              <w:jc w:val="left"/>
              <w:rPr>
                <w:sz w:val="20"/>
              </w:rPr>
            </w:pPr>
            <w:r>
              <w:rPr>
                <w:b/>
                <w:color w:val="000080"/>
                <w:spacing w:val="-3"/>
                <w:sz w:val="20"/>
              </w:rPr>
              <w:t>1998</w:t>
              <w:tab/>
            </w:r>
            <w:r>
              <w:rPr>
                <w:sz w:val="20"/>
              </w:rPr>
              <w:t>1997</w:t>
            </w:r>
          </w:p>
        </w:tc>
      </w:tr>
      <w:tr>
        <w:trPr>
          <w:trHeight w:val="240" w:hRule="exact"/>
        </w:trPr>
        <w:tc>
          <w:tcPr>
            <w:tcW w:w="5661" w:type="dxa"/>
          </w:tcPr>
          <w:p>
            <w:pPr>
              <w:pStyle w:val="TableParagraph"/>
              <w:spacing w:before="4"/>
              <w:ind w:left="50"/>
              <w:jc w:val="left"/>
              <w:rPr>
                <w:sz w:val="20"/>
              </w:rPr>
            </w:pPr>
            <w:r>
              <w:rPr>
                <w:sz w:val="20"/>
              </w:rPr>
              <w:t>Employee profitsharing and savings plans (Note 9)</w:t>
            </w:r>
          </w:p>
        </w:tc>
        <w:tc>
          <w:tcPr>
            <w:tcW w:w="3694" w:type="dxa"/>
            <w:gridSpan w:val="2"/>
          </w:tcPr>
          <w:p>
            <w:pPr>
              <w:pStyle w:val="TableParagraph"/>
              <w:tabs>
                <w:tab w:pos="2913" w:val="left" w:leader="none"/>
              </w:tabs>
              <w:spacing w:before="4"/>
              <w:ind w:left="1368"/>
              <w:jc w:val="left"/>
              <w:rPr>
                <w:sz w:val="20"/>
              </w:rPr>
            </w:pPr>
            <w:r>
              <w:rPr>
                <w:b/>
                <w:color w:val="000080"/>
                <w:sz w:val="20"/>
              </w:rPr>
              <w:t>$123,195</w:t>
              <w:tab/>
            </w:r>
            <w:r>
              <w:rPr>
                <w:sz w:val="20"/>
              </w:rPr>
              <w:t>$92,857</w:t>
            </w:r>
          </w:p>
        </w:tc>
      </w:tr>
      <w:tr>
        <w:trPr>
          <w:trHeight w:val="240" w:hRule="exact"/>
        </w:trPr>
        <w:tc>
          <w:tcPr>
            <w:tcW w:w="5661" w:type="dxa"/>
          </w:tcPr>
          <w:p>
            <w:pPr>
              <w:pStyle w:val="TableParagraph"/>
              <w:spacing w:before="4"/>
              <w:ind w:left="50"/>
              <w:jc w:val="left"/>
              <w:rPr>
                <w:sz w:val="20"/>
              </w:rPr>
            </w:pPr>
            <w:r>
              <w:rPr>
                <w:sz w:val="20"/>
              </w:rPr>
              <w:t>Aircraft rentals</w:t>
            </w:r>
          </w:p>
        </w:tc>
        <w:tc>
          <w:tcPr>
            <w:tcW w:w="3694" w:type="dxa"/>
            <w:gridSpan w:val="2"/>
          </w:tcPr>
          <w:p>
            <w:pPr>
              <w:pStyle w:val="TableParagraph"/>
              <w:tabs>
                <w:tab w:pos="2913" w:val="left" w:leader="none"/>
              </w:tabs>
              <w:spacing w:before="4"/>
              <w:ind w:left="1478"/>
              <w:jc w:val="left"/>
              <w:rPr>
                <w:sz w:val="20"/>
              </w:rPr>
            </w:pPr>
            <w:r>
              <w:rPr>
                <w:b/>
                <w:color w:val="000080"/>
                <w:sz w:val="20"/>
              </w:rPr>
              <w:t>121,868</w:t>
              <w:tab/>
            </w:r>
            <w:r>
              <w:rPr>
                <w:sz w:val="20"/>
              </w:rPr>
              <w:t>123,669</w:t>
            </w:r>
          </w:p>
        </w:tc>
      </w:tr>
      <w:tr>
        <w:trPr>
          <w:trHeight w:val="240" w:hRule="exact"/>
        </w:trPr>
        <w:tc>
          <w:tcPr>
            <w:tcW w:w="5661" w:type="dxa"/>
          </w:tcPr>
          <w:p>
            <w:pPr>
              <w:pStyle w:val="TableParagraph"/>
              <w:spacing w:before="4"/>
              <w:ind w:left="50"/>
              <w:jc w:val="left"/>
              <w:rPr>
                <w:sz w:val="20"/>
              </w:rPr>
            </w:pPr>
            <w:r>
              <w:rPr>
                <w:sz w:val="20"/>
              </w:rPr>
              <w:t>Vacation pay</w:t>
            </w:r>
          </w:p>
        </w:tc>
        <w:tc>
          <w:tcPr>
            <w:tcW w:w="3694" w:type="dxa"/>
            <w:gridSpan w:val="2"/>
          </w:tcPr>
          <w:p>
            <w:pPr>
              <w:pStyle w:val="TableParagraph"/>
              <w:tabs>
                <w:tab w:pos="3024" w:val="left" w:leader="none"/>
              </w:tabs>
              <w:spacing w:before="4"/>
              <w:ind w:left="1589"/>
              <w:jc w:val="left"/>
              <w:rPr>
                <w:sz w:val="20"/>
              </w:rPr>
            </w:pPr>
            <w:r>
              <w:rPr>
                <w:b/>
                <w:color w:val="000080"/>
                <w:sz w:val="20"/>
              </w:rPr>
              <w:t>54,781</w:t>
              <w:tab/>
            </w:r>
            <w:r>
              <w:rPr>
                <w:spacing w:val="-2"/>
                <w:sz w:val="20"/>
              </w:rPr>
              <w:t>50,812</w:t>
            </w:r>
          </w:p>
        </w:tc>
      </w:tr>
      <w:tr>
        <w:trPr>
          <w:trHeight w:val="240" w:hRule="exact"/>
        </w:trPr>
        <w:tc>
          <w:tcPr>
            <w:tcW w:w="5661" w:type="dxa"/>
          </w:tcPr>
          <w:p>
            <w:pPr>
              <w:pStyle w:val="TableParagraph"/>
              <w:spacing w:before="4"/>
              <w:ind w:left="50"/>
              <w:jc w:val="left"/>
              <w:rPr>
                <w:sz w:val="20"/>
              </w:rPr>
            </w:pPr>
            <w:r>
              <w:rPr>
                <w:sz w:val="20"/>
              </w:rPr>
              <w:t>Other</w:t>
            </w:r>
          </w:p>
        </w:tc>
        <w:tc>
          <w:tcPr>
            <w:tcW w:w="3694" w:type="dxa"/>
            <w:gridSpan w:val="2"/>
          </w:tcPr>
          <w:p>
            <w:pPr>
              <w:pStyle w:val="TableParagraph"/>
              <w:tabs>
                <w:tab w:pos="2913" w:val="left" w:leader="none"/>
              </w:tabs>
              <w:spacing w:before="4"/>
              <w:ind w:left="1478"/>
              <w:jc w:val="left"/>
              <w:rPr>
                <w:sz w:val="20"/>
              </w:rPr>
            </w:pPr>
            <w:r>
              <w:rPr>
                <w:b/>
                <w:color w:val="000080"/>
                <w:sz w:val="20"/>
                <w:u w:val="single" w:color="000080"/>
              </w:rPr>
              <w:t>177,604</w:t>
            </w:r>
            <w:r>
              <w:rPr>
                <w:b/>
                <w:color w:val="000080"/>
                <w:sz w:val="20"/>
              </w:rPr>
              <w:tab/>
            </w:r>
            <w:r>
              <w:rPr>
                <w:sz w:val="20"/>
                <w:u w:val="single"/>
              </w:rPr>
              <w:t>159,612</w:t>
            </w:r>
          </w:p>
        </w:tc>
      </w:tr>
      <w:tr>
        <w:trPr>
          <w:trHeight w:val="458" w:hRule="exact"/>
        </w:trPr>
        <w:tc>
          <w:tcPr>
            <w:tcW w:w="5661" w:type="dxa"/>
          </w:tcPr>
          <w:p>
            <w:pPr/>
          </w:p>
        </w:tc>
        <w:tc>
          <w:tcPr>
            <w:tcW w:w="3694" w:type="dxa"/>
            <w:gridSpan w:val="2"/>
          </w:tcPr>
          <w:p>
            <w:pPr>
              <w:pStyle w:val="TableParagraph"/>
              <w:tabs>
                <w:tab w:pos="2803" w:val="left" w:leader="none"/>
              </w:tabs>
              <w:spacing w:before="4"/>
              <w:ind w:left="1368"/>
              <w:jc w:val="left"/>
              <w:rPr>
                <w:sz w:val="20"/>
              </w:rPr>
            </w:pPr>
            <w:r>
              <w:rPr>
                <w:b/>
                <w:color w:val="000080"/>
                <w:sz w:val="20"/>
                <w:u w:val="thick" w:color="000080"/>
              </w:rPr>
              <w:t>$477,448</w:t>
            </w:r>
            <w:r>
              <w:rPr>
                <w:b/>
                <w:color w:val="000080"/>
                <w:sz w:val="20"/>
              </w:rPr>
              <w:tab/>
            </w:r>
            <w:r>
              <w:rPr>
                <w:sz w:val="20"/>
                <w:u w:val="thick"/>
              </w:rPr>
              <w:t>$426,950</w:t>
            </w:r>
          </w:p>
        </w:tc>
      </w:tr>
      <w:tr>
        <w:trPr>
          <w:trHeight w:val="499" w:hRule="exact"/>
        </w:trPr>
        <w:tc>
          <w:tcPr>
            <w:tcW w:w="5661" w:type="dxa"/>
          </w:tcPr>
          <w:p>
            <w:pPr>
              <w:pStyle w:val="TableParagraph"/>
              <w:spacing w:before="215"/>
              <w:ind w:left="50"/>
              <w:jc w:val="left"/>
              <w:rPr>
                <w:b/>
                <w:sz w:val="24"/>
              </w:rPr>
            </w:pPr>
            <w:r>
              <w:rPr>
                <w:b/>
                <w:color w:val="000080"/>
                <w:sz w:val="24"/>
              </w:rPr>
              <w:t>4. LONG-TERM DEBT</w:t>
            </w:r>
          </w:p>
        </w:tc>
        <w:tc>
          <w:tcPr>
            <w:tcW w:w="3694" w:type="dxa"/>
            <w:gridSpan w:val="2"/>
          </w:tcPr>
          <w:p>
            <w:pPr/>
          </w:p>
        </w:tc>
      </w:tr>
      <w:tr>
        <w:trPr>
          <w:trHeight w:val="243" w:hRule="exact"/>
        </w:trPr>
        <w:tc>
          <w:tcPr>
            <w:tcW w:w="5661" w:type="dxa"/>
          </w:tcPr>
          <w:p>
            <w:pPr>
              <w:pStyle w:val="TableParagraph"/>
              <w:spacing w:before="8"/>
              <w:ind w:left="50"/>
              <w:jc w:val="left"/>
              <w:rPr>
                <w:sz w:val="20"/>
              </w:rPr>
            </w:pPr>
            <w:r>
              <w:rPr>
                <w:sz w:val="20"/>
              </w:rPr>
              <w:t>(In thousands)</w:t>
            </w:r>
          </w:p>
        </w:tc>
        <w:tc>
          <w:tcPr>
            <w:tcW w:w="3694" w:type="dxa"/>
            <w:gridSpan w:val="2"/>
          </w:tcPr>
          <w:p>
            <w:pPr>
              <w:pStyle w:val="TableParagraph"/>
              <w:tabs>
                <w:tab w:pos="2765" w:val="left" w:leader="none"/>
              </w:tabs>
              <w:spacing w:before="8"/>
              <w:ind w:left="1233"/>
              <w:jc w:val="left"/>
              <w:rPr>
                <w:sz w:val="20"/>
              </w:rPr>
            </w:pPr>
            <w:r>
              <w:rPr>
                <w:b/>
                <w:color w:val="000080"/>
                <w:spacing w:val="-3"/>
                <w:sz w:val="20"/>
              </w:rPr>
              <w:t>1998</w:t>
              <w:tab/>
            </w:r>
            <w:r>
              <w:rPr>
                <w:sz w:val="20"/>
              </w:rPr>
              <w:t>1997</w:t>
            </w:r>
          </w:p>
        </w:tc>
      </w:tr>
      <w:tr>
        <w:trPr>
          <w:trHeight w:val="235" w:hRule="exact"/>
        </w:trPr>
        <w:tc>
          <w:tcPr>
            <w:tcW w:w="5661" w:type="dxa"/>
          </w:tcPr>
          <w:p>
            <w:pPr>
              <w:pStyle w:val="TableParagraph"/>
              <w:spacing w:before="4"/>
              <w:ind w:left="50"/>
              <w:jc w:val="left"/>
              <w:rPr>
                <w:sz w:val="20"/>
              </w:rPr>
            </w:pPr>
            <w:r>
              <w:rPr>
                <w:sz w:val="20"/>
              </w:rPr>
              <w:t>9 1/4% Notes due 1998</w:t>
            </w:r>
          </w:p>
        </w:tc>
        <w:tc>
          <w:tcPr>
            <w:tcW w:w="3694" w:type="dxa"/>
            <w:gridSpan w:val="2"/>
          </w:tcPr>
          <w:p>
            <w:pPr>
              <w:pStyle w:val="TableParagraph"/>
              <w:tabs>
                <w:tab w:pos="2045" w:val="left" w:leader="none"/>
                <w:tab w:pos="2813" w:val="left" w:leader="none"/>
              </w:tabs>
              <w:spacing w:before="4"/>
              <w:ind w:left="1185"/>
              <w:jc w:val="left"/>
              <w:rPr>
                <w:sz w:val="20"/>
              </w:rPr>
            </w:pPr>
            <w:r>
              <w:rPr>
                <w:b/>
                <w:color w:val="000080"/>
                <w:sz w:val="20"/>
              </w:rPr>
              <w:t>$</w:t>
              <w:tab/>
              <w:t>-</w:t>
              <w:tab/>
            </w:r>
            <w:r>
              <w:rPr>
                <w:sz w:val="20"/>
              </w:rPr>
              <w:t>$100,000</w:t>
            </w:r>
          </w:p>
        </w:tc>
      </w:tr>
      <w:tr>
        <w:trPr>
          <w:trHeight w:val="245" w:hRule="exact"/>
        </w:trPr>
        <w:tc>
          <w:tcPr>
            <w:tcW w:w="5661" w:type="dxa"/>
          </w:tcPr>
          <w:p>
            <w:pPr>
              <w:pStyle w:val="TableParagraph"/>
              <w:spacing w:line="230" w:lineRule="exact"/>
              <w:ind w:left="50"/>
              <w:jc w:val="left"/>
              <w:rPr>
                <w:sz w:val="20"/>
              </w:rPr>
            </w:pPr>
            <w:r>
              <w:rPr>
                <w:sz w:val="20"/>
              </w:rPr>
              <w:t>9.4% Notes due 2001</w:t>
            </w:r>
          </w:p>
        </w:tc>
        <w:tc>
          <w:tcPr>
            <w:tcW w:w="2373" w:type="dxa"/>
          </w:tcPr>
          <w:p>
            <w:pPr>
              <w:pStyle w:val="TableParagraph"/>
              <w:spacing w:line="225" w:lineRule="exact"/>
              <w:ind w:right="261"/>
              <w:rPr>
                <w:b/>
                <w:sz w:val="20"/>
              </w:rPr>
            </w:pPr>
            <w:r>
              <w:rPr>
                <w:b/>
                <w:color w:val="000080"/>
                <w:sz w:val="20"/>
              </w:rPr>
              <w:t>100,000</w:t>
            </w:r>
          </w:p>
        </w:tc>
        <w:tc>
          <w:tcPr>
            <w:tcW w:w="1321" w:type="dxa"/>
          </w:tcPr>
          <w:p>
            <w:pPr>
              <w:pStyle w:val="TableParagraph"/>
              <w:spacing w:line="230" w:lineRule="exact"/>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8 3/4% Notes due 2003</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8% Notes due 2005</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7 7/8% Notes due 2007</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7 3/8% Debentures due 2027</w:t>
            </w:r>
          </w:p>
        </w:tc>
        <w:tc>
          <w:tcPr>
            <w:tcW w:w="2373" w:type="dxa"/>
          </w:tcPr>
          <w:p>
            <w:pPr>
              <w:pStyle w:val="TableParagraph"/>
              <w:ind w:right="261"/>
              <w:rPr>
                <w:b/>
                <w:sz w:val="20"/>
              </w:rPr>
            </w:pPr>
            <w:r>
              <w:rPr>
                <w:b/>
                <w:color w:val="000080"/>
                <w:sz w:val="20"/>
              </w:rPr>
              <w:t>100,000</w:t>
            </w:r>
          </w:p>
        </w:tc>
        <w:tc>
          <w:tcPr>
            <w:tcW w:w="1321" w:type="dxa"/>
          </w:tcPr>
          <w:p>
            <w:pPr>
              <w:pStyle w:val="TableParagraph"/>
              <w:spacing w:before="4"/>
              <w:ind w:right="49"/>
              <w:rPr>
                <w:sz w:val="20"/>
              </w:rPr>
            </w:pPr>
            <w:r>
              <w:rPr>
                <w:sz w:val="20"/>
              </w:rPr>
              <w:t>100,000</w:t>
            </w:r>
          </w:p>
        </w:tc>
      </w:tr>
      <w:tr>
        <w:trPr>
          <w:trHeight w:val="240" w:hRule="exact"/>
        </w:trPr>
        <w:tc>
          <w:tcPr>
            <w:tcW w:w="5661" w:type="dxa"/>
          </w:tcPr>
          <w:p>
            <w:pPr>
              <w:pStyle w:val="TableParagraph"/>
              <w:spacing w:before="4"/>
              <w:ind w:left="50"/>
              <w:jc w:val="left"/>
              <w:rPr>
                <w:sz w:val="20"/>
              </w:rPr>
            </w:pPr>
            <w:r>
              <w:rPr>
                <w:sz w:val="20"/>
              </w:rPr>
              <w:t>Capital leases (Note 5)</w:t>
            </w:r>
          </w:p>
        </w:tc>
        <w:tc>
          <w:tcPr>
            <w:tcW w:w="2373" w:type="dxa"/>
          </w:tcPr>
          <w:p>
            <w:pPr>
              <w:pStyle w:val="TableParagraph"/>
              <w:ind w:right="261"/>
              <w:rPr>
                <w:b/>
                <w:sz w:val="20"/>
              </w:rPr>
            </w:pPr>
            <w:r>
              <w:rPr>
                <w:b/>
                <w:color w:val="000080"/>
                <w:sz w:val="20"/>
              </w:rPr>
              <w:t>133,190</w:t>
            </w:r>
          </w:p>
        </w:tc>
        <w:tc>
          <w:tcPr>
            <w:tcW w:w="1321" w:type="dxa"/>
          </w:tcPr>
          <w:p>
            <w:pPr>
              <w:pStyle w:val="TableParagraph"/>
              <w:spacing w:before="4"/>
              <w:ind w:right="49"/>
              <w:rPr>
                <w:sz w:val="20"/>
              </w:rPr>
            </w:pPr>
            <w:r>
              <w:rPr>
                <w:sz w:val="20"/>
              </w:rPr>
              <w:t>152,324</w:t>
            </w:r>
          </w:p>
        </w:tc>
      </w:tr>
      <w:tr>
        <w:trPr>
          <w:trHeight w:val="235" w:hRule="exact"/>
        </w:trPr>
        <w:tc>
          <w:tcPr>
            <w:tcW w:w="5661" w:type="dxa"/>
          </w:tcPr>
          <w:p>
            <w:pPr>
              <w:pStyle w:val="TableParagraph"/>
              <w:spacing w:before="4"/>
              <w:ind w:left="50"/>
              <w:jc w:val="left"/>
              <w:rPr>
                <w:sz w:val="20"/>
              </w:rPr>
            </w:pPr>
            <w:r>
              <w:rPr>
                <w:sz w:val="20"/>
              </w:rPr>
              <w:t>Other</w:t>
            </w:r>
          </w:p>
        </w:tc>
        <w:tc>
          <w:tcPr>
            <w:tcW w:w="2373" w:type="dxa"/>
          </w:tcPr>
          <w:p>
            <w:pPr>
              <w:pStyle w:val="TableParagraph"/>
              <w:ind w:right="260"/>
              <w:rPr>
                <w:b/>
                <w:sz w:val="20"/>
              </w:rPr>
            </w:pPr>
            <w:r>
              <w:rPr>
                <w:b/>
                <w:color w:val="000080"/>
                <w:sz w:val="20"/>
                <w:u w:val="single" w:color="000080"/>
              </w:rPr>
              <w:t>4,481</w:t>
            </w:r>
          </w:p>
        </w:tc>
        <w:tc>
          <w:tcPr>
            <w:tcW w:w="1321" w:type="dxa"/>
          </w:tcPr>
          <w:p>
            <w:pPr>
              <w:pStyle w:val="TableParagraph"/>
              <w:spacing w:before="4"/>
              <w:ind w:right="48"/>
              <w:rPr>
                <w:sz w:val="20"/>
              </w:rPr>
            </w:pPr>
            <w:r>
              <w:rPr>
                <w:w w:val="100"/>
                <w:sz w:val="20"/>
              </w:rPr>
              <w:t>-</w:t>
            </w:r>
          </w:p>
        </w:tc>
      </w:tr>
      <w:tr>
        <w:trPr>
          <w:trHeight w:val="245" w:hRule="exact"/>
        </w:trPr>
        <w:tc>
          <w:tcPr>
            <w:tcW w:w="5661" w:type="dxa"/>
          </w:tcPr>
          <w:p>
            <w:pPr/>
          </w:p>
        </w:tc>
        <w:tc>
          <w:tcPr>
            <w:tcW w:w="2373" w:type="dxa"/>
          </w:tcPr>
          <w:p>
            <w:pPr>
              <w:pStyle w:val="TableParagraph"/>
              <w:spacing w:before="5"/>
              <w:ind w:right="261"/>
              <w:rPr>
                <w:b/>
                <w:sz w:val="20"/>
              </w:rPr>
            </w:pPr>
            <w:r>
              <w:rPr>
                <w:b/>
                <w:color w:val="000080"/>
                <w:sz w:val="20"/>
              </w:rPr>
              <w:t>637,671</w:t>
            </w:r>
          </w:p>
        </w:tc>
        <w:tc>
          <w:tcPr>
            <w:tcW w:w="1321" w:type="dxa"/>
          </w:tcPr>
          <w:p>
            <w:pPr>
              <w:pStyle w:val="TableParagraph"/>
              <w:spacing w:before="26"/>
              <w:ind w:right="49"/>
              <w:rPr>
                <w:sz w:val="20"/>
              </w:rPr>
            </w:pPr>
            <w:r>
              <w:rPr>
                <w:sz w:val="20"/>
              </w:rPr>
              <w:t>752,324</w:t>
            </w:r>
          </w:p>
        </w:tc>
      </w:tr>
      <w:tr>
        <w:trPr>
          <w:trHeight w:val="240" w:hRule="exact"/>
        </w:trPr>
        <w:tc>
          <w:tcPr>
            <w:tcW w:w="5661" w:type="dxa"/>
          </w:tcPr>
          <w:p>
            <w:pPr>
              <w:pStyle w:val="TableParagraph"/>
              <w:spacing w:before="4"/>
              <w:ind w:left="50"/>
              <w:jc w:val="left"/>
              <w:rPr>
                <w:sz w:val="20"/>
              </w:rPr>
            </w:pPr>
            <w:r>
              <w:rPr>
                <w:sz w:val="20"/>
              </w:rPr>
              <w:t>Less current maturities</w:t>
            </w:r>
          </w:p>
        </w:tc>
        <w:tc>
          <w:tcPr>
            <w:tcW w:w="2373" w:type="dxa"/>
          </w:tcPr>
          <w:p>
            <w:pPr>
              <w:pStyle w:val="TableParagraph"/>
              <w:ind w:right="260"/>
              <w:rPr>
                <w:b/>
                <w:sz w:val="20"/>
              </w:rPr>
            </w:pPr>
            <w:r>
              <w:rPr>
                <w:b/>
                <w:color w:val="000080"/>
                <w:sz w:val="20"/>
              </w:rPr>
              <w:t>11,996</w:t>
            </w:r>
          </w:p>
        </w:tc>
        <w:tc>
          <w:tcPr>
            <w:tcW w:w="1321" w:type="dxa"/>
          </w:tcPr>
          <w:p>
            <w:pPr>
              <w:pStyle w:val="TableParagraph"/>
              <w:spacing w:before="4"/>
              <w:ind w:right="49"/>
              <w:rPr>
                <w:sz w:val="20"/>
              </w:rPr>
            </w:pPr>
            <w:r>
              <w:rPr>
                <w:sz w:val="20"/>
              </w:rPr>
              <w:t>121,324</w:t>
            </w:r>
          </w:p>
        </w:tc>
      </w:tr>
      <w:tr>
        <w:trPr>
          <w:trHeight w:val="237" w:hRule="exact"/>
        </w:trPr>
        <w:tc>
          <w:tcPr>
            <w:tcW w:w="5661" w:type="dxa"/>
          </w:tcPr>
          <w:p>
            <w:pPr>
              <w:pStyle w:val="TableParagraph"/>
              <w:spacing w:before="4"/>
              <w:ind w:left="50"/>
              <w:jc w:val="left"/>
              <w:rPr>
                <w:sz w:val="20"/>
              </w:rPr>
            </w:pPr>
            <w:r>
              <w:rPr>
                <w:sz w:val="20"/>
              </w:rPr>
              <w:t>Less debt discount</w:t>
            </w:r>
          </w:p>
        </w:tc>
        <w:tc>
          <w:tcPr>
            <w:tcW w:w="2373" w:type="dxa"/>
          </w:tcPr>
          <w:p>
            <w:pPr>
              <w:pStyle w:val="TableParagraph"/>
              <w:ind w:right="260"/>
              <w:rPr>
                <w:b/>
                <w:sz w:val="20"/>
              </w:rPr>
            </w:pPr>
            <w:r>
              <w:rPr>
                <w:b/>
                <w:color w:val="000080"/>
                <w:sz w:val="20"/>
                <w:u w:val="single" w:color="000080"/>
              </w:rPr>
              <w:t>2,366</w:t>
            </w:r>
          </w:p>
        </w:tc>
        <w:tc>
          <w:tcPr>
            <w:tcW w:w="1321" w:type="dxa"/>
          </w:tcPr>
          <w:p>
            <w:pPr>
              <w:pStyle w:val="TableParagraph"/>
              <w:spacing w:before="4"/>
              <w:ind w:right="49"/>
              <w:rPr>
                <w:sz w:val="20"/>
              </w:rPr>
            </w:pPr>
            <w:r>
              <w:rPr>
                <w:sz w:val="20"/>
                <w:u w:val="single"/>
              </w:rPr>
              <w:t>2,894</w:t>
            </w:r>
          </w:p>
        </w:tc>
      </w:tr>
      <w:tr>
        <w:trPr>
          <w:trHeight w:val="275" w:hRule="exact"/>
        </w:trPr>
        <w:tc>
          <w:tcPr>
            <w:tcW w:w="5661" w:type="dxa"/>
          </w:tcPr>
          <w:p>
            <w:pPr/>
          </w:p>
        </w:tc>
        <w:tc>
          <w:tcPr>
            <w:tcW w:w="2373" w:type="dxa"/>
          </w:tcPr>
          <w:p>
            <w:pPr>
              <w:pStyle w:val="TableParagraph"/>
              <w:spacing w:line="275" w:lineRule="exact"/>
              <w:ind w:right="262"/>
              <w:rPr>
                <w:b/>
                <w:sz w:val="24"/>
              </w:rPr>
            </w:pPr>
            <w:r>
              <w:rPr>
                <w:b/>
                <w:color w:val="000080"/>
                <w:sz w:val="24"/>
                <w:u w:val="thick" w:color="000080"/>
              </w:rPr>
              <w:t>$623,309</w:t>
            </w:r>
          </w:p>
        </w:tc>
        <w:tc>
          <w:tcPr>
            <w:tcW w:w="1321" w:type="dxa"/>
          </w:tcPr>
          <w:p>
            <w:pPr>
              <w:pStyle w:val="TableParagraph"/>
              <w:spacing w:line="270" w:lineRule="exact"/>
              <w:ind w:right="47"/>
              <w:rPr>
                <w:sz w:val="24"/>
              </w:rPr>
            </w:pPr>
            <w:r>
              <w:rPr>
                <w:w w:val="95"/>
                <w:sz w:val="24"/>
                <w:u w:val="thick"/>
              </w:rPr>
              <w:t>$628,106</w:t>
            </w:r>
          </w:p>
        </w:tc>
      </w:tr>
    </w:tbl>
    <w:p>
      <w:pPr>
        <w:pStyle w:val="BodyText"/>
        <w:rPr>
          <w:sz w:val="20"/>
        </w:rPr>
      </w:pPr>
    </w:p>
    <w:p>
      <w:pPr>
        <w:pStyle w:val="BodyText"/>
        <w:spacing w:line="312" w:lineRule="auto" w:before="219"/>
        <w:ind w:left="160" w:right="114" w:firstLine="187"/>
        <w:jc w:val="both"/>
      </w:pPr>
      <w:r>
        <w:rPr/>
        <w:t>On </w:t>
      </w:r>
      <w:r>
        <w:rPr>
          <w:spacing w:val="3"/>
        </w:rPr>
        <w:t>February </w:t>
      </w:r>
      <w:r>
        <w:rPr/>
        <w:t>28, 1997, the Company issued $100 million of senior unsecured 7 3/8% Debentures due March 1, 2027. Interest is payable semi-annually on March 1 and September 1. </w:t>
      </w:r>
      <w:r>
        <w:rPr>
          <w:spacing w:val="2"/>
        </w:rPr>
        <w:t>The </w:t>
      </w:r>
      <w:r>
        <w:rPr/>
        <w:t>Debentures </w:t>
      </w:r>
      <w:r>
        <w:rPr>
          <w:spacing w:val="-3"/>
        </w:rPr>
        <w:t>may </w:t>
      </w:r>
      <w:r>
        <w:rPr/>
        <w:t>be redeemed, at the option of the Company, in whole at any time or in part from time to time, at a redemption price equal to the greater of the principal amount of the Debentures plus accrued interest at the date of redemption or the sum of the present values of the remaining scheduled payments of principal and interest thereon, discounted to the date of redemption at the comparable treasury </w:t>
      </w:r>
      <w:r>
        <w:rPr>
          <w:spacing w:val="2"/>
        </w:rPr>
        <w:t>rate </w:t>
      </w:r>
      <w:r>
        <w:rPr/>
        <w:t>plus 20 basis points, plus accrued interest at the date of</w:t>
      </w:r>
      <w:r>
        <w:rPr>
          <w:spacing w:val="13"/>
        </w:rPr>
        <w:t> </w:t>
      </w:r>
      <w:r>
        <w:rPr/>
        <w:t>redemption.</w:t>
      </w:r>
    </w:p>
    <w:p>
      <w:pPr>
        <w:spacing w:after="0" w:line="312" w:lineRule="auto"/>
        <w:jc w:val="both"/>
        <w:sectPr>
          <w:pgSz w:w="12240" w:h="15840"/>
          <w:pgMar w:header="1448" w:footer="344" w:top="1700" w:bottom="540" w:left="1280" w:right="1320"/>
        </w:sectPr>
      </w:pPr>
    </w:p>
    <w:p>
      <w:pPr>
        <w:pStyle w:val="BodyText"/>
        <w:rPr>
          <w:sz w:val="20"/>
        </w:rPr>
      </w:pPr>
    </w:p>
    <w:p>
      <w:pPr>
        <w:pStyle w:val="BodyText"/>
        <w:spacing w:line="312" w:lineRule="auto" w:before="219"/>
        <w:ind w:left="119" w:right="117" w:firstLine="187"/>
        <w:jc w:val="both"/>
      </w:pPr>
      <w:r>
        <w:rPr/>
        <w:t>On March 7, 1995, the Company issued $100 million of senior unsecured 8% Notes due March 1, 2005. Interest is payable semi-annually on March 1 and September 1.  </w:t>
      </w:r>
      <w:r>
        <w:rPr>
          <w:spacing w:val="2"/>
        </w:rPr>
        <w:t>The </w:t>
      </w:r>
      <w:r>
        <w:rPr/>
        <w:t>Notes are not redeemable prior to</w:t>
      </w:r>
      <w:r>
        <w:rPr>
          <w:spacing w:val="3"/>
        </w:rPr>
        <w:t> </w:t>
      </w:r>
      <w:r>
        <w:rPr/>
        <w:t>maturity.</w:t>
      </w:r>
    </w:p>
    <w:p>
      <w:pPr>
        <w:pStyle w:val="BodyText"/>
        <w:spacing w:before="7"/>
        <w:rPr>
          <w:sz w:val="31"/>
        </w:rPr>
      </w:pPr>
    </w:p>
    <w:p>
      <w:pPr>
        <w:pStyle w:val="BodyText"/>
        <w:spacing w:line="312" w:lineRule="auto"/>
        <w:ind w:left="119" w:right="114" w:firstLine="187"/>
        <w:jc w:val="both"/>
      </w:pPr>
      <w:r>
        <w:rPr/>
        <w:t>On September 9, 1992, the Company issued $100 million of senior unsecured 7 7/8% Notes due September 1, 2007. Interest is payable semi-annually on March 1 and September 1. The Notes are not redeemable prior to maturity.</w:t>
      </w:r>
    </w:p>
    <w:p>
      <w:pPr>
        <w:pStyle w:val="BodyText"/>
        <w:spacing w:before="6"/>
        <w:rPr>
          <w:sz w:val="31"/>
        </w:rPr>
      </w:pPr>
    </w:p>
    <w:p>
      <w:pPr>
        <w:pStyle w:val="BodyText"/>
        <w:spacing w:before="1"/>
        <w:ind w:left="307"/>
      </w:pPr>
      <w:r>
        <w:rPr/>
        <w:t>During 1991, the Company issued $100 million of senior unsecured 9 1/4% Notes,</w:t>
      </w:r>
    </w:p>
    <w:p>
      <w:pPr>
        <w:pStyle w:val="BodyText"/>
        <w:spacing w:line="312" w:lineRule="auto" w:before="84"/>
        <w:ind w:left="119" w:right="117"/>
        <w:jc w:val="both"/>
      </w:pPr>
      <w:r>
        <w:rPr/>
        <w:t>$100 million of senior unsecured 9.4% Notes, and $100 million of senior unsecured 8 3/4% Notes due February 15, 1998, July 1, 2001, and October 15, 2003, respectively. Interest on the Notes is payable semi-annually. The 9 1/4% Notes due February 15, 1998, were paid in full upon maturity. The remaining Notes are not redeemable prior to maturity.</w:t>
      </w:r>
    </w:p>
    <w:p>
      <w:pPr>
        <w:pStyle w:val="BodyText"/>
        <w:spacing w:before="6"/>
        <w:rPr>
          <w:sz w:val="31"/>
        </w:rPr>
      </w:pPr>
    </w:p>
    <w:p>
      <w:pPr>
        <w:pStyle w:val="BodyText"/>
        <w:spacing w:line="312" w:lineRule="auto" w:before="1"/>
        <w:ind w:left="119" w:right="117" w:firstLine="187"/>
        <w:jc w:val="both"/>
      </w:pPr>
      <w:r>
        <w:rPr/>
        <w:t>In addition to the credit facilities described above, Southwest has an unsecured Bank Credit Agreement with a group of banks that permits Southwest to borrow through May 6, 2002, on a revolving credit basis, up to $475 million. Interest </w:t>
      </w:r>
      <w:r>
        <w:rPr>
          <w:spacing w:val="2"/>
        </w:rPr>
        <w:t>rates </w:t>
      </w:r>
      <w:r>
        <w:rPr/>
        <w:t>on borrowings under the Credit Agreement can be, at the option of Southwest, the greater of the agent bank’s prime </w:t>
      </w:r>
      <w:r>
        <w:rPr>
          <w:spacing w:val="2"/>
        </w:rPr>
        <w:t>rate </w:t>
      </w:r>
      <w:r>
        <w:rPr/>
        <w:t>or the federal funds </w:t>
      </w:r>
      <w:r>
        <w:rPr>
          <w:spacing w:val="2"/>
        </w:rPr>
        <w:t>rate </w:t>
      </w:r>
      <w:r>
        <w:rPr/>
        <w:t>plus .5 percent, .17 percent over LIBOR, or  a fixed </w:t>
      </w:r>
      <w:r>
        <w:rPr>
          <w:spacing w:val="2"/>
        </w:rPr>
        <w:t>rate </w:t>
      </w:r>
      <w:r>
        <w:rPr/>
        <w:t>offered by the banks at the time of borrowing. </w:t>
      </w:r>
      <w:r>
        <w:rPr>
          <w:spacing w:val="2"/>
        </w:rPr>
        <w:t>The </w:t>
      </w:r>
      <w:r>
        <w:rPr/>
        <w:t>commitment fee is .08 percent per annum. </w:t>
      </w:r>
      <w:r>
        <w:rPr>
          <w:spacing w:val="3"/>
        </w:rPr>
        <w:t>There </w:t>
      </w:r>
      <w:r>
        <w:rPr/>
        <w:t>were no outstanding borrowings under this agreement, or prior similar agreements, at December 31, 1998 or</w:t>
      </w:r>
      <w:r>
        <w:rPr>
          <w:spacing w:val="1"/>
        </w:rPr>
        <w:t> </w:t>
      </w:r>
      <w:r>
        <w:rPr/>
        <w:t>1997.</w:t>
      </w:r>
    </w:p>
    <w:p>
      <w:pPr>
        <w:pStyle w:val="BodyText"/>
        <w:spacing w:before="2"/>
        <w:rPr>
          <w:sz w:val="31"/>
        </w:rPr>
      </w:pPr>
    </w:p>
    <w:p>
      <w:pPr>
        <w:pStyle w:val="Heading4"/>
        <w:numPr>
          <w:ilvl w:val="0"/>
          <w:numId w:val="2"/>
        </w:numPr>
        <w:tabs>
          <w:tab w:pos="389" w:val="left" w:leader="none"/>
        </w:tabs>
        <w:spacing w:line="240" w:lineRule="auto" w:before="0" w:after="0"/>
        <w:ind w:left="388" w:right="0" w:hanging="268"/>
        <w:jc w:val="both"/>
      </w:pPr>
      <w:r>
        <w:rPr>
          <w:color w:val="000080"/>
        </w:rPr>
        <w:t>LEASES</w:t>
      </w:r>
    </w:p>
    <w:p>
      <w:pPr>
        <w:pStyle w:val="BodyText"/>
        <w:spacing w:before="11"/>
        <w:rPr>
          <w:b/>
          <w:sz w:val="38"/>
        </w:rPr>
      </w:pPr>
    </w:p>
    <w:p>
      <w:pPr>
        <w:pStyle w:val="BodyText"/>
        <w:spacing w:line="312" w:lineRule="auto"/>
        <w:ind w:left="119" w:right="116" w:firstLine="187"/>
        <w:jc w:val="both"/>
      </w:pPr>
      <w:r>
        <w:rPr>
          <w:spacing w:val="3"/>
        </w:rPr>
        <w:t>Total </w:t>
      </w:r>
      <w:r>
        <w:rPr/>
        <w:t>rental expense for operating leases charged to operations in 1998, 1997, and 1996 was $306,629,000, $297,158,000, and $280,389,000, respectively. </w:t>
      </w:r>
      <w:r>
        <w:rPr>
          <w:spacing w:val="2"/>
        </w:rPr>
        <w:t>The </w:t>
      </w:r>
      <w:r>
        <w:rPr/>
        <w:t>majority  of the Company’s terminal operations space, as well as 99 </w:t>
      </w:r>
      <w:r>
        <w:rPr>
          <w:spacing w:val="2"/>
        </w:rPr>
        <w:t>aircraft, </w:t>
      </w:r>
      <w:r>
        <w:rPr/>
        <w:t>were under operating leases at December 31, 1998. </w:t>
      </w:r>
      <w:r>
        <w:rPr>
          <w:spacing w:val="2"/>
        </w:rPr>
        <w:t>The </w:t>
      </w:r>
      <w:r>
        <w:rPr/>
        <w:t>amounts applicable to capital leases included in property and equipment</w:t>
      </w:r>
      <w:r>
        <w:rPr>
          <w:spacing w:val="6"/>
        </w:rPr>
        <w:t> </w:t>
      </w:r>
      <w:r>
        <w:rPr/>
        <w:t>were:</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before="1"/>
        <w:rPr>
          <w:sz w:val="23"/>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927"/>
        <w:gridCol w:w="3234"/>
        <w:gridCol w:w="1184"/>
      </w:tblGrid>
      <w:tr>
        <w:trPr>
          <w:trHeight w:val="295" w:hRule="exact"/>
        </w:trPr>
        <w:tc>
          <w:tcPr>
            <w:tcW w:w="4927" w:type="dxa"/>
          </w:tcPr>
          <w:p>
            <w:pPr>
              <w:pStyle w:val="TableParagraph"/>
              <w:spacing w:line="230" w:lineRule="exact"/>
              <w:ind w:left="107"/>
              <w:jc w:val="left"/>
              <w:rPr>
                <w:sz w:val="20"/>
              </w:rPr>
            </w:pPr>
            <w:r>
              <w:rPr>
                <w:sz w:val="20"/>
              </w:rPr>
              <w:t>(In thousands)</w:t>
            </w:r>
          </w:p>
        </w:tc>
        <w:tc>
          <w:tcPr>
            <w:tcW w:w="3234" w:type="dxa"/>
          </w:tcPr>
          <w:p>
            <w:pPr>
              <w:pStyle w:val="TableParagraph"/>
              <w:spacing w:line="225" w:lineRule="exact"/>
              <w:ind w:left="2102"/>
              <w:jc w:val="left"/>
              <w:rPr>
                <w:b/>
                <w:sz w:val="20"/>
              </w:rPr>
            </w:pPr>
            <w:r>
              <w:rPr>
                <w:b/>
                <w:color w:val="000080"/>
                <w:sz w:val="20"/>
              </w:rPr>
              <w:t>1998</w:t>
            </w:r>
          </w:p>
        </w:tc>
        <w:tc>
          <w:tcPr>
            <w:tcW w:w="1184" w:type="dxa"/>
          </w:tcPr>
          <w:p>
            <w:pPr>
              <w:pStyle w:val="TableParagraph"/>
              <w:spacing w:line="230" w:lineRule="exact"/>
              <w:ind w:left="303"/>
              <w:jc w:val="left"/>
              <w:rPr>
                <w:sz w:val="20"/>
              </w:rPr>
            </w:pPr>
            <w:r>
              <w:rPr>
                <w:sz w:val="20"/>
              </w:rPr>
              <w:t>1997</w:t>
            </w:r>
          </w:p>
        </w:tc>
      </w:tr>
      <w:tr>
        <w:trPr>
          <w:trHeight w:val="360" w:hRule="exact"/>
        </w:trPr>
        <w:tc>
          <w:tcPr>
            <w:tcW w:w="4927" w:type="dxa"/>
          </w:tcPr>
          <w:p>
            <w:pPr>
              <w:pStyle w:val="TableParagraph"/>
              <w:spacing w:before="64"/>
              <w:ind w:left="50"/>
              <w:jc w:val="left"/>
              <w:rPr>
                <w:sz w:val="20"/>
              </w:rPr>
            </w:pPr>
            <w:r>
              <w:rPr>
                <w:sz w:val="20"/>
              </w:rPr>
              <w:t>Flight equipment</w:t>
            </w:r>
          </w:p>
        </w:tc>
        <w:tc>
          <w:tcPr>
            <w:tcW w:w="3234" w:type="dxa"/>
          </w:tcPr>
          <w:p>
            <w:pPr>
              <w:pStyle w:val="TableParagraph"/>
              <w:spacing w:before="60"/>
              <w:ind w:right="301"/>
              <w:rPr>
                <w:b/>
                <w:sz w:val="20"/>
              </w:rPr>
            </w:pPr>
            <w:r>
              <w:rPr>
                <w:b/>
                <w:color w:val="000080"/>
                <w:sz w:val="20"/>
              </w:rPr>
              <w:t>$230,486</w:t>
            </w:r>
          </w:p>
        </w:tc>
        <w:tc>
          <w:tcPr>
            <w:tcW w:w="1184" w:type="dxa"/>
          </w:tcPr>
          <w:p>
            <w:pPr>
              <w:pStyle w:val="TableParagraph"/>
              <w:spacing w:before="64"/>
              <w:ind w:right="48"/>
              <w:rPr>
                <w:sz w:val="20"/>
              </w:rPr>
            </w:pPr>
            <w:r>
              <w:rPr>
                <w:sz w:val="20"/>
              </w:rPr>
              <w:t>$227,803</w:t>
            </w:r>
          </w:p>
        </w:tc>
      </w:tr>
      <w:tr>
        <w:trPr>
          <w:trHeight w:val="360" w:hRule="exact"/>
        </w:trPr>
        <w:tc>
          <w:tcPr>
            <w:tcW w:w="4927" w:type="dxa"/>
          </w:tcPr>
          <w:p>
            <w:pPr>
              <w:pStyle w:val="TableParagraph"/>
              <w:spacing w:before="64"/>
              <w:ind w:left="50"/>
              <w:jc w:val="left"/>
              <w:rPr>
                <w:sz w:val="20"/>
              </w:rPr>
            </w:pPr>
            <w:r>
              <w:rPr>
                <w:sz w:val="20"/>
              </w:rPr>
              <w:t>Less accumulated amortization</w:t>
            </w:r>
          </w:p>
        </w:tc>
        <w:tc>
          <w:tcPr>
            <w:tcW w:w="3234" w:type="dxa"/>
          </w:tcPr>
          <w:p>
            <w:pPr>
              <w:pStyle w:val="TableParagraph"/>
              <w:spacing w:before="60"/>
              <w:ind w:right="301"/>
              <w:rPr>
                <w:b/>
                <w:sz w:val="20"/>
              </w:rPr>
            </w:pPr>
            <w:r>
              <w:rPr>
                <w:b/>
                <w:color w:val="000080"/>
                <w:sz w:val="20"/>
                <w:u w:val="single" w:color="000080"/>
              </w:rPr>
              <w:t>133,073</w:t>
            </w:r>
          </w:p>
        </w:tc>
        <w:tc>
          <w:tcPr>
            <w:tcW w:w="1184" w:type="dxa"/>
          </w:tcPr>
          <w:p>
            <w:pPr>
              <w:pStyle w:val="TableParagraph"/>
              <w:spacing w:before="64"/>
              <w:ind w:right="48"/>
              <w:rPr>
                <w:sz w:val="20"/>
              </w:rPr>
            </w:pPr>
            <w:r>
              <w:rPr>
                <w:sz w:val="20"/>
                <w:u w:val="single"/>
              </w:rPr>
              <w:t>122,346</w:t>
            </w:r>
          </w:p>
        </w:tc>
      </w:tr>
      <w:tr>
        <w:trPr>
          <w:trHeight w:val="295" w:hRule="exact"/>
        </w:trPr>
        <w:tc>
          <w:tcPr>
            <w:tcW w:w="4927" w:type="dxa"/>
          </w:tcPr>
          <w:p>
            <w:pPr/>
          </w:p>
        </w:tc>
        <w:tc>
          <w:tcPr>
            <w:tcW w:w="3234" w:type="dxa"/>
          </w:tcPr>
          <w:p>
            <w:pPr>
              <w:pStyle w:val="TableParagraph"/>
              <w:spacing w:before="60"/>
              <w:ind w:right="301"/>
              <w:rPr>
                <w:b/>
                <w:sz w:val="20"/>
              </w:rPr>
            </w:pPr>
            <w:r>
              <w:rPr>
                <w:b/>
                <w:color w:val="000080"/>
                <w:sz w:val="20"/>
                <w:u w:val="thick" w:color="000080"/>
              </w:rPr>
              <w:t>$97,413</w:t>
            </w:r>
          </w:p>
        </w:tc>
        <w:tc>
          <w:tcPr>
            <w:tcW w:w="1184" w:type="dxa"/>
          </w:tcPr>
          <w:p>
            <w:pPr>
              <w:pStyle w:val="TableParagraph"/>
              <w:spacing w:before="64"/>
              <w:ind w:right="48"/>
              <w:rPr>
                <w:sz w:val="20"/>
              </w:rPr>
            </w:pPr>
            <w:r>
              <w:rPr>
                <w:sz w:val="20"/>
                <w:u w:val="thick"/>
              </w:rPr>
              <w:t>$105,457</w:t>
            </w:r>
          </w:p>
        </w:tc>
      </w:tr>
    </w:tbl>
    <w:p>
      <w:pPr>
        <w:pStyle w:val="BodyText"/>
        <w:rPr>
          <w:sz w:val="20"/>
        </w:rPr>
      </w:pPr>
    </w:p>
    <w:p>
      <w:pPr>
        <w:pStyle w:val="BodyText"/>
        <w:spacing w:line="312" w:lineRule="auto" w:before="212" w:after="55"/>
        <w:ind w:left="160" w:right="117" w:firstLine="187"/>
        <w:jc w:val="both"/>
      </w:pPr>
      <w:r>
        <w:rPr>
          <w:spacing w:val="3"/>
        </w:rPr>
        <w:t>Future </w:t>
      </w:r>
      <w:r>
        <w:rPr/>
        <w:t>minimum lease payments under capital leases and noncancelable operating leases with initial or remaining terms in excess of one year at December 31, 1998,  were:</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611"/>
        <w:gridCol w:w="2565"/>
        <w:gridCol w:w="2160"/>
      </w:tblGrid>
      <w:tr>
        <w:trPr>
          <w:trHeight w:val="293" w:hRule="exact"/>
        </w:trPr>
        <w:tc>
          <w:tcPr>
            <w:tcW w:w="4611" w:type="dxa"/>
          </w:tcPr>
          <w:p>
            <w:pPr>
              <w:pStyle w:val="TableParagraph"/>
              <w:spacing w:line="225" w:lineRule="exact"/>
              <w:ind w:left="107"/>
              <w:jc w:val="left"/>
              <w:rPr>
                <w:sz w:val="20"/>
              </w:rPr>
            </w:pPr>
            <w:r>
              <w:rPr>
                <w:sz w:val="20"/>
              </w:rPr>
              <w:t>(In thousands)</w:t>
            </w:r>
          </w:p>
        </w:tc>
        <w:tc>
          <w:tcPr>
            <w:tcW w:w="2565" w:type="dxa"/>
          </w:tcPr>
          <w:p>
            <w:pPr>
              <w:pStyle w:val="TableParagraph"/>
              <w:spacing w:line="225" w:lineRule="exact"/>
              <w:ind w:left="743"/>
              <w:jc w:val="left"/>
              <w:rPr>
                <w:sz w:val="20"/>
              </w:rPr>
            </w:pPr>
            <w:r>
              <w:rPr>
                <w:sz w:val="20"/>
              </w:rPr>
              <w:t>Capital Leases</w:t>
            </w:r>
          </w:p>
        </w:tc>
        <w:tc>
          <w:tcPr>
            <w:tcW w:w="2160" w:type="dxa"/>
          </w:tcPr>
          <w:p>
            <w:pPr>
              <w:pStyle w:val="TableParagraph"/>
              <w:spacing w:line="225" w:lineRule="exact"/>
              <w:ind w:left="251"/>
              <w:jc w:val="left"/>
              <w:rPr>
                <w:sz w:val="20"/>
              </w:rPr>
            </w:pPr>
            <w:r>
              <w:rPr>
                <w:sz w:val="20"/>
              </w:rPr>
              <w:t>Operating Leases</w:t>
            </w:r>
          </w:p>
        </w:tc>
      </w:tr>
      <w:tr>
        <w:trPr>
          <w:trHeight w:val="360" w:hRule="exact"/>
        </w:trPr>
        <w:tc>
          <w:tcPr>
            <w:tcW w:w="4611" w:type="dxa"/>
          </w:tcPr>
          <w:p>
            <w:pPr>
              <w:pStyle w:val="TableParagraph"/>
              <w:spacing w:before="62"/>
              <w:ind w:left="232"/>
              <w:jc w:val="left"/>
              <w:rPr>
                <w:sz w:val="20"/>
              </w:rPr>
            </w:pPr>
            <w:r>
              <w:rPr>
                <w:sz w:val="20"/>
              </w:rPr>
              <w:t>1999</w:t>
            </w:r>
          </w:p>
        </w:tc>
        <w:tc>
          <w:tcPr>
            <w:tcW w:w="2565" w:type="dxa"/>
          </w:tcPr>
          <w:p>
            <w:pPr>
              <w:pStyle w:val="TableParagraph"/>
              <w:spacing w:before="62"/>
              <w:ind w:right="249"/>
              <w:rPr>
                <w:sz w:val="20"/>
              </w:rPr>
            </w:pPr>
            <w:r>
              <w:rPr>
                <w:sz w:val="20"/>
              </w:rPr>
              <w:t>$20,245</w:t>
            </w:r>
          </w:p>
        </w:tc>
        <w:tc>
          <w:tcPr>
            <w:tcW w:w="2160" w:type="dxa"/>
          </w:tcPr>
          <w:p>
            <w:pPr>
              <w:pStyle w:val="TableParagraph"/>
              <w:spacing w:before="62"/>
              <w:ind w:right="48"/>
              <w:rPr>
                <w:sz w:val="20"/>
              </w:rPr>
            </w:pPr>
            <w:r>
              <w:rPr>
                <w:sz w:val="20"/>
              </w:rPr>
              <w:t>$247,208</w:t>
            </w:r>
          </w:p>
        </w:tc>
      </w:tr>
      <w:tr>
        <w:trPr>
          <w:trHeight w:val="360" w:hRule="exact"/>
        </w:trPr>
        <w:tc>
          <w:tcPr>
            <w:tcW w:w="4611" w:type="dxa"/>
          </w:tcPr>
          <w:p>
            <w:pPr>
              <w:pStyle w:val="TableParagraph"/>
              <w:spacing w:before="62"/>
              <w:ind w:left="232"/>
              <w:jc w:val="left"/>
              <w:rPr>
                <w:sz w:val="20"/>
              </w:rPr>
            </w:pPr>
            <w:r>
              <w:rPr>
                <w:sz w:val="20"/>
              </w:rPr>
              <w:t>2000</w:t>
            </w:r>
          </w:p>
        </w:tc>
        <w:tc>
          <w:tcPr>
            <w:tcW w:w="2565" w:type="dxa"/>
          </w:tcPr>
          <w:p>
            <w:pPr>
              <w:pStyle w:val="TableParagraph"/>
              <w:spacing w:before="62"/>
              <w:ind w:right="249"/>
              <w:rPr>
                <w:sz w:val="20"/>
              </w:rPr>
            </w:pPr>
            <w:r>
              <w:rPr>
                <w:sz w:val="20"/>
              </w:rPr>
              <w:t>16,871</w:t>
            </w:r>
          </w:p>
        </w:tc>
        <w:tc>
          <w:tcPr>
            <w:tcW w:w="2160" w:type="dxa"/>
          </w:tcPr>
          <w:p>
            <w:pPr>
              <w:pStyle w:val="TableParagraph"/>
              <w:spacing w:before="62"/>
              <w:ind w:right="48"/>
              <w:rPr>
                <w:sz w:val="20"/>
              </w:rPr>
            </w:pPr>
            <w:r>
              <w:rPr>
                <w:sz w:val="20"/>
              </w:rPr>
              <w:t>235,955</w:t>
            </w:r>
          </w:p>
        </w:tc>
      </w:tr>
      <w:tr>
        <w:trPr>
          <w:trHeight w:val="360" w:hRule="exact"/>
        </w:trPr>
        <w:tc>
          <w:tcPr>
            <w:tcW w:w="4611" w:type="dxa"/>
          </w:tcPr>
          <w:p>
            <w:pPr>
              <w:pStyle w:val="TableParagraph"/>
              <w:spacing w:before="62"/>
              <w:ind w:left="232"/>
              <w:jc w:val="left"/>
              <w:rPr>
                <w:sz w:val="20"/>
              </w:rPr>
            </w:pPr>
            <w:r>
              <w:rPr>
                <w:sz w:val="20"/>
              </w:rPr>
              <w:t>2001</w:t>
            </w:r>
          </w:p>
        </w:tc>
        <w:tc>
          <w:tcPr>
            <w:tcW w:w="2565" w:type="dxa"/>
          </w:tcPr>
          <w:p>
            <w:pPr>
              <w:pStyle w:val="TableParagraph"/>
              <w:spacing w:before="62"/>
              <w:ind w:right="249"/>
              <w:rPr>
                <w:sz w:val="20"/>
              </w:rPr>
            </w:pPr>
            <w:r>
              <w:rPr>
                <w:sz w:val="20"/>
              </w:rPr>
              <w:t>17,391</w:t>
            </w:r>
          </w:p>
        </w:tc>
        <w:tc>
          <w:tcPr>
            <w:tcW w:w="2160" w:type="dxa"/>
          </w:tcPr>
          <w:p>
            <w:pPr>
              <w:pStyle w:val="TableParagraph"/>
              <w:spacing w:before="62"/>
              <w:ind w:right="48"/>
              <w:rPr>
                <w:sz w:val="20"/>
              </w:rPr>
            </w:pPr>
            <w:r>
              <w:rPr>
                <w:sz w:val="20"/>
              </w:rPr>
              <w:t>222,688</w:t>
            </w:r>
          </w:p>
        </w:tc>
      </w:tr>
      <w:tr>
        <w:trPr>
          <w:trHeight w:val="360" w:hRule="exact"/>
        </w:trPr>
        <w:tc>
          <w:tcPr>
            <w:tcW w:w="4611" w:type="dxa"/>
          </w:tcPr>
          <w:p>
            <w:pPr>
              <w:pStyle w:val="TableParagraph"/>
              <w:spacing w:before="62"/>
              <w:ind w:left="232"/>
              <w:jc w:val="left"/>
              <w:rPr>
                <w:sz w:val="20"/>
              </w:rPr>
            </w:pPr>
            <w:r>
              <w:rPr>
                <w:sz w:val="20"/>
              </w:rPr>
              <w:t>2002</w:t>
            </w:r>
          </w:p>
        </w:tc>
        <w:tc>
          <w:tcPr>
            <w:tcW w:w="2565" w:type="dxa"/>
          </w:tcPr>
          <w:p>
            <w:pPr>
              <w:pStyle w:val="TableParagraph"/>
              <w:spacing w:before="62"/>
              <w:ind w:right="249"/>
              <w:rPr>
                <w:sz w:val="20"/>
              </w:rPr>
            </w:pPr>
            <w:r>
              <w:rPr>
                <w:sz w:val="20"/>
              </w:rPr>
              <w:t>17,561</w:t>
            </w:r>
          </w:p>
        </w:tc>
        <w:tc>
          <w:tcPr>
            <w:tcW w:w="2160" w:type="dxa"/>
          </w:tcPr>
          <w:p>
            <w:pPr>
              <w:pStyle w:val="TableParagraph"/>
              <w:spacing w:before="62"/>
              <w:ind w:right="48"/>
              <w:rPr>
                <w:sz w:val="20"/>
              </w:rPr>
            </w:pPr>
            <w:r>
              <w:rPr>
                <w:sz w:val="20"/>
              </w:rPr>
              <w:t>208,311</w:t>
            </w:r>
          </w:p>
        </w:tc>
      </w:tr>
      <w:tr>
        <w:trPr>
          <w:trHeight w:val="360" w:hRule="exact"/>
        </w:trPr>
        <w:tc>
          <w:tcPr>
            <w:tcW w:w="4611" w:type="dxa"/>
          </w:tcPr>
          <w:p>
            <w:pPr>
              <w:pStyle w:val="TableParagraph"/>
              <w:spacing w:before="62"/>
              <w:ind w:left="232"/>
              <w:jc w:val="left"/>
              <w:rPr>
                <w:sz w:val="20"/>
              </w:rPr>
            </w:pPr>
            <w:r>
              <w:rPr>
                <w:sz w:val="20"/>
              </w:rPr>
              <w:t>2003</w:t>
            </w:r>
          </w:p>
        </w:tc>
        <w:tc>
          <w:tcPr>
            <w:tcW w:w="2565" w:type="dxa"/>
          </w:tcPr>
          <w:p>
            <w:pPr>
              <w:pStyle w:val="TableParagraph"/>
              <w:spacing w:before="62"/>
              <w:ind w:right="249"/>
              <w:rPr>
                <w:sz w:val="20"/>
              </w:rPr>
            </w:pPr>
            <w:r>
              <w:rPr>
                <w:sz w:val="20"/>
              </w:rPr>
              <w:t>17,750</w:t>
            </w:r>
          </w:p>
        </w:tc>
        <w:tc>
          <w:tcPr>
            <w:tcW w:w="2160" w:type="dxa"/>
          </w:tcPr>
          <w:p>
            <w:pPr>
              <w:pStyle w:val="TableParagraph"/>
              <w:spacing w:before="62"/>
              <w:ind w:right="48"/>
              <w:rPr>
                <w:sz w:val="20"/>
              </w:rPr>
            </w:pPr>
            <w:r>
              <w:rPr>
                <w:sz w:val="20"/>
              </w:rPr>
              <w:t>190,925</w:t>
            </w:r>
          </w:p>
        </w:tc>
      </w:tr>
      <w:tr>
        <w:trPr>
          <w:trHeight w:val="360" w:hRule="exact"/>
        </w:trPr>
        <w:tc>
          <w:tcPr>
            <w:tcW w:w="4611" w:type="dxa"/>
          </w:tcPr>
          <w:p>
            <w:pPr>
              <w:pStyle w:val="TableParagraph"/>
              <w:spacing w:before="62"/>
              <w:ind w:left="50"/>
              <w:jc w:val="left"/>
              <w:rPr>
                <w:sz w:val="20"/>
              </w:rPr>
            </w:pPr>
            <w:r>
              <w:rPr>
                <w:sz w:val="20"/>
              </w:rPr>
              <w:t>After 2003</w:t>
            </w:r>
          </w:p>
        </w:tc>
        <w:tc>
          <w:tcPr>
            <w:tcW w:w="2565" w:type="dxa"/>
          </w:tcPr>
          <w:p>
            <w:pPr>
              <w:pStyle w:val="TableParagraph"/>
              <w:spacing w:before="62"/>
              <w:ind w:right="249"/>
              <w:rPr>
                <w:sz w:val="20"/>
              </w:rPr>
            </w:pPr>
            <w:r>
              <w:rPr>
                <w:sz w:val="20"/>
                <w:u w:val="single"/>
              </w:rPr>
              <w:t>120,049</w:t>
            </w:r>
          </w:p>
        </w:tc>
        <w:tc>
          <w:tcPr>
            <w:tcW w:w="2160" w:type="dxa"/>
          </w:tcPr>
          <w:p>
            <w:pPr>
              <w:pStyle w:val="TableParagraph"/>
              <w:spacing w:before="62"/>
              <w:ind w:right="48"/>
              <w:rPr>
                <w:sz w:val="20"/>
              </w:rPr>
            </w:pPr>
            <w:r>
              <w:rPr>
                <w:sz w:val="20"/>
                <w:u w:val="single"/>
              </w:rPr>
              <w:t>1,901,005</w:t>
            </w:r>
          </w:p>
        </w:tc>
      </w:tr>
      <w:tr>
        <w:trPr>
          <w:trHeight w:val="360" w:hRule="exact"/>
        </w:trPr>
        <w:tc>
          <w:tcPr>
            <w:tcW w:w="4611" w:type="dxa"/>
          </w:tcPr>
          <w:p>
            <w:pPr>
              <w:pStyle w:val="TableParagraph"/>
              <w:spacing w:before="62"/>
              <w:ind w:left="50"/>
              <w:jc w:val="left"/>
              <w:rPr>
                <w:sz w:val="20"/>
              </w:rPr>
            </w:pPr>
            <w:r>
              <w:rPr>
                <w:sz w:val="20"/>
              </w:rPr>
              <w:t>Total minimum lease payments</w:t>
            </w:r>
          </w:p>
        </w:tc>
        <w:tc>
          <w:tcPr>
            <w:tcW w:w="2565" w:type="dxa"/>
          </w:tcPr>
          <w:p>
            <w:pPr>
              <w:pStyle w:val="TableParagraph"/>
              <w:spacing w:before="62"/>
              <w:ind w:right="249"/>
              <w:rPr>
                <w:sz w:val="20"/>
              </w:rPr>
            </w:pPr>
            <w:r>
              <w:rPr>
                <w:sz w:val="20"/>
              </w:rPr>
              <w:t>209,867</w:t>
            </w:r>
          </w:p>
        </w:tc>
        <w:tc>
          <w:tcPr>
            <w:tcW w:w="2160" w:type="dxa"/>
          </w:tcPr>
          <w:p>
            <w:pPr>
              <w:pStyle w:val="TableParagraph"/>
              <w:spacing w:before="62"/>
              <w:ind w:right="48"/>
              <w:rPr>
                <w:sz w:val="20"/>
              </w:rPr>
            </w:pPr>
            <w:r>
              <w:rPr>
                <w:sz w:val="20"/>
                <w:u w:val="thick"/>
              </w:rPr>
              <w:t>$3,006,092</w:t>
            </w:r>
          </w:p>
        </w:tc>
      </w:tr>
      <w:tr>
        <w:trPr>
          <w:trHeight w:val="360" w:hRule="exact"/>
        </w:trPr>
        <w:tc>
          <w:tcPr>
            <w:tcW w:w="4611" w:type="dxa"/>
          </w:tcPr>
          <w:p>
            <w:pPr>
              <w:pStyle w:val="TableParagraph"/>
              <w:spacing w:before="62"/>
              <w:ind w:left="50"/>
              <w:jc w:val="left"/>
              <w:rPr>
                <w:sz w:val="20"/>
              </w:rPr>
            </w:pPr>
            <w:r>
              <w:rPr>
                <w:sz w:val="20"/>
              </w:rPr>
              <w:t>Less amount representing interest</w:t>
            </w:r>
          </w:p>
        </w:tc>
        <w:tc>
          <w:tcPr>
            <w:tcW w:w="2565" w:type="dxa"/>
          </w:tcPr>
          <w:p>
            <w:pPr>
              <w:pStyle w:val="TableParagraph"/>
              <w:spacing w:before="62"/>
              <w:ind w:right="249"/>
              <w:rPr>
                <w:sz w:val="20"/>
              </w:rPr>
            </w:pPr>
            <w:r>
              <w:rPr>
                <w:sz w:val="20"/>
                <w:u w:val="single"/>
              </w:rPr>
              <w:t>76,677</w:t>
            </w:r>
          </w:p>
        </w:tc>
        <w:tc>
          <w:tcPr>
            <w:tcW w:w="2160" w:type="dxa"/>
          </w:tcPr>
          <w:p>
            <w:pPr/>
          </w:p>
        </w:tc>
      </w:tr>
      <w:tr>
        <w:trPr>
          <w:trHeight w:val="360" w:hRule="exact"/>
        </w:trPr>
        <w:tc>
          <w:tcPr>
            <w:tcW w:w="4611" w:type="dxa"/>
          </w:tcPr>
          <w:p>
            <w:pPr>
              <w:pStyle w:val="TableParagraph"/>
              <w:spacing w:before="62"/>
              <w:ind w:left="50"/>
              <w:jc w:val="left"/>
              <w:rPr>
                <w:sz w:val="20"/>
              </w:rPr>
            </w:pPr>
            <w:r>
              <w:rPr>
                <w:sz w:val="20"/>
              </w:rPr>
              <w:t>Present  value of minimum lease payments</w:t>
            </w:r>
          </w:p>
        </w:tc>
        <w:tc>
          <w:tcPr>
            <w:tcW w:w="2565" w:type="dxa"/>
          </w:tcPr>
          <w:p>
            <w:pPr>
              <w:pStyle w:val="TableParagraph"/>
              <w:spacing w:before="62"/>
              <w:ind w:right="249"/>
              <w:rPr>
                <w:sz w:val="20"/>
              </w:rPr>
            </w:pPr>
            <w:r>
              <w:rPr>
                <w:sz w:val="20"/>
              </w:rPr>
              <w:t>133,190</w:t>
            </w:r>
          </w:p>
        </w:tc>
        <w:tc>
          <w:tcPr>
            <w:tcW w:w="2160" w:type="dxa"/>
          </w:tcPr>
          <w:p>
            <w:pPr/>
          </w:p>
        </w:tc>
      </w:tr>
      <w:tr>
        <w:trPr>
          <w:trHeight w:val="360" w:hRule="exact"/>
        </w:trPr>
        <w:tc>
          <w:tcPr>
            <w:tcW w:w="4611" w:type="dxa"/>
          </w:tcPr>
          <w:p>
            <w:pPr>
              <w:pStyle w:val="TableParagraph"/>
              <w:spacing w:before="62"/>
              <w:ind w:left="50"/>
              <w:jc w:val="left"/>
              <w:rPr>
                <w:sz w:val="20"/>
              </w:rPr>
            </w:pPr>
            <w:r>
              <w:rPr>
                <w:sz w:val="20"/>
              </w:rPr>
              <w:t>Less current portion</w:t>
            </w:r>
          </w:p>
        </w:tc>
        <w:tc>
          <w:tcPr>
            <w:tcW w:w="2565" w:type="dxa"/>
          </w:tcPr>
          <w:p>
            <w:pPr>
              <w:pStyle w:val="TableParagraph"/>
              <w:spacing w:before="62"/>
              <w:ind w:right="249"/>
              <w:rPr>
                <w:sz w:val="20"/>
              </w:rPr>
            </w:pPr>
            <w:r>
              <w:rPr>
                <w:sz w:val="20"/>
                <w:u w:val="single"/>
              </w:rPr>
              <w:t>9,400</w:t>
            </w:r>
          </w:p>
        </w:tc>
        <w:tc>
          <w:tcPr>
            <w:tcW w:w="2160" w:type="dxa"/>
          </w:tcPr>
          <w:p>
            <w:pPr/>
          </w:p>
        </w:tc>
      </w:tr>
      <w:tr>
        <w:trPr>
          <w:trHeight w:val="293" w:hRule="exact"/>
        </w:trPr>
        <w:tc>
          <w:tcPr>
            <w:tcW w:w="4611" w:type="dxa"/>
          </w:tcPr>
          <w:p>
            <w:pPr>
              <w:pStyle w:val="TableParagraph"/>
              <w:spacing w:before="62"/>
              <w:ind w:left="50"/>
              <w:jc w:val="left"/>
              <w:rPr>
                <w:sz w:val="20"/>
              </w:rPr>
            </w:pPr>
            <w:r>
              <w:rPr>
                <w:sz w:val="20"/>
              </w:rPr>
              <w:t>Long-term portion</w:t>
            </w:r>
          </w:p>
        </w:tc>
        <w:tc>
          <w:tcPr>
            <w:tcW w:w="2565" w:type="dxa"/>
          </w:tcPr>
          <w:p>
            <w:pPr>
              <w:pStyle w:val="TableParagraph"/>
              <w:spacing w:before="62"/>
              <w:ind w:right="249"/>
              <w:rPr>
                <w:sz w:val="20"/>
              </w:rPr>
            </w:pPr>
            <w:r>
              <w:rPr>
                <w:sz w:val="20"/>
                <w:u w:val="thick"/>
              </w:rPr>
              <w:t>$123,790</w:t>
            </w:r>
          </w:p>
        </w:tc>
        <w:tc>
          <w:tcPr>
            <w:tcW w:w="2160" w:type="dxa"/>
          </w:tcPr>
          <w:p>
            <w:pPr/>
          </w:p>
        </w:tc>
      </w:tr>
    </w:tbl>
    <w:p>
      <w:pPr>
        <w:pStyle w:val="BodyText"/>
        <w:spacing w:before="5"/>
        <w:rPr>
          <w:sz w:val="38"/>
        </w:rPr>
      </w:pPr>
    </w:p>
    <w:p>
      <w:pPr>
        <w:pStyle w:val="BodyText"/>
        <w:spacing w:line="312" w:lineRule="auto"/>
        <w:ind w:left="160" w:right="116" w:firstLine="187"/>
        <w:jc w:val="both"/>
      </w:pPr>
      <w:r>
        <w:rPr/>
        <w:t>The aircraft leases generally can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spacing w:before="1"/>
        <w:rPr>
          <w:sz w:val="31"/>
        </w:rPr>
      </w:pPr>
    </w:p>
    <w:p>
      <w:pPr>
        <w:pStyle w:val="Heading4"/>
        <w:numPr>
          <w:ilvl w:val="0"/>
          <w:numId w:val="2"/>
        </w:numPr>
        <w:tabs>
          <w:tab w:pos="429" w:val="left" w:leader="none"/>
        </w:tabs>
        <w:spacing w:line="240" w:lineRule="auto" w:before="0" w:after="0"/>
        <w:ind w:left="428" w:right="0" w:hanging="268"/>
        <w:jc w:val="left"/>
      </w:pPr>
      <w:r>
        <w:rPr>
          <w:color w:val="000080"/>
        </w:rPr>
        <w:t>FINANCIAL</w:t>
      </w:r>
      <w:r>
        <w:rPr>
          <w:color w:val="000080"/>
          <w:spacing w:val="-21"/>
        </w:rPr>
        <w:t> </w:t>
      </w:r>
      <w:r>
        <w:rPr>
          <w:color w:val="000080"/>
        </w:rPr>
        <w:t>INSTRUMENTS</w:t>
      </w:r>
    </w:p>
    <w:p>
      <w:pPr>
        <w:pStyle w:val="BodyText"/>
        <w:spacing w:line="312" w:lineRule="auto" w:before="88"/>
        <w:ind w:left="160" w:right="118" w:firstLine="187"/>
        <w:jc w:val="both"/>
      </w:pPr>
      <w:r>
        <w:rPr/>
        <w:t>The Company utilizes purchased crude oil call options and fixed price swap agreements to hedge a portion of its exposure to fuel price fluctuations. Prior to December 1998, outstanding call options and swap agreements were not material. At December 31, 1998, the Company had hedged its exposure to fuel price fluctuations on approximately 77 percent of its first quarter 1999 and 56 percent of its second quarter 1999 anticipated fuel requirements, or 290 million gallons of fuel products. The fair</w:t>
      </w:r>
    </w:p>
    <w:p>
      <w:pPr>
        <w:spacing w:after="0" w:line="312" w:lineRule="auto"/>
        <w:jc w:val="both"/>
        <w:sectPr>
          <w:footerReference w:type="default" r:id="rId16"/>
          <w:pgSz w:w="12240" w:h="15840"/>
          <w:pgMar w:footer="344" w:header="1448" w:top="1700" w:bottom="540" w:left="1280" w:right="1320"/>
        </w:sectPr>
      </w:pPr>
    </w:p>
    <w:p>
      <w:pPr>
        <w:pStyle w:val="BodyText"/>
        <w:rPr>
          <w:sz w:val="20"/>
        </w:rPr>
      </w:pPr>
    </w:p>
    <w:p>
      <w:pPr>
        <w:pStyle w:val="BodyText"/>
        <w:spacing w:line="312" w:lineRule="auto" w:before="219"/>
        <w:ind w:left="160" w:right="107"/>
      </w:pPr>
      <w:r>
        <w:rPr/>
        <w:t>value of these agreements at December 31, 1998, representing the amount the Company would receive if the agreements were settled early, was not material.</w:t>
      </w:r>
    </w:p>
    <w:p>
      <w:pPr>
        <w:pStyle w:val="BodyText"/>
        <w:spacing w:before="7"/>
        <w:rPr>
          <w:sz w:val="31"/>
        </w:rPr>
      </w:pPr>
    </w:p>
    <w:p>
      <w:pPr>
        <w:pStyle w:val="BodyText"/>
        <w:spacing w:line="312" w:lineRule="auto"/>
        <w:ind w:left="160" w:right="155" w:firstLine="187"/>
        <w:jc w:val="both"/>
      </w:pPr>
      <w:r>
        <w:rPr/>
        <w:t>Any outstanding call options or fixed swap agreements expose the Company to credit loss in the event of nonperformance by the counterparties to the agreements, but the Company does not expect any of the counterparties to fail to meet its obligations. The credit exposure related to these financial instruments is represented by the fair value of contracts with a positive fair value at the reporting date. To manage credit risks, the Company selects counterparties based on credit ratings, limits its exposure to a single counterparty, and monitors the market position of the program and its relative market position with each counterparty. At December 31, 1998, the Company had no collateral or other security interests supporting these agreements but was in the process of negotiating such agreements with a majority of the counterparties.</w:t>
      </w:r>
    </w:p>
    <w:p>
      <w:pPr>
        <w:pStyle w:val="BodyText"/>
        <w:spacing w:before="6"/>
        <w:rPr>
          <w:sz w:val="31"/>
        </w:rPr>
      </w:pPr>
    </w:p>
    <w:p>
      <w:pPr>
        <w:pStyle w:val="BodyText"/>
        <w:spacing w:line="626" w:lineRule="auto" w:before="1"/>
        <w:ind w:left="347" w:right="107"/>
      </w:pPr>
      <w:r>
        <w:rPr/>
        <w:pict>
          <v:shape style="position:absolute;margin-left:69.5pt;margin-top:54.442589pt;width:473.4pt;height:157.5pt;mso-position-horizontal-relative:page;mso-position-vertical-relative:paragraph;z-index:606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15"/>
                    <w:gridCol w:w="448"/>
                    <w:gridCol w:w="1569"/>
                    <w:gridCol w:w="1303"/>
                    <w:gridCol w:w="1133"/>
                  </w:tblGrid>
                  <w:tr>
                    <w:trPr>
                      <w:trHeight w:val="1417" w:hRule="exact"/>
                    </w:trPr>
                    <w:tc>
                      <w:tcPr>
                        <w:tcW w:w="5015" w:type="dxa"/>
                      </w:tcPr>
                      <w:p>
                        <w:pPr>
                          <w:pStyle w:val="TableParagraph"/>
                          <w:spacing w:line="312" w:lineRule="auto"/>
                          <w:ind w:left="50"/>
                          <w:jc w:val="left"/>
                          <w:rPr>
                            <w:sz w:val="24"/>
                          </w:rPr>
                        </w:pPr>
                        <w:r>
                          <w:rPr>
                            <w:sz w:val="24"/>
                          </w:rPr>
                          <w:t>prices. The carrying amounts and estimated debt at December 31, 1998, were as follows:</w:t>
                        </w:r>
                      </w:p>
                      <w:p>
                        <w:pPr>
                          <w:pStyle w:val="TableParagraph"/>
                          <w:spacing w:before="4"/>
                          <w:jc w:val="left"/>
                          <w:rPr>
                            <w:sz w:val="36"/>
                          </w:rPr>
                        </w:pPr>
                      </w:p>
                      <w:p>
                        <w:pPr>
                          <w:pStyle w:val="TableParagraph"/>
                          <w:ind w:left="50"/>
                          <w:jc w:val="left"/>
                          <w:rPr>
                            <w:sz w:val="20"/>
                          </w:rPr>
                        </w:pPr>
                        <w:r>
                          <w:rPr>
                            <w:sz w:val="20"/>
                          </w:rPr>
                          <w:t>(In thousands)</w:t>
                        </w:r>
                      </w:p>
                    </w:tc>
                    <w:tc>
                      <w:tcPr>
                        <w:tcW w:w="448" w:type="dxa"/>
                      </w:tcPr>
                      <w:p>
                        <w:pPr>
                          <w:pStyle w:val="TableParagraph"/>
                          <w:spacing w:line="268" w:lineRule="exact"/>
                          <w:ind w:left="52"/>
                          <w:jc w:val="left"/>
                          <w:rPr>
                            <w:sz w:val="24"/>
                          </w:rPr>
                        </w:pPr>
                        <w:r>
                          <w:rPr>
                            <w:sz w:val="24"/>
                          </w:rPr>
                          <w:t>fair</w:t>
                        </w:r>
                      </w:p>
                    </w:tc>
                    <w:tc>
                      <w:tcPr>
                        <w:tcW w:w="1569" w:type="dxa"/>
                      </w:tcPr>
                      <w:p>
                        <w:pPr>
                          <w:pStyle w:val="TableParagraph"/>
                          <w:spacing w:line="268" w:lineRule="exact"/>
                          <w:ind w:left="102" w:hanging="47"/>
                          <w:jc w:val="left"/>
                          <w:rPr>
                            <w:sz w:val="24"/>
                          </w:rPr>
                        </w:pPr>
                        <w:r>
                          <w:rPr>
                            <w:sz w:val="24"/>
                          </w:rPr>
                          <w:t>values  of the</w:t>
                        </w:r>
                      </w:p>
                      <w:p>
                        <w:pPr>
                          <w:pStyle w:val="TableParagraph"/>
                          <w:jc w:val="left"/>
                          <w:rPr>
                            <w:sz w:val="26"/>
                          </w:rPr>
                        </w:pPr>
                      </w:p>
                      <w:p>
                        <w:pPr>
                          <w:pStyle w:val="TableParagraph"/>
                          <w:jc w:val="left"/>
                          <w:rPr>
                            <w:sz w:val="26"/>
                          </w:rPr>
                        </w:pPr>
                      </w:p>
                      <w:p>
                        <w:pPr>
                          <w:pStyle w:val="TableParagraph"/>
                          <w:jc w:val="left"/>
                          <w:rPr>
                            <w:sz w:val="22"/>
                          </w:rPr>
                        </w:pPr>
                      </w:p>
                      <w:p>
                        <w:pPr>
                          <w:pStyle w:val="TableParagraph"/>
                          <w:ind w:left="102"/>
                          <w:jc w:val="left"/>
                          <w:rPr>
                            <w:sz w:val="20"/>
                          </w:rPr>
                        </w:pPr>
                        <w:r>
                          <w:rPr>
                            <w:sz w:val="20"/>
                          </w:rPr>
                          <w:t>Carrying Value</w:t>
                        </w:r>
                      </w:p>
                    </w:tc>
                    <w:tc>
                      <w:tcPr>
                        <w:tcW w:w="1303" w:type="dxa"/>
                      </w:tcPr>
                      <w:p>
                        <w:pPr>
                          <w:pStyle w:val="TableParagraph"/>
                          <w:spacing w:line="268" w:lineRule="exact"/>
                          <w:ind w:left="54"/>
                          <w:jc w:val="left"/>
                          <w:rPr>
                            <w:sz w:val="24"/>
                          </w:rPr>
                        </w:pPr>
                        <w:r>
                          <w:rPr>
                            <w:sz w:val="24"/>
                          </w:rPr>
                          <w:t>Company’s</w:t>
                        </w:r>
                      </w:p>
                    </w:tc>
                    <w:tc>
                      <w:tcPr>
                        <w:tcW w:w="1133" w:type="dxa"/>
                      </w:tcPr>
                      <w:p>
                        <w:pPr>
                          <w:pStyle w:val="TableParagraph"/>
                          <w:spacing w:line="268" w:lineRule="exact"/>
                          <w:ind w:left="52" w:firstLine="4"/>
                          <w:jc w:val="left"/>
                          <w:rPr>
                            <w:sz w:val="24"/>
                          </w:rPr>
                        </w:pPr>
                        <w:r>
                          <w:rPr>
                            <w:sz w:val="24"/>
                          </w:rPr>
                          <w:t>long-term</w:t>
                        </w:r>
                      </w:p>
                      <w:p>
                        <w:pPr>
                          <w:pStyle w:val="TableParagraph"/>
                          <w:jc w:val="left"/>
                          <w:rPr>
                            <w:sz w:val="26"/>
                          </w:rPr>
                        </w:pPr>
                      </w:p>
                      <w:p>
                        <w:pPr>
                          <w:pStyle w:val="TableParagraph"/>
                          <w:jc w:val="left"/>
                          <w:rPr>
                            <w:sz w:val="26"/>
                          </w:rPr>
                        </w:pPr>
                      </w:p>
                      <w:p>
                        <w:pPr>
                          <w:pStyle w:val="TableParagraph"/>
                          <w:jc w:val="left"/>
                          <w:rPr>
                            <w:sz w:val="22"/>
                          </w:rPr>
                        </w:pPr>
                      </w:p>
                      <w:p>
                        <w:pPr>
                          <w:pStyle w:val="TableParagraph"/>
                          <w:ind w:left="52"/>
                          <w:jc w:val="left"/>
                          <w:rPr>
                            <w:sz w:val="20"/>
                          </w:rPr>
                        </w:pPr>
                        <w:r>
                          <w:rPr>
                            <w:sz w:val="20"/>
                          </w:rPr>
                          <w:t>Fair Value</w:t>
                        </w:r>
                      </w:p>
                    </w:tc>
                  </w:tr>
                  <w:tr>
                    <w:trPr>
                      <w:trHeight w:val="360" w:hRule="exact"/>
                    </w:trPr>
                    <w:tc>
                      <w:tcPr>
                        <w:tcW w:w="5015" w:type="dxa"/>
                      </w:tcPr>
                      <w:p>
                        <w:pPr>
                          <w:pStyle w:val="TableParagraph"/>
                          <w:spacing w:before="62"/>
                          <w:ind w:left="50"/>
                          <w:jc w:val="left"/>
                          <w:rPr>
                            <w:sz w:val="20"/>
                          </w:rPr>
                        </w:pPr>
                        <w:r>
                          <w:rPr>
                            <w:sz w:val="20"/>
                          </w:rPr>
                          <w:t>9.4% Notes due 2001</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$108,929</w:t>
                        </w:r>
                      </w:p>
                    </w:tc>
                  </w:tr>
                  <w:tr>
                    <w:trPr>
                      <w:trHeight w:val="360" w:hRule="exact"/>
                    </w:trPr>
                    <w:tc>
                      <w:tcPr>
                        <w:tcW w:w="5015" w:type="dxa"/>
                      </w:tcPr>
                      <w:p>
                        <w:pPr>
                          <w:pStyle w:val="TableParagraph"/>
                          <w:spacing w:before="62"/>
                          <w:ind w:left="50"/>
                          <w:jc w:val="left"/>
                          <w:rPr>
                            <w:sz w:val="20"/>
                          </w:rPr>
                        </w:pPr>
                        <w:r>
                          <w:rPr>
                            <w:sz w:val="20"/>
                          </w:rPr>
                          <w:t>8 3/4% Notes due 2003</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112,702</w:t>
                        </w:r>
                      </w:p>
                    </w:tc>
                  </w:tr>
                  <w:tr>
                    <w:trPr>
                      <w:trHeight w:val="360" w:hRule="exact"/>
                    </w:trPr>
                    <w:tc>
                      <w:tcPr>
                        <w:tcW w:w="5015" w:type="dxa"/>
                      </w:tcPr>
                      <w:p>
                        <w:pPr>
                          <w:pStyle w:val="TableParagraph"/>
                          <w:spacing w:before="62"/>
                          <w:ind w:left="50"/>
                          <w:jc w:val="left"/>
                          <w:rPr>
                            <w:sz w:val="20"/>
                          </w:rPr>
                        </w:pPr>
                        <w:r>
                          <w:rPr>
                            <w:sz w:val="20"/>
                          </w:rPr>
                          <w:t>8% Notes due 2005</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109,648</w:t>
                        </w:r>
                      </w:p>
                    </w:tc>
                  </w:tr>
                  <w:tr>
                    <w:trPr>
                      <w:trHeight w:val="360" w:hRule="exact"/>
                    </w:trPr>
                    <w:tc>
                      <w:tcPr>
                        <w:tcW w:w="5015" w:type="dxa"/>
                      </w:tcPr>
                      <w:p>
                        <w:pPr>
                          <w:pStyle w:val="TableParagraph"/>
                          <w:spacing w:before="62"/>
                          <w:ind w:left="50"/>
                          <w:jc w:val="left"/>
                          <w:rPr>
                            <w:sz w:val="20"/>
                          </w:rPr>
                        </w:pPr>
                        <w:r>
                          <w:rPr>
                            <w:sz w:val="20"/>
                          </w:rPr>
                          <w:t>7 7/8% Notes due 2007</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111,390</w:t>
                        </w:r>
                      </w:p>
                    </w:tc>
                  </w:tr>
                  <w:tr>
                    <w:trPr>
                      <w:trHeight w:val="293" w:hRule="exact"/>
                    </w:trPr>
                    <w:tc>
                      <w:tcPr>
                        <w:tcW w:w="5015" w:type="dxa"/>
                      </w:tcPr>
                      <w:p>
                        <w:pPr>
                          <w:pStyle w:val="TableParagraph"/>
                          <w:spacing w:before="62"/>
                          <w:ind w:left="50"/>
                          <w:jc w:val="left"/>
                          <w:rPr>
                            <w:sz w:val="20"/>
                          </w:rPr>
                        </w:pPr>
                        <w:r>
                          <w:rPr>
                            <w:sz w:val="20"/>
                          </w:rPr>
                          <w:t>7 3/8% Debentures due 2027</w:t>
                        </w:r>
                      </w:p>
                    </w:tc>
                    <w:tc>
                      <w:tcPr>
                        <w:tcW w:w="448" w:type="dxa"/>
                      </w:tcPr>
                      <w:p>
                        <w:pPr/>
                      </w:p>
                    </w:tc>
                    <w:tc>
                      <w:tcPr>
                        <w:tcW w:w="1569" w:type="dxa"/>
                      </w:tcPr>
                      <w:p>
                        <w:pPr>
                          <w:pStyle w:val="TableParagraph"/>
                          <w:spacing w:before="62"/>
                          <w:ind w:right="134"/>
                          <w:rPr>
                            <w:sz w:val="20"/>
                          </w:rPr>
                        </w:pPr>
                        <w:r>
                          <w:rPr>
                            <w:sz w:val="20"/>
                          </w:rPr>
                          <w:t>100,000</w:t>
                        </w:r>
                      </w:p>
                    </w:tc>
                    <w:tc>
                      <w:tcPr>
                        <w:tcW w:w="1303" w:type="dxa"/>
                      </w:tcPr>
                      <w:p>
                        <w:pPr/>
                      </w:p>
                    </w:tc>
                    <w:tc>
                      <w:tcPr>
                        <w:tcW w:w="1133" w:type="dxa"/>
                      </w:tcPr>
                      <w:p>
                        <w:pPr>
                          <w:pStyle w:val="TableParagraph"/>
                          <w:spacing w:before="62"/>
                          <w:ind w:right="156"/>
                          <w:rPr>
                            <w:sz w:val="20"/>
                          </w:rPr>
                        </w:pPr>
                        <w:r>
                          <w:rPr>
                            <w:sz w:val="20"/>
                          </w:rPr>
                          <w:t>106,657</w:t>
                        </w:r>
                      </w:p>
                    </w:tc>
                  </w:tr>
                </w:tbl>
                <w:p>
                  <w:pPr>
                    <w:pStyle w:val="BodyText"/>
                  </w:pPr>
                </w:p>
              </w:txbxContent>
            </v:textbox>
            <w10:wrap type="none"/>
          </v:shape>
        </w:pict>
      </w:r>
      <w:r>
        <w:rPr/>
        <w:t>The Company does not hold or issue any financial instruments for trading purposes. The  fair  values  of  the  Company’s  long-term  debt  were  based  on  quoted market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2"/>
        </w:rPr>
      </w:pPr>
    </w:p>
    <w:p>
      <w:pPr>
        <w:pStyle w:val="BodyText"/>
        <w:ind w:left="347"/>
      </w:pPr>
      <w:r>
        <w:rPr/>
        <w:t>The carrying values of all other financial instruments approximate their fair value.</w:t>
      </w:r>
    </w:p>
    <w:p>
      <w:pPr>
        <w:pStyle w:val="BodyText"/>
        <w:spacing w:before="1"/>
        <w:rPr>
          <w:sz w:val="38"/>
        </w:rPr>
      </w:pPr>
    </w:p>
    <w:p>
      <w:pPr>
        <w:pStyle w:val="Heading4"/>
        <w:numPr>
          <w:ilvl w:val="0"/>
          <w:numId w:val="2"/>
        </w:numPr>
        <w:tabs>
          <w:tab w:pos="429" w:val="left" w:leader="none"/>
        </w:tabs>
        <w:spacing w:line="240" w:lineRule="auto" w:before="0" w:after="0"/>
        <w:ind w:left="428" w:right="0" w:hanging="268"/>
        <w:jc w:val="left"/>
      </w:pPr>
      <w:r>
        <w:rPr>
          <w:color w:val="000080"/>
        </w:rPr>
        <w:t>COMMON</w:t>
      </w:r>
      <w:r>
        <w:rPr>
          <w:color w:val="000080"/>
          <w:spacing w:val="-4"/>
        </w:rPr>
        <w:t> </w:t>
      </w:r>
      <w:r>
        <w:rPr>
          <w:color w:val="000080"/>
        </w:rPr>
        <w:t>STOCK</w:t>
      </w:r>
    </w:p>
    <w:p>
      <w:pPr>
        <w:pStyle w:val="BodyText"/>
        <w:spacing w:line="312" w:lineRule="auto" w:before="88"/>
        <w:ind w:left="160" w:right="158" w:firstLine="187"/>
        <w:jc w:val="both"/>
      </w:pPr>
      <w:r>
        <w:rPr>
          <w:spacing w:val="2"/>
        </w:rPr>
        <w:t>The </w:t>
      </w:r>
      <w:r>
        <w:rPr/>
        <w:t>Company has one class of </w:t>
      </w:r>
      <w:r>
        <w:rPr>
          <w:spacing w:val="-3"/>
        </w:rPr>
        <w:t>common </w:t>
      </w:r>
      <w:r>
        <w:rPr/>
        <w:t>stock. Holders of shares of </w:t>
      </w:r>
      <w:r>
        <w:rPr>
          <w:spacing w:val="-3"/>
        </w:rPr>
        <w:t>common </w:t>
      </w:r>
      <w:r>
        <w:rPr/>
        <w:t>stock  are entitled to receive dividends when and if declared by the </w:t>
      </w:r>
      <w:r>
        <w:rPr>
          <w:spacing w:val="-4"/>
        </w:rPr>
        <w:t>Board </w:t>
      </w:r>
      <w:r>
        <w:rPr/>
        <w:t>of </w:t>
      </w:r>
      <w:r>
        <w:rPr>
          <w:spacing w:val="2"/>
        </w:rPr>
        <w:t>Directors </w:t>
      </w:r>
      <w:r>
        <w:rPr/>
        <w:t>and are entitled to one vote per share on all matters submitted to a vote of the</w:t>
      </w:r>
      <w:r>
        <w:rPr>
          <w:spacing w:val="32"/>
        </w:rPr>
        <w:t> </w:t>
      </w:r>
      <w:r>
        <w:rPr/>
        <w:t>shareholders.</w:t>
      </w:r>
    </w:p>
    <w:p>
      <w:pPr>
        <w:spacing w:after="0" w:line="312" w:lineRule="auto"/>
        <w:jc w:val="both"/>
        <w:sectPr>
          <w:footerReference w:type="default" r:id="rId17"/>
          <w:pgSz w:w="12240" w:h="15840"/>
          <w:pgMar w:footer="344" w:header="1448" w:top="1700" w:bottom="540" w:left="1280" w:right="1280"/>
          <w:pgNumType w:start="51"/>
        </w:sectPr>
      </w:pPr>
    </w:p>
    <w:p>
      <w:pPr>
        <w:pStyle w:val="BodyText"/>
        <w:rPr>
          <w:sz w:val="20"/>
        </w:rPr>
      </w:pPr>
    </w:p>
    <w:p>
      <w:pPr>
        <w:pStyle w:val="BodyText"/>
        <w:spacing w:line="312" w:lineRule="auto" w:before="219"/>
        <w:ind w:left="119" w:right="117" w:firstLine="187"/>
        <w:jc w:val="both"/>
      </w:pPr>
      <w:r>
        <w:rPr/>
        <w:t>At December 31, 1998, the Company had common stock reserved for issuance pursuant to Employee stock benefit plans (69,453,206 shares) and upon exercise of rights (405,357,512 shares) pursuant to the Common Stock Rights Agreement, as amended (Agreement).</w:t>
      </w:r>
    </w:p>
    <w:p>
      <w:pPr>
        <w:pStyle w:val="BodyText"/>
        <w:spacing w:before="7"/>
        <w:rPr>
          <w:sz w:val="31"/>
        </w:rPr>
      </w:pPr>
    </w:p>
    <w:p>
      <w:pPr>
        <w:pStyle w:val="BodyText"/>
        <w:spacing w:line="312" w:lineRule="auto"/>
        <w:ind w:left="119" w:right="116" w:firstLine="187"/>
        <w:jc w:val="both"/>
      </w:pPr>
      <w:r>
        <w:rPr>
          <w:spacing w:val="-4"/>
        </w:rPr>
        <w:t>Pursuant </w:t>
      </w:r>
      <w:r>
        <w:rPr/>
        <w:t>to the Agreement, each outstanding share of the Company’s </w:t>
      </w:r>
      <w:r>
        <w:rPr>
          <w:spacing w:val="-3"/>
        </w:rPr>
        <w:t>common </w:t>
      </w:r>
      <w:r>
        <w:rPr/>
        <w:t>stock  is accompanied by one </w:t>
      </w:r>
      <w:r>
        <w:rPr>
          <w:spacing w:val="-3"/>
        </w:rPr>
        <w:t>common </w:t>
      </w:r>
      <w:r>
        <w:rPr/>
        <w:t>share purchase right (Right). </w:t>
      </w:r>
      <w:r>
        <w:rPr>
          <w:spacing w:val="-3"/>
        </w:rPr>
        <w:t>Each </w:t>
      </w:r>
      <w:r>
        <w:rPr/>
        <w:t>Right entitles its holder to purchase one share of </w:t>
      </w:r>
      <w:r>
        <w:rPr>
          <w:spacing w:val="-3"/>
        </w:rPr>
        <w:t>common </w:t>
      </w:r>
      <w:r>
        <w:rPr/>
        <w:t>stock at an exercise price of $7.41 and is exercisable only in the event of a proposed takeover, as defined by the Agreement.   </w:t>
      </w:r>
      <w:r>
        <w:rPr>
          <w:spacing w:val="2"/>
        </w:rPr>
        <w:t>The </w:t>
      </w:r>
      <w:r>
        <w:rPr/>
        <w:t>Company </w:t>
      </w:r>
      <w:r>
        <w:rPr>
          <w:spacing w:val="-3"/>
        </w:rPr>
        <w:t>may </w:t>
      </w:r>
      <w:r>
        <w:rPr/>
        <w:t>redeem the Rights at $.0049 per Right prior to the time that 15 percent of the </w:t>
      </w:r>
      <w:r>
        <w:rPr>
          <w:spacing w:val="-3"/>
        </w:rPr>
        <w:t>common </w:t>
      </w:r>
      <w:r>
        <w:rPr/>
        <w:t>stock has been acquired by a person or group. If the Company  is acquired, as defined in the Agreement, each Right will entitle its holder to purchase  for $7.41 that number of the acquiring company’s or the Company’s </w:t>
      </w:r>
      <w:r>
        <w:rPr>
          <w:spacing w:val="-3"/>
        </w:rPr>
        <w:t>common </w:t>
      </w:r>
      <w:r>
        <w:rPr/>
        <w:t>shares, as provided in the Agreement, having a market value of two times the exercise price of the Right. </w:t>
      </w:r>
      <w:r>
        <w:rPr>
          <w:spacing w:val="2"/>
        </w:rPr>
        <w:t>The </w:t>
      </w:r>
      <w:r>
        <w:rPr/>
        <w:t>Rights will expire no later than July 30,</w:t>
      </w:r>
      <w:r>
        <w:rPr>
          <w:spacing w:val="18"/>
        </w:rPr>
        <w:t> </w:t>
      </w:r>
      <w:r>
        <w:rPr/>
        <w:t>2006.</w:t>
      </w:r>
    </w:p>
    <w:p>
      <w:pPr>
        <w:pStyle w:val="BodyText"/>
        <w:spacing w:before="6"/>
        <w:rPr>
          <w:sz w:val="31"/>
        </w:rPr>
      </w:pPr>
    </w:p>
    <w:p>
      <w:pPr>
        <w:pStyle w:val="BodyText"/>
        <w:spacing w:line="312" w:lineRule="auto" w:before="1"/>
        <w:ind w:left="119" w:right="117" w:firstLine="187"/>
        <w:jc w:val="both"/>
      </w:pPr>
      <w:r>
        <w:rPr/>
        <w:t>On September 25, 1997, the Company’s </w:t>
      </w:r>
      <w:r>
        <w:rPr>
          <w:spacing w:val="-4"/>
        </w:rPr>
        <w:t>Board </w:t>
      </w:r>
      <w:r>
        <w:rPr/>
        <w:t>of </w:t>
      </w:r>
      <w:r>
        <w:rPr>
          <w:spacing w:val="2"/>
        </w:rPr>
        <w:t>Directors </w:t>
      </w:r>
      <w:r>
        <w:rPr/>
        <w:t>declared a three-for-two stock split, distributing 73,577,983 shares on November 26, 1997. On July 22, 1998,  the Company’s </w:t>
      </w:r>
      <w:r>
        <w:rPr>
          <w:spacing w:val="-4"/>
        </w:rPr>
        <w:t>Board </w:t>
      </w:r>
      <w:r>
        <w:rPr/>
        <w:t>of </w:t>
      </w:r>
      <w:r>
        <w:rPr>
          <w:spacing w:val="2"/>
        </w:rPr>
        <w:t>Directors </w:t>
      </w:r>
      <w:r>
        <w:rPr/>
        <w:t>declared a three-for-two stock split, distributing 111,894,315 shares on </w:t>
      </w:r>
      <w:r>
        <w:rPr>
          <w:spacing w:val="-4"/>
        </w:rPr>
        <w:t>August </w:t>
      </w:r>
      <w:r>
        <w:rPr/>
        <w:t>20, 1998. Unless otherwise stated, all per share data presented in the accompanying consolidated financial statements and notes thereto have been </w:t>
      </w:r>
      <w:r>
        <w:rPr>
          <w:spacing w:val="2"/>
        </w:rPr>
        <w:t>restated </w:t>
      </w:r>
      <w:r>
        <w:rPr/>
        <w:t>to give effect to the stock</w:t>
      </w:r>
      <w:r>
        <w:rPr>
          <w:spacing w:val="2"/>
        </w:rPr>
        <w:t> </w:t>
      </w:r>
      <w:r>
        <w:rPr/>
        <w:t>splits.</w:t>
      </w:r>
    </w:p>
    <w:p>
      <w:pPr>
        <w:pStyle w:val="BodyText"/>
        <w:spacing w:before="7"/>
        <w:rPr>
          <w:sz w:val="31"/>
        </w:rPr>
      </w:pPr>
    </w:p>
    <w:p>
      <w:pPr>
        <w:pStyle w:val="BodyText"/>
        <w:spacing w:line="312" w:lineRule="auto"/>
        <w:ind w:left="119" w:right="117" w:firstLine="187"/>
        <w:jc w:val="both"/>
      </w:pPr>
      <w:r>
        <w:rPr/>
        <w:t>As of July 22, 1998, the Company’s </w:t>
      </w:r>
      <w:r>
        <w:rPr>
          <w:spacing w:val="-4"/>
        </w:rPr>
        <w:t>Board </w:t>
      </w:r>
      <w:r>
        <w:rPr/>
        <w:t>of </w:t>
      </w:r>
      <w:r>
        <w:rPr>
          <w:spacing w:val="2"/>
        </w:rPr>
        <w:t>Directors </w:t>
      </w:r>
      <w:r>
        <w:rPr/>
        <w:t>increased the Company’s authorization to </w:t>
      </w:r>
      <w:r>
        <w:rPr>
          <w:spacing w:val="2"/>
        </w:rPr>
        <w:t>repurchase </w:t>
      </w:r>
      <w:r>
        <w:rPr/>
        <w:t>shares of its outstanding </w:t>
      </w:r>
      <w:r>
        <w:rPr>
          <w:spacing w:val="-3"/>
        </w:rPr>
        <w:t>common </w:t>
      </w:r>
      <w:r>
        <w:rPr/>
        <w:t>stock to $100 million.  </w:t>
      </w:r>
      <w:r>
        <w:rPr>
          <w:spacing w:val="2"/>
        </w:rPr>
        <w:t>The </w:t>
      </w:r>
      <w:r>
        <w:rPr/>
        <w:t>Company completed this </w:t>
      </w:r>
      <w:r>
        <w:rPr>
          <w:spacing w:val="2"/>
        </w:rPr>
        <w:t>repurchase </w:t>
      </w:r>
      <w:r>
        <w:rPr/>
        <w:t>program during third quarter 1998, resulting  in the </w:t>
      </w:r>
      <w:r>
        <w:rPr>
          <w:spacing w:val="2"/>
        </w:rPr>
        <w:t>repurchase </w:t>
      </w:r>
      <w:r>
        <w:rPr/>
        <w:t>of 4,885,763 shares at an average cost of $20.47 per share.  All of  the acquired shares are held as </w:t>
      </w:r>
      <w:r>
        <w:rPr>
          <w:spacing w:val="-3"/>
        </w:rPr>
        <w:t>common </w:t>
      </w:r>
      <w:r>
        <w:rPr/>
        <w:t>stock in treasury, less shares reissued under the Employee stock option and purchase plans. </w:t>
      </w:r>
      <w:r>
        <w:rPr>
          <w:spacing w:val="3"/>
        </w:rPr>
        <w:t>When </w:t>
      </w:r>
      <w:r>
        <w:rPr/>
        <w:t>treasury shares are reissued,  the Company uses a first-in, </w:t>
      </w:r>
      <w:r>
        <w:rPr>
          <w:spacing w:val="2"/>
        </w:rPr>
        <w:t>first-out </w:t>
      </w:r>
      <w:r>
        <w:rPr/>
        <w:t>method and the excess of </w:t>
      </w:r>
      <w:r>
        <w:rPr>
          <w:spacing w:val="2"/>
        </w:rPr>
        <w:t>repurchase </w:t>
      </w:r>
      <w:r>
        <w:rPr/>
        <w:t>cost over reissuance price, if any, is treated as a reduction of retained</w:t>
      </w:r>
      <w:r>
        <w:rPr>
          <w:spacing w:val="43"/>
        </w:rPr>
        <w:t> </w:t>
      </w:r>
      <w:r>
        <w:rPr/>
        <w:t>earnings.</w:t>
      </w:r>
    </w:p>
    <w:p>
      <w:pPr>
        <w:spacing w:after="0" w:line="312" w:lineRule="auto"/>
        <w:jc w:val="both"/>
        <w:sectPr>
          <w:pgSz w:w="12240" w:h="15840"/>
          <w:pgMar w:header="1448" w:footer="344" w:top="1700" w:bottom="540" w:left="1320" w:right="1320"/>
        </w:sectPr>
      </w:pPr>
    </w:p>
    <w:p>
      <w:pPr>
        <w:pStyle w:val="BodyText"/>
        <w:rPr>
          <w:sz w:val="20"/>
        </w:rPr>
      </w:pPr>
    </w:p>
    <w:p>
      <w:pPr>
        <w:pStyle w:val="Heading4"/>
        <w:numPr>
          <w:ilvl w:val="0"/>
          <w:numId w:val="2"/>
        </w:numPr>
        <w:tabs>
          <w:tab w:pos="369" w:val="left" w:leader="none"/>
        </w:tabs>
        <w:spacing w:line="240" w:lineRule="auto" w:before="214" w:after="0"/>
        <w:ind w:left="368" w:right="0" w:hanging="268"/>
        <w:jc w:val="left"/>
      </w:pPr>
      <w:r>
        <w:rPr>
          <w:color w:val="000080"/>
        </w:rPr>
        <w:t>STOCK</w:t>
      </w:r>
      <w:r>
        <w:rPr>
          <w:color w:val="000080"/>
          <w:spacing w:val="-6"/>
        </w:rPr>
        <w:t> </w:t>
      </w:r>
      <w:r>
        <w:rPr>
          <w:color w:val="000080"/>
        </w:rPr>
        <w:t>PLANS</w:t>
      </w:r>
    </w:p>
    <w:p>
      <w:pPr>
        <w:pStyle w:val="BodyText"/>
        <w:spacing w:line="312" w:lineRule="auto" w:before="88"/>
        <w:ind w:left="100" w:right="116" w:firstLine="187"/>
        <w:jc w:val="both"/>
      </w:pPr>
      <w:r>
        <w:rPr/>
        <w:t>At December 31, 1998, the Company had seven stock-based compensation plans  and other stock options outstanding, which are described below. </w:t>
      </w:r>
      <w:r>
        <w:rPr>
          <w:spacing w:val="2"/>
        </w:rPr>
        <w:t>The </w:t>
      </w:r>
      <w:r>
        <w:rPr/>
        <w:t>Company applies </w:t>
      </w:r>
      <w:r>
        <w:rPr>
          <w:spacing w:val="-3"/>
        </w:rPr>
        <w:t>APB </w:t>
      </w:r>
      <w:r>
        <w:rPr/>
        <w:t>25 and related Interpretations in accounting for its stock-based compensation. Accordingly, no compensation expense is recognized for its fixed option plans because the exercise prices of the Company’s Employee stock options equal or exceed the market prices of the underlying stock on the dates of the grants.  Compensation  expense for other stock options is not</w:t>
      </w:r>
      <w:r>
        <w:rPr>
          <w:spacing w:val="7"/>
        </w:rPr>
        <w:t> </w:t>
      </w:r>
      <w:r>
        <w:rPr/>
        <w:t>material.</w:t>
      </w:r>
    </w:p>
    <w:p>
      <w:pPr>
        <w:pStyle w:val="BodyText"/>
        <w:spacing w:before="6"/>
        <w:rPr>
          <w:sz w:val="31"/>
        </w:rPr>
      </w:pPr>
    </w:p>
    <w:p>
      <w:pPr>
        <w:pStyle w:val="BodyText"/>
        <w:spacing w:line="312" w:lineRule="auto"/>
        <w:ind w:left="100" w:right="117" w:firstLine="187"/>
        <w:jc w:val="both"/>
      </w:pPr>
      <w:r>
        <w:rPr>
          <w:spacing w:val="2"/>
        </w:rPr>
        <w:t>The </w:t>
      </w:r>
      <w:r>
        <w:rPr/>
        <w:t>Company has six fixed option plans. Under the 1991 Incentive </w:t>
      </w:r>
      <w:r>
        <w:rPr>
          <w:spacing w:val="-4"/>
        </w:rPr>
        <w:t>Stock  </w:t>
      </w:r>
      <w:r>
        <w:rPr/>
        <w:t>Option  Plan, the Company </w:t>
      </w:r>
      <w:r>
        <w:rPr>
          <w:spacing w:val="-3"/>
        </w:rPr>
        <w:t>may </w:t>
      </w:r>
      <w:r>
        <w:rPr/>
        <w:t>grant options to key Employees for up to 20,250,000 shares of </w:t>
      </w:r>
      <w:r>
        <w:rPr>
          <w:spacing w:val="-3"/>
        </w:rPr>
        <w:t>common </w:t>
      </w:r>
      <w:r>
        <w:rPr/>
        <w:t>stock. Under the 1991 Non-Qualified </w:t>
      </w:r>
      <w:r>
        <w:rPr>
          <w:spacing w:val="-4"/>
        </w:rPr>
        <w:t>Stock </w:t>
      </w:r>
      <w:r>
        <w:rPr/>
        <w:t>Option Plan, the Company </w:t>
      </w:r>
      <w:r>
        <w:rPr>
          <w:spacing w:val="-3"/>
        </w:rPr>
        <w:t>may </w:t>
      </w:r>
      <w:r>
        <w:rPr/>
        <w:t>grant options to key Employees and non-employee </w:t>
      </w:r>
      <w:r>
        <w:rPr>
          <w:spacing w:val="2"/>
        </w:rPr>
        <w:t>directors </w:t>
      </w:r>
      <w:r>
        <w:rPr/>
        <w:t>for up to 1,687,500 shares of </w:t>
      </w:r>
      <w:r>
        <w:rPr>
          <w:spacing w:val="-3"/>
        </w:rPr>
        <w:t>common </w:t>
      </w:r>
      <w:r>
        <w:rPr/>
        <w:t>stock. All options granted under these plans have ten-year terms and vest and become fully exercisable at the end of three, five, or ten years of continued employment, depending upon the grant</w:t>
      </w:r>
      <w:r>
        <w:rPr>
          <w:spacing w:val="-5"/>
        </w:rPr>
        <w:t> </w:t>
      </w:r>
      <w:r>
        <w:rPr/>
        <w:t>type.</w:t>
      </w:r>
    </w:p>
    <w:p>
      <w:pPr>
        <w:pStyle w:val="BodyText"/>
        <w:spacing w:before="6"/>
        <w:rPr>
          <w:sz w:val="31"/>
        </w:rPr>
      </w:pPr>
    </w:p>
    <w:p>
      <w:pPr>
        <w:pStyle w:val="BodyText"/>
        <w:spacing w:line="312" w:lineRule="auto"/>
        <w:ind w:left="100" w:right="116" w:firstLine="187"/>
        <w:jc w:val="both"/>
      </w:pPr>
      <w:r>
        <w:rPr/>
        <w:t>Under the 1995 Southwest Airlines Pilots’ Association Non-Qualified </w:t>
      </w:r>
      <w:r>
        <w:rPr>
          <w:spacing w:val="-4"/>
        </w:rPr>
        <w:t>Stock </w:t>
      </w:r>
      <w:r>
        <w:rPr/>
        <w:t>Option  Plan (SWAPA Plan), the Company </w:t>
      </w:r>
      <w:r>
        <w:rPr>
          <w:spacing w:val="-3"/>
        </w:rPr>
        <w:t>may </w:t>
      </w:r>
      <w:r>
        <w:rPr/>
        <w:t>grant options to Pilots for up to 40,500,000 shares of </w:t>
      </w:r>
      <w:r>
        <w:rPr>
          <w:spacing w:val="-3"/>
        </w:rPr>
        <w:t>common </w:t>
      </w:r>
      <w:r>
        <w:rPr/>
        <w:t>stock. An initial grant of approximately 32,788,000 shares was made on January 12, 1995, at an option price of $8.89 per share, which exceeded the market price of the Company’s stock on that date. Options granted under the initial grant vest  in ten annual increments of ten percent. On September 1 of each year of the agreement beginning in 1996, additional options will be granted to Pilots that become  eligible during that year. Additional options granted on September 1, 1998, 1997, and 1996,  vest in six annual increments of 16.7 percent, seven annual increments of 14.3 percent, and eight annual increments of 12.5 percent, respectively. Options under all  grants  must be exercised prior to January 31, 2007, or within a specified time upon retirement or</w:t>
      </w:r>
      <w:r>
        <w:rPr>
          <w:spacing w:val="3"/>
        </w:rPr>
        <w:t> </w:t>
      </w:r>
      <w:r>
        <w:rPr/>
        <w:t>termination.</w:t>
      </w:r>
    </w:p>
    <w:p>
      <w:pPr>
        <w:pStyle w:val="BodyText"/>
        <w:spacing w:before="6"/>
        <w:rPr>
          <w:sz w:val="31"/>
        </w:rPr>
      </w:pPr>
    </w:p>
    <w:p>
      <w:pPr>
        <w:pStyle w:val="BodyText"/>
        <w:spacing w:line="312" w:lineRule="auto"/>
        <w:ind w:left="100" w:right="119" w:firstLine="187"/>
        <w:jc w:val="both"/>
      </w:pPr>
      <w:r>
        <w:rPr/>
        <w:t>Under the 1996 Incentive Stock Option Plan, the Company may grant options to key Employees for up to 13,500,000 shares of common stock. Under the 1996 Non- Qualified Stock Option Plan, the Company may grant options to key Employees and non-employee directors for up to 1,293,750 shares of common stock. All options</w:t>
      </w:r>
    </w:p>
    <w:p>
      <w:pPr>
        <w:spacing w:after="0" w:line="312" w:lineRule="auto"/>
        <w:jc w:val="both"/>
        <w:sectPr>
          <w:pgSz w:w="12240" w:h="15840"/>
          <w:pgMar w:header="1448" w:footer="344" w:top="1700" w:bottom="540" w:left="1340" w:right="1320"/>
        </w:sectPr>
      </w:pPr>
    </w:p>
    <w:p>
      <w:pPr>
        <w:pStyle w:val="BodyText"/>
        <w:rPr>
          <w:sz w:val="20"/>
        </w:rPr>
      </w:pPr>
    </w:p>
    <w:p>
      <w:pPr>
        <w:pStyle w:val="BodyText"/>
        <w:spacing w:line="312" w:lineRule="auto" w:before="219"/>
        <w:ind w:left="100" w:right="118"/>
        <w:jc w:val="both"/>
      </w:pPr>
      <w:r>
        <w:rPr/>
        <w:t>granted under these plans have ten-year terms and vest and become fully exercisable at the end of three, five, or ten years of continued employment, depending upon the grant type.</w:t>
      </w:r>
    </w:p>
    <w:p>
      <w:pPr>
        <w:pStyle w:val="BodyText"/>
        <w:spacing w:before="7"/>
        <w:rPr>
          <w:sz w:val="31"/>
        </w:rPr>
      </w:pPr>
    </w:p>
    <w:p>
      <w:pPr>
        <w:pStyle w:val="BodyText"/>
        <w:spacing w:line="312" w:lineRule="auto"/>
        <w:ind w:left="100" w:right="117" w:firstLine="187"/>
        <w:jc w:val="both"/>
      </w:pPr>
      <w:r>
        <w:rPr/>
        <w:t>Under the 1998 Southwest Airlines Employee Association Non-Qualified </w:t>
      </w:r>
      <w:r>
        <w:rPr>
          <w:spacing w:val="-4"/>
        </w:rPr>
        <w:t>Stock </w:t>
      </w:r>
      <w:r>
        <w:rPr/>
        <w:t>Option Plan </w:t>
      </w:r>
      <w:r>
        <w:rPr>
          <w:spacing w:val="2"/>
        </w:rPr>
        <w:t>(SAEA </w:t>
      </w:r>
      <w:r>
        <w:rPr/>
        <w:t>Plan), the Company </w:t>
      </w:r>
      <w:r>
        <w:rPr>
          <w:spacing w:val="-3"/>
        </w:rPr>
        <w:t>may </w:t>
      </w:r>
      <w:r>
        <w:rPr/>
        <w:t>grant options to Dispatchers for up to 1,050,000 shares of </w:t>
      </w:r>
      <w:r>
        <w:rPr>
          <w:spacing w:val="-3"/>
        </w:rPr>
        <w:t>common </w:t>
      </w:r>
      <w:r>
        <w:rPr/>
        <w:t>stock. An initial grant of 738,000 shares was made on September  10, 1998, at an option price of $19.62 per share, which exceeded the market price of  the Company’s stock on that date. Options granted under the initial grant vest in annual increments of varying percentages, depending on seniority level, through 2006. On December 1 of each year of the agreement beginning in 1998 and through December  1, 2008, additional options will be granted to Dispatchers that become eligible during that year. No options were granted on December 1, 1998. Options under all grants  must be exercised prior to June 30, 2012, or within a specified time upon retirement or termination.</w:t>
      </w:r>
    </w:p>
    <w:p>
      <w:pPr>
        <w:pStyle w:val="BodyText"/>
        <w:spacing w:before="6"/>
        <w:rPr>
          <w:sz w:val="31"/>
        </w:rPr>
      </w:pPr>
    </w:p>
    <w:p>
      <w:pPr>
        <w:pStyle w:val="BodyText"/>
        <w:spacing w:line="312" w:lineRule="auto" w:before="1"/>
        <w:ind w:left="100" w:right="117" w:firstLine="187"/>
        <w:jc w:val="both"/>
      </w:pPr>
      <w:r>
        <w:rPr/>
        <w:t>Under all fixed option plans, except the SWAPA and </w:t>
      </w:r>
      <w:r>
        <w:rPr>
          <w:spacing w:val="-3"/>
        </w:rPr>
        <w:t>SAEA </w:t>
      </w:r>
      <w:r>
        <w:rPr/>
        <w:t>Plans, the exercise price  of each option equals the market price of the Company’s stock on the date of grant. Under the SWAPA and </w:t>
      </w:r>
      <w:r>
        <w:rPr>
          <w:spacing w:val="-3"/>
        </w:rPr>
        <w:t>SAEA </w:t>
      </w:r>
      <w:r>
        <w:rPr/>
        <w:t>Plans, for additional options granted each September 1 and December 1, respectively, the exercise price will be equal to 105 percent of the fair value of such stock on the date of the</w:t>
      </w:r>
      <w:r>
        <w:rPr>
          <w:spacing w:val="13"/>
        </w:rPr>
        <w:t> </w:t>
      </w:r>
      <w:r>
        <w:rPr/>
        <w:t>grant.</w:t>
      </w:r>
    </w:p>
    <w:p>
      <w:pPr>
        <w:pStyle w:val="BodyText"/>
        <w:spacing w:before="7"/>
        <w:rPr>
          <w:sz w:val="31"/>
        </w:rPr>
      </w:pPr>
    </w:p>
    <w:p>
      <w:pPr>
        <w:pStyle w:val="BodyText"/>
        <w:spacing w:line="312" w:lineRule="auto"/>
        <w:ind w:left="100" w:right="119" w:firstLine="187"/>
        <w:jc w:val="both"/>
      </w:pPr>
      <w:r>
        <w:rPr/>
        <w:t>Information regarding the Company’s six fixed stock option plans, as adjusted for  stock splits, is summarized below:</w:t>
      </w:r>
    </w:p>
    <w:p>
      <w:pPr>
        <w:spacing w:after="0" w:line="312" w:lineRule="auto"/>
        <w:jc w:val="both"/>
        <w:sectPr>
          <w:pgSz w:w="12240" w:h="15840"/>
          <w:pgMar w:header="1448" w:footer="344" w:top="1700" w:bottom="540" w:left="1340" w:right="1320"/>
        </w:sectPr>
      </w:pPr>
    </w:p>
    <w:p>
      <w:pPr>
        <w:pStyle w:val="BodyText"/>
        <w:rPr>
          <w:rFonts w:ascii="Times New Roman"/>
          <w:sz w:val="20"/>
        </w:rPr>
      </w:pPr>
    </w:p>
    <w:p>
      <w:pPr>
        <w:pStyle w:val="BodyText"/>
        <w:spacing w:before="5"/>
        <w:rPr>
          <w:rFonts w:ascii="Times New Roman"/>
          <w:sz w:val="10"/>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37"/>
        <w:gridCol w:w="1607"/>
        <w:gridCol w:w="1468"/>
        <w:gridCol w:w="1710"/>
        <w:gridCol w:w="1029"/>
      </w:tblGrid>
      <w:tr>
        <w:trPr>
          <w:trHeight w:val="1068" w:hRule="exact"/>
        </w:trPr>
        <w:tc>
          <w:tcPr>
            <w:tcW w:w="3537" w:type="dxa"/>
          </w:tcPr>
          <w:p>
            <w:pPr/>
          </w:p>
        </w:tc>
        <w:tc>
          <w:tcPr>
            <w:tcW w:w="1607" w:type="dxa"/>
          </w:tcPr>
          <w:p>
            <w:pPr>
              <w:pStyle w:val="TableParagraph"/>
              <w:spacing w:line="203" w:lineRule="exact"/>
              <w:ind w:left="612"/>
              <w:jc w:val="left"/>
              <w:rPr>
                <w:sz w:val="18"/>
              </w:rPr>
            </w:pPr>
            <w:r>
              <w:rPr>
                <w:sz w:val="18"/>
              </w:rPr>
              <w:t>INCENTIVE</w:t>
            </w:r>
          </w:p>
          <w:p>
            <w:pPr>
              <w:pStyle w:val="TableParagraph"/>
              <w:jc w:val="left"/>
              <w:rPr>
                <w:rFonts w:ascii="Times New Roman"/>
                <w:sz w:val="20"/>
              </w:rPr>
            </w:pPr>
          </w:p>
          <w:p>
            <w:pPr>
              <w:pStyle w:val="TableParagraph"/>
              <w:jc w:val="left"/>
              <w:rPr>
                <w:rFonts w:ascii="Times New Roman"/>
                <w:sz w:val="20"/>
              </w:rPr>
            </w:pPr>
          </w:p>
          <w:p>
            <w:pPr>
              <w:pStyle w:val="TableParagraph"/>
              <w:spacing w:before="168"/>
              <w:ind w:left="391"/>
              <w:jc w:val="left"/>
              <w:rPr>
                <w:sz w:val="18"/>
              </w:rPr>
            </w:pPr>
            <w:r>
              <w:rPr>
                <w:sz w:val="18"/>
              </w:rPr>
              <w:t>OPTIONS</w:t>
            </w:r>
          </w:p>
        </w:tc>
        <w:tc>
          <w:tcPr>
            <w:tcW w:w="1468" w:type="dxa"/>
          </w:tcPr>
          <w:p>
            <w:pPr>
              <w:pStyle w:val="TableParagraph"/>
              <w:spacing w:line="203" w:lineRule="exact"/>
              <w:ind w:left="21"/>
              <w:jc w:val="left"/>
              <w:rPr>
                <w:sz w:val="18"/>
              </w:rPr>
            </w:pPr>
            <w:r>
              <w:rPr>
                <w:sz w:val="18"/>
              </w:rPr>
              <w:t>PLANS</w:t>
            </w:r>
          </w:p>
          <w:p>
            <w:pPr>
              <w:pStyle w:val="TableParagraph"/>
              <w:spacing w:line="324" w:lineRule="auto" w:before="71"/>
              <w:ind w:left="224" w:right="332"/>
              <w:jc w:val="center"/>
              <w:rPr>
                <w:sz w:val="18"/>
              </w:rPr>
            </w:pPr>
            <w:r>
              <w:rPr>
                <w:sz w:val="18"/>
              </w:rPr>
              <w:t>AVERAGE EXERCISE PRICE</w:t>
            </w:r>
          </w:p>
        </w:tc>
        <w:tc>
          <w:tcPr>
            <w:tcW w:w="1710" w:type="dxa"/>
          </w:tcPr>
          <w:p>
            <w:pPr>
              <w:pStyle w:val="TableParagraph"/>
              <w:spacing w:line="203" w:lineRule="exact"/>
              <w:ind w:left="278"/>
              <w:jc w:val="left"/>
              <w:rPr>
                <w:sz w:val="18"/>
              </w:rPr>
            </w:pPr>
            <w:r>
              <w:rPr>
                <w:sz w:val="18"/>
              </w:rPr>
              <w:t>NON-QUALIFIED</w:t>
            </w:r>
          </w:p>
          <w:p>
            <w:pPr>
              <w:pStyle w:val="TableParagraph"/>
              <w:jc w:val="left"/>
              <w:rPr>
                <w:rFonts w:ascii="Times New Roman"/>
                <w:sz w:val="20"/>
              </w:rPr>
            </w:pPr>
          </w:p>
          <w:p>
            <w:pPr>
              <w:pStyle w:val="TableParagraph"/>
              <w:jc w:val="left"/>
              <w:rPr>
                <w:rFonts w:ascii="Times New Roman"/>
                <w:sz w:val="20"/>
              </w:rPr>
            </w:pPr>
          </w:p>
          <w:p>
            <w:pPr>
              <w:pStyle w:val="TableParagraph"/>
              <w:spacing w:before="168"/>
              <w:ind w:left="287"/>
              <w:jc w:val="left"/>
              <w:rPr>
                <w:sz w:val="18"/>
              </w:rPr>
            </w:pPr>
            <w:r>
              <w:rPr>
                <w:sz w:val="18"/>
              </w:rPr>
              <w:t>OPTIONS</w:t>
            </w:r>
          </w:p>
        </w:tc>
        <w:tc>
          <w:tcPr>
            <w:tcW w:w="1029" w:type="dxa"/>
          </w:tcPr>
          <w:p>
            <w:pPr>
              <w:pStyle w:val="TableParagraph"/>
              <w:spacing w:line="324" w:lineRule="auto"/>
              <w:ind w:left="18" w:right="80" w:firstLine="26"/>
              <w:jc w:val="left"/>
              <w:rPr>
                <w:sz w:val="18"/>
              </w:rPr>
            </w:pPr>
            <w:r>
              <w:rPr>
                <w:sz w:val="18"/>
              </w:rPr>
              <w:t>PLANS AVERAGE EXERCISE</w:t>
            </w:r>
          </w:p>
          <w:p>
            <w:pPr>
              <w:pStyle w:val="TableParagraph"/>
              <w:spacing w:before="4"/>
              <w:ind w:left="195"/>
              <w:jc w:val="left"/>
              <w:rPr>
                <w:sz w:val="18"/>
              </w:rPr>
            </w:pPr>
            <w:r>
              <w:rPr>
                <w:sz w:val="18"/>
              </w:rPr>
              <w:t>PRICE</w:t>
            </w:r>
          </w:p>
        </w:tc>
      </w:tr>
      <w:tr>
        <w:trPr>
          <w:trHeight w:val="280" w:hRule="exact"/>
        </w:trPr>
        <w:tc>
          <w:tcPr>
            <w:tcW w:w="3537" w:type="dxa"/>
          </w:tcPr>
          <w:p>
            <w:pPr>
              <w:pStyle w:val="TableParagraph"/>
              <w:spacing w:before="23"/>
              <w:ind w:left="50"/>
              <w:jc w:val="left"/>
              <w:rPr>
                <w:sz w:val="20"/>
              </w:rPr>
            </w:pPr>
            <w:r>
              <w:rPr>
                <w:sz w:val="20"/>
              </w:rPr>
              <w:t>Outstanding December 31, 1995</w:t>
            </w:r>
          </w:p>
        </w:tc>
        <w:tc>
          <w:tcPr>
            <w:tcW w:w="1607" w:type="dxa"/>
          </w:tcPr>
          <w:p>
            <w:pPr>
              <w:pStyle w:val="TableParagraph"/>
              <w:spacing w:before="23"/>
              <w:ind w:right="41"/>
              <w:rPr>
                <w:sz w:val="20"/>
              </w:rPr>
            </w:pPr>
            <w:r>
              <w:rPr>
                <w:sz w:val="20"/>
              </w:rPr>
              <w:t>11,726,729</w:t>
            </w:r>
          </w:p>
        </w:tc>
        <w:tc>
          <w:tcPr>
            <w:tcW w:w="1468" w:type="dxa"/>
          </w:tcPr>
          <w:p>
            <w:pPr>
              <w:pStyle w:val="TableParagraph"/>
              <w:spacing w:before="23"/>
              <w:ind w:right="276"/>
              <w:rPr>
                <w:sz w:val="20"/>
              </w:rPr>
            </w:pPr>
            <w:r>
              <w:rPr>
                <w:sz w:val="20"/>
              </w:rPr>
              <w:t>$5.99</w:t>
            </w:r>
          </w:p>
        </w:tc>
        <w:tc>
          <w:tcPr>
            <w:tcW w:w="1710" w:type="dxa"/>
          </w:tcPr>
          <w:p>
            <w:pPr>
              <w:pStyle w:val="TableParagraph"/>
              <w:spacing w:before="23"/>
              <w:ind w:right="244"/>
              <w:rPr>
                <w:sz w:val="20"/>
              </w:rPr>
            </w:pPr>
            <w:r>
              <w:rPr>
                <w:sz w:val="20"/>
              </w:rPr>
              <w:t>33,421,656</w:t>
            </w:r>
          </w:p>
        </w:tc>
        <w:tc>
          <w:tcPr>
            <w:tcW w:w="1029" w:type="dxa"/>
          </w:tcPr>
          <w:p>
            <w:pPr>
              <w:pStyle w:val="TableParagraph"/>
              <w:spacing w:before="23"/>
              <w:ind w:right="48"/>
              <w:rPr>
                <w:sz w:val="20"/>
              </w:rPr>
            </w:pPr>
            <w:r>
              <w:rPr>
                <w:sz w:val="20"/>
              </w:rPr>
              <w:t>$8.83</w:t>
            </w:r>
          </w:p>
        </w:tc>
      </w:tr>
      <w:tr>
        <w:trPr>
          <w:trHeight w:val="278" w:hRule="exact"/>
        </w:trPr>
        <w:tc>
          <w:tcPr>
            <w:tcW w:w="3537" w:type="dxa"/>
          </w:tcPr>
          <w:p>
            <w:pPr>
              <w:pStyle w:val="TableParagraph"/>
              <w:spacing w:before="21"/>
              <w:ind w:left="232"/>
              <w:jc w:val="left"/>
              <w:rPr>
                <w:sz w:val="20"/>
              </w:rPr>
            </w:pPr>
            <w:r>
              <w:rPr>
                <w:sz w:val="20"/>
              </w:rPr>
              <w:t>Granted – Incentive Plans</w:t>
            </w:r>
          </w:p>
        </w:tc>
        <w:tc>
          <w:tcPr>
            <w:tcW w:w="1607" w:type="dxa"/>
          </w:tcPr>
          <w:p>
            <w:pPr>
              <w:pStyle w:val="TableParagraph"/>
              <w:spacing w:before="21"/>
              <w:ind w:right="41"/>
              <w:rPr>
                <w:sz w:val="20"/>
              </w:rPr>
            </w:pPr>
            <w:r>
              <w:rPr>
                <w:sz w:val="20"/>
              </w:rPr>
              <w:t>3,758,274</w:t>
            </w:r>
          </w:p>
        </w:tc>
        <w:tc>
          <w:tcPr>
            <w:tcW w:w="1468" w:type="dxa"/>
          </w:tcPr>
          <w:p>
            <w:pPr>
              <w:pStyle w:val="TableParagraph"/>
              <w:spacing w:before="21"/>
              <w:ind w:right="276"/>
              <w:rPr>
                <w:sz w:val="20"/>
              </w:rPr>
            </w:pPr>
            <w:r>
              <w:rPr>
                <w:sz w:val="20"/>
              </w:rPr>
              <w:t>11.19</w:t>
            </w:r>
          </w:p>
        </w:tc>
        <w:tc>
          <w:tcPr>
            <w:tcW w:w="1710" w:type="dxa"/>
          </w:tcPr>
          <w:p>
            <w:pPr>
              <w:pStyle w:val="TableParagraph"/>
              <w:spacing w:before="21"/>
              <w:ind w:right="243"/>
              <w:rPr>
                <w:sz w:val="20"/>
              </w:rPr>
            </w:pPr>
            <w:r>
              <w:rPr>
                <w:w w:val="100"/>
                <w:sz w:val="20"/>
              </w:rPr>
              <w:t>-</w:t>
            </w:r>
          </w:p>
        </w:tc>
        <w:tc>
          <w:tcPr>
            <w:tcW w:w="1029" w:type="dxa"/>
          </w:tcPr>
          <w:p>
            <w:pPr>
              <w:pStyle w:val="TableParagraph"/>
              <w:spacing w:before="21"/>
              <w:ind w:right="48"/>
              <w:rPr>
                <w:sz w:val="20"/>
              </w:rPr>
            </w:pPr>
            <w:r>
              <w:rPr>
                <w:w w:val="100"/>
                <w:sz w:val="20"/>
              </w:rPr>
              <w:t>-</w:t>
            </w:r>
          </w:p>
        </w:tc>
      </w:tr>
      <w:tr>
        <w:trPr>
          <w:trHeight w:val="278" w:hRule="exact"/>
        </w:trPr>
        <w:tc>
          <w:tcPr>
            <w:tcW w:w="3537" w:type="dxa"/>
          </w:tcPr>
          <w:p>
            <w:pPr>
              <w:pStyle w:val="TableParagraph"/>
              <w:spacing w:before="21"/>
              <w:ind w:left="232"/>
              <w:jc w:val="left"/>
              <w:rPr>
                <w:sz w:val="20"/>
              </w:rPr>
            </w:pPr>
            <w:r>
              <w:rPr>
                <w:sz w:val="20"/>
              </w:rPr>
              <w:t>Granted – SWAPA Plan</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4"/>
              <w:rPr>
                <w:sz w:val="20"/>
              </w:rPr>
            </w:pPr>
            <w:r>
              <w:rPr>
                <w:sz w:val="20"/>
              </w:rPr>
              <w:t>1,048,950</w:t>
            </w:r>
          </w:p>
        </w:tc>
        <w:tc>
          <w:tcPr>
            <w:tcW w:w="1029" w:type="dxa"/>
          </w:tcPr>
          <w:p>
            <w:pPr>
              <w:pStyle w:val="TableParagraph"/>
              <w:spacing w:before="21"/>
              <w:ind w:right="48"/>
              <w:rPr>
                <w:sz w:val="20"/>
              </w:rPr>
            </w:pPr>
            <w:r>
              <w:rPr>
                <w:sz w:val="20"/>
              </w:rPr>
              <w:t>10.59</w:t>
            </w:r>
          </w:p>
        </w:tc>
      </w:tr>
      <w:tr>
        <w:trPr>
          <w:trHeight w:val="278" w:hRule="exact"/>
        </w:trPr>
        <w:tc>
          <w:tcPr>
            <w:tcW w:w="3537" w:type="dxa"/>
          </w:tcPr>
          <w:p>
            <w:pPr>
              <w:pStyle w:val="TableParagraph"/>
              <w:spacing w:before="21"/>
              <w:ind w:left="232"/>
              <w:jc w:val="left"/>
              <w:rPr>
                <w:sz w:val="20"/>
              </w:rPr>
            </w:pPr>
            <w:r>
              <w:rPr>
                <w:sz w:val="20"/>
              </w:rPr>
              <w:t>Granted – Other Non-Qualified</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3"/>
              <w:rPr>
                <w:sz w:val="20"/>
              </w:rPr>
            </w:pPr>
            <w:r>
              <w:rPr>
                <w:sz w:val="20"/>
              </w:rPr>
              <w:t>155,525</w:t>
            </w:r>
          </w:p>
        </w:tc>
        <w:tc>
          <w:tcPr>
            <w:tcW w:w="1029" w:type="dxa"/>
          </w:tcPr>
          <w:p>
            <w:pPr>
              <w:pStyle w:val="TableParagraph"/>
              <w:spacing w:before="21"/>
              <w:ind w:right="48"/>
              <w:rPr>
                <w:sz w:val="20"/>
              </w:rPr>
            </w:pPr>
            <w:r>
              <w:rPr>
                <w:sz w:val="20"/>
              </w:rPr>
              <w:t>11.19</w:t>
            </w:r>
          </w:p>
        </w:tc>
      </w:tr>
      <w:tr>
        <w:trPr>
          <w:trHeight w:val="557" w:hRule="exact"/>
        </w:trPr>
        <w:tc>
          <w:tcPr>
            <w:tcW w:w="3537" w:type="dxa"/>
          </w:tcPr>
          <w:p>
            <w:pPr>
              <w:pStyle w:val="TableParagraph"/>
              <w:spacing w:line="290" w:lineRule="auto" w:before="21"/>
              <w:ind w:left="232" w:right="2407"/>
              <w:jc w:val="left"/>
              <w:rPr>
                <w:sz w:val="20"/>
              </w:rPr>
            </w:pPr>
            <w:r>
              <w:rPr>
                <w:sz w:val="20"/>
              </w:rPr>
              <w:t>Plans Exercised</w:t>
            </w:r>
          </w:p>
        </w:tc>
        <w:tc>
          <w:tcPr>
            <w:tcW w:w="1607" w:type="dxa"/>
          </w:tcPr>
          <w:p>
            <w:pPr>
              <w:pStyle w:val="TableParagraph"/>
              <w:jc w:val="left"/>
              <w:rPr>
                <w:rFonts w:ascii="Times New Roman"/>
                <w:sz w:val="26"/>
              </w:rPr>
            </w:pPr>
          </w:p>
          <w:p>
            <w:pPr>
              <w:pStyle w:val="TableParagraph"/>
              <w:spacing w:before="1"/>
              <w:ind w:right="39"/>
              <w:rPr>
                <w:sz w:val="20"/>
              </w:rPr>
            </w:pPr>
            <w:r>
              <w:rPr>
                <w:sz w:val="20"/>
              </w:rPr>
              <w:t>(890,658)</w:t>
            </w:r>
          </w:p>
        </w:tc>
        <w:tc>
          <w:tcPr>
            <w:tcW w:w="1468" w:type="dxa"/>
          </w:tcPr>
          <w:p>
            <w:pPr>
              <w:pStyle w:val="TableParagraph"/>
              <w:jc w:val="left"/>
              <w:rPr>
                <w:rFonts w:ascii="Times New Roman"/>
                <w:sz w:val="26"/>
              </w:rPr>
            </w:pPr>
          </w:p>
          <w:p>
            <w:pPr>
              <w:pStyle w:val="TableParagraph"/>
              <w:spacing w:before="1"/>
              <w:ind w:right="276"/>
              <w:rPr>
                <w:sz w:val="20"/>
              </w:rPr>
            </w:pPr>
            <w:r>
              <w:rPr>
                <w:sz w:val="20"/>
              </w:rPr>
              <w:t>4.57</w:t>
            </w:r>
          </w:p>
        </w:tc>
        <w:tc>
          <w:tcPr>
            <w:tcW w:w="1710" w:type="dxa"/>
          </w:tcPr>
          <w:p>
            <w:pPr>
              <w:pStyle w:val="TableParagraph"/>
              <w:jc w:val="left"/>
              <w:rPr>
                <w:rFonts w:ascii="Times New Roman"/>
                <w:sz w:val="26"/>
              </w:rPr>
            </w:pPr>
          </w:p>
          <w:p>
            <w:pPr>
              <w:pStyle w:val="TableParagraph"/>
              <w:spacing w:before="1"/>
              <w:ind w:right="239"/>
              <w:rPr>
                <w:sz w:val="20"/>
              </w:rPr>
            </w:pPr>
            <w:r>
              <w:rPr>
                <w:sz w:val="20"/>
              </w:rPr>
              <w:t>(653,367)</w:t>
            </w:r>
          </w:p>
        </w:tc>
        <w:tc>
          <w:tcPr>
            <w:tcW w:w="1029" w:type="dxa"/>
          </w:tcPr>
          <w:p>
            <w:pPr>
              <w:pStyle w:val="TableParagraph"/>
              <w:jc w:val="left"/>
              <w:rPr>
                <w:rFonts w:ascii="Times New Roman"/>
                <w:sz w:val="26"/>
              </w:rPr>
            </w:pPr>
          </w:p>
          <w:p>
            <w:pPr>
              <w:pStyle w:val="TableParagraph"/>
              <w:spacing w:before="1"/>
              <w:ind w:right="48"/>
              <w:rPr>
                <w:sz w:val="20"/>
              </w:rPr>
            </w:pPr>
            <w:r>
              <w:rPr>
                <w:sz w:val="20"/>
              </w:rPr>
              <w:t>7.95</w:t>
            </w:r>
          </w:p>
        </w:tc>
      </w:tr>
      <w:tr>
        <w:trPr>
          <w:trHeight w:val="278" w:hRule="exact"/>
        </w:trPr>
        <w:tc>
          <w:tcPr>
            <w:tcW w:w="3537" w:type="dxa"/>
          </w:tcPr>
          <w:p>
            <w:pPr>
              <w:pStyle w:val="TableParagraph"/>
              <w:spacing w:before="21"/>
              <w:ind w:left="232"/>
              <w:jc w:val="left"/>
              <w:rPr>
                <w:sz w:val="20"/>
              </w:rPr>
            </w:pPr>
            <w:r>
              <w:rPr>
                <w:sz w:val="20"/>
              </w:rPr>
              <w:t>Surrendered</w:t>
            </w:r>
          </w:p>
        </w:tc>
        <w:tc>
          <w:tcPr>
            <w:tcW w:w="1607" w:type="dxa"/>
          </w:tcPr>
          <w:p>
            <w:pPr>
              <w:pStyle w:val="TableParagraph"/>
              <w:spacing w:before="21"/>
              <w:ind w:right="39"/>
              <w:rPr>
                <w:sz w:val="20"/>
              </w:rPr>
            </w:pPr>
            <w:r>
              <w:rPr>
                <w:sz w:val="20"/>
                <w:u w:val="single"/>
              </w:rPr>
              <w:t>(563,504)</w:t>
            </w:r>
          </w:p>
        </w:tc>
        <w:tc>
          <w:tcPr>
            <w:tcW w:w="1468" w:type="dxa"/>
          </w:tcPr>
          <w:p>
            <w:pPr>
              <w:pStyle w:val="TableParagraph"/>
              <w:spacing w:before="21"/>
              <w:ind w:right="276"/>
              <w:rPr>
                <w:sz w:val="20"/>
              </w:rPr>
            </w:pPr>
            <w:r>
              <w:rPr>
                <w:sz w:val="20"/>
              </w:rPr>
              <w:t>8.96</w:t>
            </w:r>
          </w:p>
        </w:tc>
        <w:tc>
          <w:tcPr>
            <w:tcW w:w="1710" w:type="dxa"/>
          </w:tcPr>
          <w:p>
            <w:pPr>
              <w:pStyle w:val="TableParagraph"/>
              <w:spacing w:before="21"/>
              <w:ind w:right="239"/>
              <w:rPr>
                <w:sz w:val="20"/>
              </w:rPr>
            </w:pPr>
            <w:r>
              <w:rPr>
                <w:sz w:val="20"/>
                <w:u w:val="single"/>
              </w:rPr>
              <w:t>(213,716)</w:t>
            </w:r>
          </w:p>
        </w:tc>
        <w:tc>
          <w:tcPr>
            <w:tcW w:w="1029" w:type="dxa"/>
          </w:tcPr>
          <w:p>
            <w:pPr>
              <w:pStyle w:val="TableParagraph"/>
              <w:spacing w:before="21"/>
              <w:ind w:right="48"/>
              <w:rPr>
                <w:sz w:val="20"/>
              </w:rPr>
            </w:pPr>
            <w:r>
              <w:rPr>
                <w:sz w:val="20"/>
              </w:rPr>
              <w:t>8.89</w:t>
            </w:r>
          </w:p>
        </w:tc>
      </w:tr>
      <w:tr>
        <w:trPr>
          <w:trHeight w:val="278" w:hRule="exact"/>
        </w:trPr>
        <w:tc>
          <w:tcPr>
            <w:tcW w:w="3537" w:type="dxa"/>
          </w:tcPr>
          <w:p>
            <w:pPr>
              <w:pStyle w:val="TableParagraph"/>
              <w:spacing w:before="21"/>
              <w:ind w:left="50"/>
              <w:jc w:val="left"/>
              <w:rPr>
                <w:sz w:val="20"/>
              </w:rPr>
            </w:pPr>
            <w:r>
              <w:rPr>
                <w:sz w:val="20"/>
              </w:rPr>
              <w:t>Outstanding December 31, 1996</w:t>
            </w:r>
          </w:p>
        </w:tc>
        <w:tc>
          <w:tcPr>
            <w:tcW w:w="1607" w:type="dxa"/>
          </w:tcPr>
          <w:p>
            <w:pPr>
              <w:pStyle w:val="TableParagraph"/>
              <w:spacing w:before="21"/>
              <w:ind w:right="41"/>
              <w:rPr>
                <w:sz w:val="20"/>
              </w:rPr>
            </w:pPr>
            <w:r>
              <w:rPr>
                <w:sz w:val="20"/>
              </w:rPr>
              <w:t>14,030,841</w:t>
            </w:r>
          </w:p>
        </w:tc>
        <w:tc>
          <w:tcPr>
            <w:tcW w:w="1468" w:type="dxa"/>
          </w:tcPr>
          <w:p>
            <w:pPr>
              <w:pStyle w:val="TableParagraph"/>
              <w:spacing w:before="21"/>
              <w:ind w:right="276"/>
              <w:rPr>
                <w:sz w:val="20"/>
              </w:rPr>
            </w:pPr>
            <w:r>
              <w:rPr>
                <w:sz w:val="20"/>
              </w:rPr>
              <w:t>7.35</w:t>
            </w:r>
          </w:p>
        </w:tc>
        <w:tc>
          <w:tcPr>
            <w:tcW w:w="1710" w:type="dxa"/>
          </w:tcPr>
          <w:p>
            <w:pPr>
              <w:pStyle w:val="TableParagraph"/>
              <w:spacing w:before="21"/>
              <w:ind w:right="244"/>
              <w:rPr>
                <w:sz w:val="20"/>
              </w:rPr>
            </w:pPr>
            <w:r>
              <w:rPr>
                <w:sz w:val="20"/>
              </w:rPr>
              <w:t>33,759,048</w:t>
            </w:r>
          </w:p>
        </w:tc>
        <w:tc>
          <w:tcPr>
            <w:tcW w:w="1029" w:type="dxa"/>
          </w:tcPr>
          <w:p>
            <w:pPr>
              <w:pStyle w:val="TableParagraph"/>
              <w:spacing w:before="21"/>
              <w:ind w:right="48"/>
              <w:rPr>
                <w:sz w:val="20"/>
              </w:rPr>
            </w:pPr>
            <w:r>
              <w:rPr>
                <w:sz w:val="20"/>
              </w:rPr>
              <w:t>8.91</w:t>
            </w:r>
          </w:p>
        </w:tc>
      </w:tr>
      <w:tr>
        <w:trPr>
          <w:trHeight w:val="278" w:hRule="exact"/>
        </w:trPr>
        <w:tc>
          <w:tcPr>
            <w:tcW w:w="3537" w:type="dxa"/>
          </w:tcPr>
          <w:p>
            <w:pPr>
              <w:pStyle w:val="TableParagraph"/>
              <w:spacing w:before="21"/>
              <w:ind w:left="232"/>
              <w:jc w:val="left"/>
              <w:rPr>
                <w:sz w:val="20"/>
              </w:rPr>
            </w:pPr>
            <w:r>
              <w:rPr>
                <w:sz w:val="20"/>
              </w:rPr>
              <w:t>Granted – Incentive Plans</w:t>
            </w:r>
          </w:p>
        </w:tc>
        <w:tc>
          <w:tcPr>
            <w:tcW w:w="1607" w:type="dxa"/>
          </w:tcPr>
          <w:p>
            <w:pPr>
              <w:pStyle w:val="TableParagraph"/>
              <w:spacing w:before="21"/>
              <w:ind w:right="41"/>
              <w:rPr>
                <w:sz w:val="20"/>
              </w:rPr>
            </w:pPr>
            <w:r>
              <w:rPr>
                <w:sz w:val="20"/>
              </w:rPr>
              <w:t>3,682,737</w:t>
            </w:r>
          </w:p>
        </w:tc>
        <w:tc>
          <w:tcPr>
            <w:tcW w:w="1468" w:type="dxa"/>
          </w:tcPr>
          <w:p>
            <w:pPr>
              <w:pStyle w:val="TableParagraph"/>
              <w:spacing w:before="21"/>
              <w:ind w:right="276"/>
              <w:rPr>
                <w:sz w:val="20"/>
              </w:rPr>
            </w:pPr>
            <w:r>
              <w:rPr>
                <w:sz w:val="20"/>
              </w:rPr>
              <w:t>9.67</w:t>
            </w:r>
          </w:p>
        </w:tc>
        <w:tc>
          <w:tcPr>
            <w:tcW w:w="1710" w:type="dxa"/>
          </w:tcPr>
          <w:p>
            <w:pPr>
              <w:pStyle w:val="TableParagraph"/>
              <w:spacing w:before="21"/>
              <w:ind w:right="243"/>
              <w:rPr>
                <w:sz w:val="20"/>
              </w:rPr>
            </w:pPr>
            <w:r>
              <w:rPr>
                <w:w w:val="100"/>
                <w:sz w:val="20"/>
              </w:rPr>
              <w:t>-</w:t>
            </w:r>
          </w:p>
        </w:tc>
        <w:tc>
          <w:tcPr>
            <w:tcW w:w="1029" w:type="dxa"/>
          </w:tcPr>
          <w:p>
            <w:pPr>
              <w:pStyle w:val="TableParagraph"/>
              <w:spacing w:before="21"/>
              <w:ind w:right="48"/>
              <w:rPr>
                <w:sz w:val="20"/>
              </w:rPr>
            </w:pPr>
            <w:r>
              <w:rPr>
                <w:w w:val="100"/>
                <w:sz w:val="20"/>
              </w:rPr>
              <w:t>-</w:t>
            </w:r>
          </w:p>
        </w:tc>
      </w:tr>
      <w:tr>
        <w:trPr>
          <w:trHeight w:val="278" w:hRule="exact"/>
        </w:trPr>
        <w:tc>
          <w:tcPr>
            <w:tcW w:w="3537" w:type="dxa"/>
          </w:tcPr>
          <w:p>
            <w:pPr>
              <w:pStyle w:val="TableParagraph"/>
              <w:spacing w:before="21"/>
              <w:ind w:left="232"/>
              <w:jc w:val="left"/>
              <w:rPr>
                <w:sz w:val="20"/>
              </w:rPr>
            </w:pPr>
            <w:r>
              <w:rPr>
                <w:sz w:val="20"/>
              </w:rPr>
              <w:t>Granted – SWAPA Plan</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4"/>
              <w:rPr>
                <w:sz w:val="20"/>
              </w:rPr>
            </w:pPr>
            <w:r>
              <w:rPr>
                <w:sz w:val="20"/>
              </w:rPr>
              <w:t>1,323,000</w:t>
            </w:r>
          </w:p>
        </w:tc>
        <w:tc>
          <w:tcPr>
            <w:tcW w:w="1029" w:type="dxa"/>
          </w:tcPr>
          <w:p>
            <w:pPr>
              <w:pStyle w:val="TableParagraph"/>
              <w:spacing w:before="21"/>
              <w:ind w:right="48"/>
              <w:rPr>
                <w:sz w:val="20"/>
              </w:rPr>
            </w:pPr>
            <w:r>
              <w:rPr>
                <w:sz w:val="20"/>
              </w:rPr>
              <w:t>13.19</w:t>
            </w:r>
          </w:p>
        </w:tc>
      </w:tr>
      <w:tr>
        <w:trPr>
          <w:trHeight w:val="278" w:hRule="exact"/>
        </w:trPr>
        <w:tc>
          <w:tcPr>
            <w:tcW w:w="3537" w:type="dxa"/>
          </w:tcPr>
          <w:p>
            <w:pPr>
              <w:pStyle w:val="TableParagraph"/>
              <w:spacing w:before="21"/>
              <w:ind w:left="232"/>
              <w:jc w:val="left"/>
              <w:rPr>
                <w:sz w:val="20"/>
              </w:rPr>
            </w:pPr>
            <w:r>
              <w:rPr>
                <w:sz w:val="20"/>
              </w:rPr>
              <w:t>Granted – Other Non-Qualified</w:t>
            </w:r>
          </w:p>
        </w:tc>
        <w:tc>
          <w:tcPr>
            <w:tcW w:w="1607" w:type="dxa"/>
          </w:tcPr>
          <w:p>
            <w:pPr>
              <w:pStyle w:val="TableParagraph"/>
              <w:spacing w:before="21"/>
              <w:ind w:right="42"/>
              <w:rPr>
                <w:sz w:val="20"/>
              </w:rPr>
            </w:pPr>
            <w:r>
              <w:rPr>
                <w:w w:val="100"/>
                <w:sz w:val="20"/>
              </w:rPr>
              <w:t>-</w:t>
            </w:r>
          </w:p>
        </w:tc>
        <w:tc>
          <w:tcPr>
            <w:tcW w:w="1468" w:type="dxa"/>
          </w:tcPr>
          <w:p>
            <w:pPr>
              <w:pStyle w:val="TableParagraph"/>
              <w:spacing w:before="21"/>
              <w:ind w:right="276"/>
              <w:rPr>
                <w:sz w:val="20"/>
              </w:rPr>
            </w:pPr>
            <w:r>
              <w:rPr>
                <w:w w:val="100"/>
                <w:sz w:val="20"/>
              </w:rPr>
              <w:t>-</w:t>
            </w:r>
          </w:p>
        </w:tc>
        <w:tc>
          <w:tcPr>
            <w:tcW w:w="1710" w:type="dxa"/>
          </w:tcPr>
          <w:p>
            <w:pPr>
              <w:pStyle w:val="TableParagraph"/>
              <w:spacing w:before="21"/>
              <w:ind w:right="243"/>
              <w:rPr>
                <w:sz w:val="20"/>
              </w:rPr>
            </w:pPr>
            <w:r>
              <w:rPr>
                <w:sz w:val="20"/>
              </w:rPr>
              <w:t>218,109</w:t>
            </w:r>
          </w:p>
        </w:tc>
        <w:tc>
          <w:tcPr>
            <w:tcW w:w="1029" w:type="dxa"/>
          </w:tcPr>
          <w:p>
            <w:pPr>
              <w:pStyle w:val="TableParagraph"/>
              <w:spacing w:before="21"/>
              <w:ind w:right="48"/>
              <w:rPr>
                <w:sz w:val="20"/>
              </w:rPr>
            </w:pPr>
            <w:r>
              <w:rPr>
                <w:sz w:val="20"/>
              </w:rPr>
              <w:t>9.67</w:t>
            </w:r>
          </w:p>
        </w:tc>
      </w:tr>
      <w:tr>
        <w:trPr>
          <w:trHeight w:val="557" w:hRule="exact"/>
        </w:trPr>
        <w:tc>
          <w:tcPr>
            <w:tcW w:w="3537" w:type="dxa"/>
          </w:tcPr>
          <w:p>
            <w:pPr>
              <w:pStyle w:val="TableParagraph"/>
              <w:spacing w:line="290" w:lineRule="auto" w:before="21"/>
              <w:ind w:left="232" w:right="2407"/>
              <w:jc w:val="left"/>
              <w:rPr>
                <w:sz w:val="20"/>
              </w:rPr>
            </w:pPr>
            <w:r>
              <w:rPr>
                <w:sz w:val="20"/>
              </w:rPr>
              <w:t>Plans Exercised</w:t>
            </w:r>
          </w:p>
        </w:tc>
        <w:tc>
          <w:tcPr>
            <w:tcW w:w="1607" w:type="dxa"/>
          </w:tcPr>
          <w:p>
            <w:pPr>
              <w:pStyle w:val="TableParagraph"/>
              <w:jc w:val="left"/>
              <w:rPr>
                <w:rFonts w:ascii="Times New Roman"/>
                <w:sz w:val="26"/>
              </w:rPr>
            </w:pPr>
          </w:p>
          <w:p>
            <w:pPr>
              <w:pStyle w:val="TableParagraph"/>
              <w:spacing w:before="1"/>
              <w:ind w:right="36"/>
              <w:rPr>
                <w:sz w:val="20"/>
              </w:rPr>
            </w:pPr>
            <w:r>
              <w:rPr>
                <w:sz w:val="20"/>
              </w:rPr>
              <w:t>(1,727,889)</w:t>
            </w:r>
          </w:p>
        </w:tc>
        <w:tc>
          <w:tcPr>
            <w:tcW w:w="1468" w:type="dxa"/>
          </w:tcPr>
          <w:p>
            <w:pPr>
              <w:pStyle w:val="TableParagraph"/>
              <w:jc w:val="left"/>
              <w:rPr>
                <w:rFonts w:ascii="Times New Roman"/>
                <w:sz w:val="26"/>
              </w:rPr>
            </w:pPr>
          </w:p>
          <w:p>
            <w:pPr>
              <w:pStyle w:val="TableParagraph"/>
              <w:spacing w:before="1"/>
              <w:ind w:right="276"/>
              <w:rPr>
                <w:sz w:val="20"/>
              </w:rPr>
            </w:pPr>
            <w:r>
              <w:rPr>
                <w:sz w:val="20"/>
              </w:rPr>
              <w:t>6.03</w:t>
            </w:r>
          </w:p>
        </w:tc>
        <w:tc>
          <w:tcPr>
            <w:tcW w:w="1710" w:type="dxa"/>
          </w:tcPr>
          <w:p>
            <w:pPr>
              <w:pStyle w:val="TableParagraph"/>
              <w:jc w:val="left"/>
              <w:rPr>
                <w:rFonts w:ascii="Times New Roman"/>
                <w:sz w:val="26"/>
              </w:rPr>
            </w:pPr>
          </w:p>
          <w:p>
            <w:pPr>
              <w:pStyle w:val="TableParagraph"/>
              <w:spacing w:before="1"/>
              <w:ind w:right="237"/>
              <w:rPr>
                <w:sz w:val="20"/>
              </w:rPr>
            </w:pPr>
            <w:r>
              <w:rPr>
                <w:sz w:val="20"/>
              </w:rPr>
              <w:t>(2,657,746)</w:t>
            </w:r>
          </w:p>
        </w:tc>
        <w:tc>
          <w:tcPr>
            <w:tcW w:w="1029" w:type="dxa"/>
          </w:tcPr>
          <w:p>
            <w:pPr>
              <w:pStyle w:val="TableParagraph"/>
              <w:jc w:val="left"/>
              <w:rPr>
                <w:rFonts w:ascii="Times New Roman"/>
                <w:sz w:val="26"/>
              </w:rPr>
            </w:pPr>
          </w:p>
          <w:p>
            <w:pPr>
              <w:pStyle w:val="TableParagraph"/>
              <w:spacing w:before="1"/>
              <w:ind w:right="48"/>
              <w:rPr>
                <w:sz w:val="20"/>
              </w:rPr>
            </w:pPr>
            <w:r>
              <w:rPr>
                <w:sz w:val="20"/>
              </w:rPr>
              <w:t>8.85</w:t>
            </w:r>
          </w:p>
        </w:tc>
      </w:tr>
      <w:tr>
        <w:trPr>
          <w:trHeight w:val="278" w:hRule="exact"/>
        </w:trPr>
        <w:tc>
          <w:tcPr>
            <w:tcW w:w="3537" w:type="dxa"/>
          </w:tcPr>
          <w:p>
            <w:pPr>
              <w:pStyle w:val="TableParagraph"/>
              <w:spacing w:before="21"/>
              <w:ind w:left="232"/>
              <w:jc w:val="left"/>
              <w:rPr>
                <w:sz w:val="20"/>
              </w:rPr>
            </w:pPr>
            <w:r>
              <w:rPr>
                <w:sz w:val="20"/>
              </w:rPr>
              <w:t>Surrendered</w:t>
            </w:r>
          </w:p>
        </w:tc>
        <w:tc>
          <w:tcPr>
            <w:tcW w:w="1607" w:type="dxa"/>
          </w:tcPr>
          <w:p>
            <w:pPr>
              <w:pStyle w:val="TableParagraph"/>
              <w:spacing w:before="21"/>
              <w:ind w:right="36"/>
              <w:rPr>
                <w:sz w:val="20"/>
              </w:rPr>
            </w:pPr>
            <w:r>
              <w:rPr>
                <w:sz w:val="20"/>
                <w:u w:val="single"/>
              </w:rPr>
              <w:t>(1,005,019)</w:t>
            </w:r>
          </w:p>
        </w:tc>
        <w:tc>
          <w:tcPr>
            <w:tcW w:w="1468" w:type="dxa"/>
          </w:tcPr>
          <w:p>
            <w:pPr>
              <w:pStyle w:val="TableParagraph"/>
              <w:spacing w:before="21"/>
              <w:ind w:right="276"/>
              <w:rPr>
                <w:sz w:val="20"/>
              </w:rPr>
            </w:pPr>
            <w:r>
              <w:rPr>
                <w:sz w:val="20"/>
              </w:rPr>
              <w:t>9.72</w:t>
            </w:r>
          </w:p>
        </w:tc>
        <w:tc>
          <w:tcPr>
            <w:tcW w:w="1710" w:type="dxa"/>
          </w:tcPr>
          <w:p>
            <w:pPr>
              <w:pStyle w:val="TableParagraph"/>
              <w:spacing w:before="21"/>
              <w:ind w:right="239"/>
              <w:rPr>
                <w:sz w:val="20"/>
              </w:rPr>
            </w:pPr>
            <w:r>
              <w:rPr>
                <w:sz w:val="20"/>
                <w:u w:val="single"/>
              </w:rPr>
              <w:t>(148,818)</w:t>
            </w:r>
          </w:p>
        </w:tc>
        <w:tc>
          <w:tcPr>
            <w:tcW w:w="1029" w:type="dxa"/>
          </w:tcPr>
          <w:p>
            <w:pPr>
              <w:pStyle w:val="TableParagraph"/>
              <w:spacing w:before="21"/>
              <w:ind w:right="48"/>
              <w:rPr>
                <w:sz w:val="20"/>
              </w:rPr>
            </w:pPr>
            <w:r>
              <w:rPr>
                <w:sz w:val="20"/>
              </w:rPr>
              <w:t>9.06</w:t>
            </w:r>
          </w:p>
        </w:tc>
      </w:tr>
      <w:tr>
        <w:trPr>
          <w:trHeight w:val="276" w:hRule="exact"/>
        </w:trPr>
        <w:tc>
          <w:tcPr>
            <w:tcW w:w="3537" w:type="dxa"/>
          </w:tcPr>
          <w:p>
            <w:pPr>
              <w:pStyle w:val="TableParagraph"/>
              <w:spacing w:before="21"/>
              <w:ind w:left="50"/>
              <w:jc w:val="left"/>
              <w:rPr>
                <w:sz w:val="20"/>
              </w:rPr>
            </w:pPr>
            <w:r>
              <w:rPr>
                <w:sz w:val="20"/>
              </w:rPr>
              <w:t>Outstanding December 31, 1997</w:t>
            </w:r>
          </w:p>
        </w:tc>
        <w:tc>
          <w:tcPr>
            <w:tcW w:w="1607" w:type="dxa"/>
          </w:tcPr>
          <w:p>
            <w:pPr>
              <w:pStyle w:val="TableParagraph"/>
              <w:spacing w:before="21"/>
              <w:ind w:right="41"/>
              <w:rPr>
                <w:sz w:val="20"/>
              </w:rPr>
            </w:pPr>
            <w:r>
              <w:rPr>
                <w:sz w:val="20"/>
              </w:rPr>
              <w:t>14,980,670</w:t>
            </w:r>
          </w:p>
        </w:tc>
        <w:tc>
          <w:tcPr>
            <w:tcW w:w="1468" w:type="dxa"/>
          </w:tcPr>
          <w:p>
            <w:pPr>
              <w:pStyle w:val="TableParagraph"/>
              <w:spacing w:before="21"/>
              <w:ind w:right="276"/>
              <w:rPr>
                <w:sz w:val="20"/>
              </w:rPr>
            </w:pPr>
            <w:r>
              <w:rPr>
                <w:sz w:val="20"/>
              </w:rPr>
              <w:t>7.91</w:t>
            </w:r>
          </w:p>
        </w:tc>
        <w:tc>
          <w:tcPr>
            <w:tcW w:w="1710" w:type="dxa"/>
          </w:tcPr>
          <w:p>
            <w:pPr>
              <w:pStyle w:val="TableParagraph"/>
              <w:spacing w:before="21"/>
              <w:ind w:right="244"/>
              <w:rPr>
                <w:sz w:val="20"/>
              </w:rPr>
            </w:pPr>
            <w:r>
              <w:rPr>
                <w:sz w:val="20"/>
              </w:rPr>
              <w:t>32,493,593</w:t>
            </w:r>
          </w:p>
        </w:tc>
        <w:tc>
          <w:tcPr>
            <w:tcW w:w="1029" w:type="dxa"/>
          </w:tcPr>
          <w:p>
            <w:pPr>
              <w:pStyle w:val="TableParagraph"/>
              <w:spacing w:before="21"/>
              <w:ind w:right="48"/>
              <w:rPr>
                <w:sz w:val="20"/>
              </w:rPr>
            </w:pPr>
            <w:r>
              <w:rPr>
                <w:sz w:val="20"/>
              </w:rPr>
              <w:t>9.09</w:t>
            </w:r>
          </w:p>
        </w:tc>
      </w:tr>
      <w:tr>
        <w:trPr>
          <w:trHeight w:val="276" w:hRule="exact"/>
        </w:trPr>
        <w:tc>
          <w:tcPr>
            <w:tcW w:w="3537" w:type="dxa"/>
          </w:tcPr>
          <w:p>
            <w:pPr>
              <w:pStyle w:val="TableParagraph"/>
              <w:spacing w:before="19"/>
              <w:ind w:left="232"/>
              <w:jc w:val="left"/>
              <w:rPr>
                <w:b/>
                <w:sz w:val="20"/>
              </w:rPr>
            </w:pPr>
            <w:r>
              <w:rPr>
                <w:b/>
                <w:color w:val="000080"/>
                <w:sz w:val="20"/>
              </w:rPr>
              <w:t>Granted – Incentive Plans</w:t>
            </w:r>
          </w:p>
        </w:tc>
        <w:tc>
          <w:tcPr>
            <w:tcW w:w="1607" w:type="dxa"/>
          </w:tcPr>
          <w:p>
            <w:pPr>
              <w:pStyle w:val="TableParagraph"/>
              <w:spacing w:before="19"/>
              <w:ind w:right="45"/>
              <w:rPr>
                <w:b/>
                <w:sz w:val="20"/>
              </w:rPr>
            </w:pPr>
            <w:r>
              <w:rPr>
                <w:b/>
                <w:color w:val="000080"/>
                <w:sz w:val="20"/>
              </w:rPr>
              <w:t>2,738,597</w:t>
            </w:r>
          </w:p>
        </w:tc>
        <w:tc>
          <w:tcPr>
            <w:tcW w:w="1468" w:type="dxa"/>
          </w:tcPr>
          <w:p>
            <w:pPr>
              <w:pStyle w:val="TableParagraph"/>
              <w:spacing w:before="19"/>
              <w:ind w:right="278"/>
              <w:rPr>
                <w:b/>
                <w:sz w:val="20"/>
              </w:rPr>
            </w:pPr>
            <w:r>
              <w:rPr>
                <w:b/>
                <w:color w:val="000080"/>
                <w:sz w:val="20"/>
              </w:rPr>
              <w:t>17.72</w:t>
            </w:r>
          </w:p>
        </w:tc>
        <w:tc>
          <w:tcPr>
            <w:tcW w:w="1710" w:type="dxa"/>
          </w:tcPr>
          <w:p>
            <w:pPr>
              <w:pStyle w:val="TableParagraph"/>
              <w:spacing w:before="19"/>
              <w:ind w:right="243"/>
              <w:rPr>
                <w:b/>
                <w:sz w:val="20"/>
              </w:rPr>
            </w:pPr>
            <w:r>
              <w:rPr>
                <w:b/>
                <w:color w:val="000080"/>
                <w:w w:val="100"/>
                <w:sz w:val="20"/>
              </w:rPr>
              <w:t>-</w:t>
            </w:r>
          </w:p>
        </w:tc>
        <w:tc>
          <w:tcPr>
            <w:tcW w:w="1029" w:type="dxa"/>
          </w:tcPr>
          <w:p>
            <w:pPr>
              <w:pStyle w:val="TableParagraph"/>
              <w:spacing w:before="19"/>
              <w:ind w:right="48"/>
              <w:rPr>
                <w:b/>
                <w:sz w:val="20"/>
              </w:rPr>
            </w:pPr>
            <w:r>
              <w:rPr>
                <w:b/>
                <w:color w:val="000080"/>
                <w:w w:val="100"/>
                <w:sz w:val="20"/>
              </w:rPr>
              <w:t>-</w:t>
            </w:r>
          </w:p>
        </w:tc>
      </w:tr>
      <w:tr>
        <w:trPr>
          <w:trHeight w:val="278" w:hRule="exact"/>
        </w:trPr>
        <w:tc>
          <w:tcPr>
            <w:tcW w:w="3537" w:type="dxa"/>
          </w:tcPr>
          <w:p>
            <w:pPr>
              <w:pStyle w:val="TableParagraph"/>
              <w:spacing w:before="21"/>
              <w:ind w:left="232"/>
              <w:jc w:val="left"/>
              <w:rPr>
                <w:b/>
                <w:sz w:val="20"/>
              </w:rPr>
            </w:pPr>
            <w:r>
              <w:rPr>
                <w:b/>
                <w:color w:val="000080"/>
                <w:sz w:val="20"/>
              </w:rPr>
              <w:t>Granted – SWAPA Plan</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902,475</w:t>
            </w:r>
          </w:p>
        </w:tc>
        <w:tc>
          <w:tcPr>
            <w:tcW w:w="1029" w:type="dxa"/>
          </w:tcPr>
          <w:p>
            <w:pPr>
              <w:pStyle w:val="TableParagraph"/>
              <w:spacing w:before="21"/>
              <w:ind w:right="50"/>
              <w:rPr>
                <w:b/>
                <w:sz w:val="20"/>
              </w:rPr>
            </w:pPr>
            <w:r>
              <w:rPr>
                <w:b/>
                <w:color w:val="000080"/>
                <w:sz w:val="20"/>
              </w:rPr>
              <w:t>19.36</w:t>
            </w:r>
          </w:p>
        </w:tc>
      </w:tr>
      <w:tr>
        <w:trPr>
          <w:trHeight w:val="278" w:hRule="exact"/>
        </w:trPr>
        <w:tc>
          <w:tcPr>
            <w:tcW w:w="3537" w:type="dxa"/>
          </w:tcPr>
          <w:p>
            <w:pPr>
              <w:pStyle w:val="TableParagraph"/>
              <w:spacing w:before="21"/>
              <w:ind w:left="232"/>
              <w:jc w:val="left"/>
              <w:rPr>
                <w:b/>
                <w:sz w:val="20"/>
              </w:rPr>
            </w:pPr>
            <w:r>
              <w:rPr>
                <w:b/>
                <w:color w:val="000080"/>
                <w:sz w:val="20"/>
              </w:rPr>
              <w:t>Granted – SAEA Plan</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738,013</w:t>
            </w:r>
          </w:p>
        </w:tc>
        <w:tc>
          <w:tcPr>
            <w:tcW w:w="1029" w:type="dxa"/>
          </w:tcPr>
          <w:p>
            <w:pPr>
              <w:pStyle w:val="TableParagraph"/>
              <w:spacing w:before="21"/>
              <w:ind w:right="50"/>
              <w:rPr>
                <w:b/>
                <w:sz w:val="20"/>
              </w:rPr>
            </w:pPr>
            <w:r>
              <w:rPr>
                <w:b/>
                <w:color w:val="000080"/>
                <w:sz w:val="20"/>
              </w:rPr>
              <w:t>19.62</w:t>
            </w:r>
          </w:p>
        </w:tc>
      </w:tr>
      <w:tr>
        <w:trPr>
          <w:trHeight w:val="278" w:hRule="exact"/>
        </w:trPr>
        <w:tc>
          <w:tcPr>
            <w:tcW w:w="3537" w:type="dxa"/>
          </w:tcPr>
          <w:p>
            <w:pPr>
              <w:pStyle w:val="TableParagraph"/>
              <w:spacing w:before="21"/>
              <w:ind w:left="232"/>
              <w:jc w:val="left"/>
              <w:rPr>
                <w:b/>
                <w:sz w:val="20"/>
              </w:rPr>
            </w:pPr>
            <w:r>
              <w:rPr>
                <w:b/>
                <w:color w:val="000080"/>
                <w:sz w:val="20"/>
              </w:rPr>
              <w:t>Granted – Other Non-Qualified</w:t>
            </w:r>
          </w:p>
        </w:tc>
        <w:tc>
          <w:tcPr>
            <w:tcW w:w="1607" w:type="dxa"/>
          </w:tcPr>
          <w:p>
            <w:pPr>
              <w:pStyle w:val="TableParagraph"/>
              <w:spacing w:before="21"/>
              <w:ind w:right="42"/>
              <w:rPr>
                <w:b/>
                <w:sz w:val="20"/>
              </w:rPr>
            </w:pPr>
            <w:r>
              <w:rPr>
                <w:b/>
                <w:color w:val="000080"/>
                <w:w w:val="100"/>
                <w:sz w:val="20"/>
              </w:rPr>
              <w:t>-</w:t>
            </w:r>
          </w:p>
        </w:tc>
        <w:tc>
          <w:tcPr>
            <w:tcW w:w="1468" w:type="dxa"/>
          </w:tcPr>
          <w:p>
            <w:pPr>
              <w:pStyle w:val="TableParagraph"/>
              <w:spacing w:before="21"/>
              <w:ind w:right="276"/>
              <w:rPr>
                <w:b/>
                <w:sz w:val="20"/>
              </w:rPr>
            </w:pPr>
            <w:r>
              <w:rPr>
                <w:b/>
                <w:color w:val="000080"/>
                <w:w w:val="100"/>
                <w:sz w:val="20"/>
              </w:rPr>
              <w:t>-</w:t>
            </w:r>
          </w:p>
        </w:tc>
        <w:tc>
          <w:tcPr>
            <w:tcW w:w="1710" w:type="dxa"/>
          </w:tcPr>
          <w:p>
            <w:pPr>
              <w:pStyle w:val="TableParagraph"/>
              <w:spacing w:before="21"/>
              <w:ind w:right="246"/>
              <w:rPr>
                <w:b/>
                <w:sz w:val="20"/>
              </w:rPr>
            </w:pPr>
            <w:r>
              <w:rPr>
                <w:b/>
                <w:color w:val="000080"/>
                <w:sz w:val="20"/>
              </w:rPr>
              <w:t>256,191</w:t>
            </w:r>
          </w:p>
        </w:tc>
        <w:tc>
          <w:tcPr>
            <w:tcW w:w="1029" w:type="dxa"/>
          </w:tcPr>
          <w:p>
            <w:pPr>
              <w:pStyle w:val="TableParagraph"/>
              <w:spacing w:before="21"/>
              <w:ind w:right="50"/>
              <w:rPr>
                <w:b/>
                <w:sz w:val="20"/>
              </w:rPr>
            </w:pPr>
            <w:r>
              <w:rPr>
                <w:b/>
                <w:color w:val="000080"/>
                <w:sz w:val="20"/>
              </w:rPr>
              <w:t>17.69</w:t>
            </w:r>
          </w:p>
        </w:tc>
      </w:tr>
      <w:tr>
        <w:trPr>
          <w:trHeight w:val="557" w:hRule="exact"/>
        </w:trPr>
        <w:tc>
          <w:tcPr>
            <w:tcW w:w="3537" w:type="dxa"/>
          </w:tcPr>
          <w:p>
            <w:pPr>
              <w:pStyle w:val="TableParagraph"/>
              <w:spacing w:line="290" w:lineRule="auto" w:before="21"/>
              <w:ind w:left="232" w:right="1846"/>
              <w:jc w:val="left"/>
              <w:rPr>
                <w:b/>
                <w:sz w:val="20"/>
              </w:rPr>
            </w:pPr>
            <w:r>
              <w:rPr>
                <w:b/>
                <w:color w:val="000080"/>
                <w:sz w:val="20"/>
              </w:rPr>
              <w:t>Plans Exercised</w:t>
            </w:r>
          </w:p>
        </w:tc>
        <w:tc>
          <w:tcPr>
            <w:tcW w:w="1607" w:type="dxa"/>
          </w:tcPr>
          <w:p>
            <w:pPr>
              <w:pStyle w:val="TableParagraph"/>
              <w:jc w:val="left"/>
              <w:rPr>
                <w:rFonts w:ascii="Times New Roman"/>
                <w:sz w:val="26"/>
              </w:rPr>
            </w:pPr>
          </w:p>
          <w:p>
            <w:pPr>
              <w:pStyle w:val="TableParagraph"/>
              <w:spacing w:before="1"/>
              <w:ind w:right="44"/>
              <w:rPr>
                <w:b/>
                <w:sz w:val="20"/>
              </w:rPr>
            </w:pPr>
            <w:r>
              <w:rPr>
                <w:b/>
                <w:color w:val="000080"/>
                <w:sz w:val="20"/>
              </w:rPr>
              <w:t>(2,360,733)</w:t>
            </w:r>
          </w:p>
        </w:tc>
        <w:tc>
          <w:tcPr>
            <w:tcW w:w="1468" w:type="dxa"/>
          </w:tcPr>
          <w:p>
            <w:pPr>
              <w:pStyle w:val="TableParagraph"/>
              <w:jc w:val="left"/>
              <w:rPr>
                <w:rFonts w:ascii="Times New Roman"/>
                <w:sz w:val="26"/>
              </w:rPr>
            </w:pPr>
          </w:p>
          <w:p>
            <w:pPr>
              <w:pStyle w:val="TableParagraph"/>
              <w:spacing w:before="1"/>
              <w:ind w:right="277"/>
              <w:rPr>
                <w:b/>
                <w:sz w:val="20"/>
              </w:rPr>
            </w:pPr>
            <w:r>
              <w:rPr>
                <w:b/>
                <w:color w:val="000080"/>
                <w:sz w:val="20"/>
              </w:rPr>
              <w:t>6.27</w:t>
            </w:r>
          </w:p>
        </w:tc>
        <w:tc>
          <w:tcPr>
            <w:tcW w:w="1710" w:type="dxa"/>
          </w:tcPr>
          <w:p>
            <w:pPr>
              <w:pStyle w:val="TableParagraph"/>
              <w:jc w:val="left"/>
              <w:rPr>
                <w:rFonts w:ascii="Times New Roman"/>
                <w:sz w:val="26"/>
              </w:rPr>
            </w:pPr>
          </w:p>
          <w:p>
            <w:pPr>
              <w:pStyle w:val="TableParagraph"/>
              <w:spacing w:before="1"/>
              <w:ind w:right="245"/>
              <w:rPr>
                <w:b/>
                <w:sz w:val="20"/>
              </w:rPr>
            </w:pPr>
            <w:r>
              <w:rPr>
                <w:b/>
                <w:color w:val="000080"/>
                <w:sz w:val="20"/>
              </w:rPr>
              <w:t>(2,521,455)</w:t>
            </w:r>
          </w:p>
        </w:tc>
        <w:tc>
          <w:tcPr>
            <w:tcW w:w="1029" w:type="dxa"/>
          </w:tcPr>
          <w:p>
            <w:pPr>
              <w:pStyle w:val="TableParagraph"/>
              <w:jc w:val="left"/>
              <w:rPr>
                <w:rFonts w:ascii="Times New Roman"/>
                <w:sz w:val="26"/>
              </w:rPr>
            </w:pPr>
          </w:p>
          <w:p>
            <w:pPr>
              <w:pStyle w:val="TableParagraph"/>
              <w:spacing w:before="1"/>
              <w:ind w:right="49"/>
              <w:rPr>
                <w:b/>
                <w:sz w:val="20"/>
              </w:rPr>
            </w:pPr>
            <w:r>
              <w:rPr>
                <w:b/>
                <w:color w:val="000080"/>
                <w:sz w:val="20"/>
              </w:rPr>
              <w:t>9.07</w:t>
            </w:r>
          </w:p>
        </w:tc>
      </w:tr>
      <w:tr>
        <w:trPr>
          <w:trHeight w:val="278" w:hRule="exact"/>
        </w:trPr>
        <w:tc>
          <w:tcPr>
            <w:tcW w:w="3537" w:type="dxa"/>
          </w:tcPr>
          <w:p>
            <w:pPr>
              <w:pStyle w:val="TableParagraph"/>
              <w:spacing w:before="21"/>
              <w:ind w:left="232"/>
              <w:jc w:val="left"/>
              <w:rPr>
                <w:b/>
                <w:sz w:val="20"/>
              </w:rPr>
            </w:pPr>
            <w:r>
              <w:rPr>
                <w:b/>
                <w:color w:val="000080"/>
                <w:sz w:val="20"/>
              </w:rPr>
              <w:t>Surrendered</w:t>
            </w:r>
          </w:p>
        </w:tc>
        <w:tc>
          <w:tcPr>
            <w:tcW w:w="1607" w:type="dxa"/>
          </w:tcPr>
          <w:p>
            <w:pPr>
              <w:pStyle w:val="TableParagraph"/>
              <w:spacing w:before="21"/>
              <w:ind w:right="44"/>
              <w:rPr>
                <w:b/>
                <w:sz w:val="20"/>
              </w:rPr>
            </w:pPr>
            <w:r>
              <w:rPr>
                <w:b/>
                <w:color w:val="000080"/>
                <w:sz w:val="20"/>
                <w:u w:val="single" w:color="000080"/>
              </w:rPr>
              <w:t>(834,289)</w:t>
            </w:r>
          </w:p>
        </w:tc>
        <w:tc>
          <w:tcPr>
            <w:tcW w:w="1468" w:type="dxa"/>
          </w:tcPr>
          <w:p>
            <w:pPr>
              <w:pStyle w:val="TableParagraph"/>
              <w:spacing w:before="21"/>
              <w:ind w:right="278"/>
              <w:rPr>
                <w:b/>
                <w:sz w:val="20"/>
              </w:rPr>
            </w:pPr>
            <w:r>
              <w:rPr>
                <w:b/>
                <w:color w:val="000080"/>
                <w:sz w:val="20"/>
              </w:rPr>
              <w:t>10.52</w:t>
            </w:r>
          </w:p>
        </w:tc>
        <w:tc>
          <w:tcPr>
            <w:tcW w:w="1710" w:type="dxa"/>
          </w:tcPr>
          <w:p>
            <w:pPr>
              <w:pStyle w:val="TableParagraph"/>
              <w:spacing w:before="21"/>
              <w:ind w:right="245"/>
              <w:rPr>
                <w:b/>
                <w:sz w:val="20"/>
              </w:rPr>
            </w:pPr>
            <w:r>
              <w:rPr>
                <w:b/>
                <w:color w:val="000080"/>
                <w:sz w:val="20"/>
                <w:u w:val="single" w:color="000080"/>
              </w:rPr>
              <w:t>(247,252)</w:t>
            </w:r>
          </w:p>
        </w:tc>
        <w:tc>
          <w:tcPr>
            <w:tcW w:w="1029" w:type="dxa"/>
          </w:tcPr>
          <w:p>
            <w:pPr>
              <w:pStyle w:val="TableParagraph"/>
              <w:spacing w:before="21"/>
              <w:ind w:right="49"/>
              <w:rPr>
                <w:b/>
                <w:sz w:val="20"/>
              </w:rPr>
            </w:pPr>
            <w:r>
              <w:rPr>
                <w:b/>
                <w:color w:val="000080"/>
                <w:sz w:val="20"/>
              </w:rPr>
              <w:t>9.95</w:t>
            </w:r>
          </w:p>
        </w:tc>
      </w:tr>
      <w:tr>
        <w:trPr>
          <w:trHeight w:val="278" w:hRule="exact"/>
        </w:trPr>
        <w:tc>
          <w:tcPr>
            <w:tcW w:w="3537" w:type="dxa"/>
          </w:tcPr>
          <w:p>
            <w:pPr>
              <w:pStyle w:val="TableParagraph"/>
              <w:spacing w:before="21"/>
              <w:ind w:left="50"/>
              <w:jc w:val="left"/>
              <w:rPr>
                <w:b/>
                <w:sz w:val="20"/>
              </w:rPr>
            </w:pPr>
            <w:r>
              <w:rPr>
                <w:b/>
                <w:color w:val="000080"/>
                <w:sz w:val="20"/>
              </w:rPr>
              <w:t>Outstanding December 31, 1998</w:t>
            </w:r>
          </w:p>
        </w:tc>
        <w:tc>
          <w:tcPr>
            <w:tcW w:w="1607" w:type="dxa"/>
          </w:tcPr>
          <w:p>
            <w:pPr>
              <w:pStyle w:val="TableParagraph"/>
              <w:spacing w:before="21"/>
              <w:ind w:right="45"/>
              <w:rPr>
                <w:b/>
                <w:sz w:val="20"/>
              </w:rPr>
            </w:pPr>
            <w:r>
              <w:rPr>
                <w:b/>
                <w:color w:val="000080"/>
                <w:sz w:val="20"/>
                <w:u w:val="thick" w:color="000080"/>
              </w:rPr>
              <w:t>14,524,245</w:t>
            </w:r>
          </w:p>
        </w:tc>
        <w:tc>
          <w:tcPr>
            <w:tcW w:w="1468" w:type="dxa"/>
          </w:tcPr>
          <w:p>
            <w:pPr>
              <w:pStyle w:val="TableParagraph"/>
              <w:spacing w:before="21"/>
              <w:ind w:right="278"/>
              <w:rPr>
                <w:b/>
                <w:sz w:val="20"/>
              </w:rPr>
            </w:pPr>
            <w:r>
              <w:rPr>
                <w:b/>
                <w:color w:val="000080"/>
                <w:sz w:val="20"/>
              </w:rPr>
              <w:t>$9.89</w:t>
            </w:r>
          </w:p>
        </w:tc>
        <w:tc>
          <w:tcPr>
            <w:tcW w:w="1710" w:type="dxa"/>
          </w:tcPr>
          <w:p>
            <w:pPr>
              <w:pStyle w:val="TableParagraph"/>
              <w:spacing w:before="21"/>
              <w:ind w:right="248"/>
              <w:rPr>
                <w:b/>
                <w:sz w:val="20"/>
              </w:rPr>
            </w:pPr>
            <w:r>
              <w:rPr>
                <w:b/>
                <w:color w:val="000080"/>
                <w:sz w:val="20"/>
                <w:u w:val="thick" w:color="000080"/>
              </w:rPr>
              <w:t>31,621,565</w:t>
            </w:r>
          </w:p>
        </w:tc>
        <w:tc>
          <w:tcPr>
            <w:tcW w:w="1029" w:type="dxa"/>
          </w:tcPr>
          <w:p>
            <w:pPr>
              <w:pStyle w:val="TableParagraph"/>
              <w:spacing w:before="21"/>
              <w:ind w:right="50"/>
              <w:rPr>
                <w:b/>
                <w:sz w:val="20"/>
              </w:rPr>
            </w:pPr>
            <w:r>
              <w:rPr>
                <w:b/>
                <w:color w:val="000080"/>
                <w:sz w:val="20"/>
              </w:rPr>
              <w:t>$9.69</w:t>
            </w:r>
          </w:p>
        </w:tc>
      </w:tr>
      <w:tr>
        <w:trPr>
          <w:trHeight w:val="278" w:hRule="exact"/>
        </w:trPr>
        <w:tc>
          <w:tcPr>
            <w:tcW w:w="3537" w:type="dxa"/>
          </w:tcPr>
          <w:p>
            <w:pPr>
              <w:pStyle w:val="TableParagraph"/>
              <w:spacing w:before="21"/>
              <w:ind w:left="50"/>
              <w:jc w:val="left"/>
              <w:rPr>
                <w:b/>
                <w:sz w:val="20"/>
              </w:rPr>
            </w:pPr>
            <w:r>
              <w:rPr>
                <w:b/>
                <w:color w:val="000080"/>
                <w:sz w:val="20"/>
              </w:rPr>
              <w:t>Exercisable December 31, 1998</w:t>
            </w:r>
          </w:p>
        </w:tc>
        <w:tc>
          <w:tcPr>
            <w:tcW w:w="1607" w:type="dxa"/>
          </w:tcPr>
          <w:p>
            <w:pPr>
              <w:pStyle w:val="TableParagraph"/>
              <w:spacing w:before="21"/>
              <w:ind w:right="45"/>
              <w:rPr>
                <w:b/>
                <w:sz w:val="20"/>
              </w:rPr>
            </w:pPr>
            <w:r>
              <w:rPr>
                <w:b/>
                <w:color w:val="000080"/>
                <w:sz w:val="20"/>
              </w:rPr>
              <w:t>3,132,557</w:t>
            </w:r>
          </w:p>
        </w:tc>
        <w:tc>
          <w:tcPr>
            <w:tcW w:w="1468" w:type="dxa"/>
          </w:tcPr>
          <w:p>
            <w:pPr/>
          </w:p>
        </w:tc>
        <w:tc>
          <w:tcPr>
            <w:tcW w:w="1710" w:type="dxa"/>
          </w:tcPr>
          <w:p>
            <w:pPr>
              <w:pStyle w:val="TableParagraph"/>
              <w:spacing w:before="21"/>
              <w:ind w:right="248"/>
              <w:rPr>
                <w:b/>
                <w:sz w:val="20"/>
              </w:rPr>
            </w:pPr>
            <w:r>
              <w:rPr>
                <w:b/>
                <w:color w:val="000080"/>
                <w:sz w:val="20"/>
              </w:rPr>
              <w:t>12,271,309</w:t>
            </w:r>
          </w:p>
        </w:tc>
        <w:tc>
          <w:tcPr>
            <w:tcW w:w="1029" w:type="dxa"/>
          </w:tcPr>
          <w:p>
            <w:pPr/>
          </w:p>
        </w:tc>
      </w:tr>
      <w:tr>
        <w:trPr>
          <w:trHeight w:val="530" w:hRule="exact"/>
        </w:trPr>
        <w:tc>
          <w:tcPr>
            <w:tcW w:w="3537" w:type="dxa"/>
          </w:tcPr>
          <w:p>
            <w:pPr>
              <w:pStyle w:val="TableParagraph"/>
              <w:spacing w:line="290" w:lineRule="auto" w:before="21"/>
              <w:ind w:left="50"/>
              <w:jc w:val="left"/>
              <w:rPr>
                <w:b/>
                <w:sz w:val="20"/>
              </w:rPr>
            </w:pPr>
            <w:r>
              <w:rPr>
                <w:b/>
                <w:color w:val="000080"/>
                <w:sz w:val="20"/>
              </w:rPr>
              <w:t>Available for granting in future periods</w:t>
            </w:r>
          </w:p>
        </w:tc>
        <w:tc>
          <w:tcPr>
            <w:tcW w:w="1607" w:type="dxa"/>
          </w:tcPr>
          <w:p>
            <w:pPr>
              <w:pStyle w:val="TableParagraph"/>
              <w:spacing w:before="21"/>
              <w:ind w:right="45"/>
              <w:rPr>
                <w:b/>
                <w:sz w:val="20"/>
              </w:rPr>
            </w:pPr>
            <w:r>
              <w:rPr>
                <w:b/>
                <w:color w:val="000080"/>
                <w:sz w:val="20"/>
              </w:rPr>
              <w:t>11,995,971</w:t>
            </w:r>
          </w:p>
        </w:tc>
        <w:tc>
          <w:tcPr>
            <w:tcW w:w="1468" w:type="dxa"/>
          </w:tcPr>
          <w:p>
            <w:pPr/>
          </w:p>
        </w:tc>
        <w:tc>
          <w:tcPr>
            <w:tcW w:w="1710" w:type="dxa"/>
          </w:tcPr>
          <w:p>
            <w:pPr>
              <w:pStyle w:val="TableParagraph"/>
              <w:spacing w:before="21"/>
              <w:ind w:right="246"/>
              <w:rPr>
                <w:b/>
                <w:sz w:val="20"/>
              </w:rPr>
            </w:pPr>
            <w:r>
              <w:rPr>
                <w:b/>
                <w:color w:val="000080"/>
                <w:sz w:val="20"/>
              </w:rPr>
              <w:t>6,768,712</w:t>
            </w:r>
          </w:p>
        </w:tc>
        <w:tc>
          <w:tcPr>
            <w:tcW w:w="1029" w:type="dxa"/>
          </w:tcPr>
          <w:p>
            <w:pPr/>
          </w:p>
        </w:tc>
      </w:tr>
    </w:tbl>
    <w:p>
      <w:pPr>
        <w:spacing w:after="0"/>
        <w:sectPr>
          <w:pgSz w:w="12240" w:h="15840"/>
          <w:pgMar w:header="1448" w:footer="344" w:top="1700" w:bottom="540" w:left="1280" w:right="1320"/>
        </w:sectPr>
      </w:pPr>
    </w:p>
    <w:p>
      <w:pPr>
        <w:pStyle w:val="BodyText"/>
        <w:rPr>
          <w:rFonts w:ascii="Times New Roman"/>
          <w:sz w:val="20"/>
        </w:rPr>
      </w:pPr>
    </w:p>
    <w:p>
      <w:pPr>
        <w:pStyle w:val="BodyText"/>
        <w:spacing w:line="312" w:lineRule="auto" w:before="219"/>
        <w:ind w:left="119" w:right="214" w:firstLine="187"/>
      </w:pPr>
      <w:r>
        <w:rPr>
          <w:spacing w:val="2"/>
        </w:rPr>
        <w:t>The </w:t>
      </w:r>
      <w:r>
        <w:rPr/>
        <w:t>following table summarizes information about stock options outstanding under  the six fixed option plans at December 31,</w:t>
      </w:r>
      <w:r>
        <w:rPr>
          <w:spacing w:val="3"/>
        </w:rPr>
        <w:t> </w:t>
      </w:r>
      <w:r>
        <w:rPr/>
        <w:t>1998:</w:t>
      </w:r>
    </w:p>
    <w:p>
      <w:pPr>
        <w:pStyle w:val="BodyText"/>
        <w:spacing w:before="3"/>
        <w:rPr>
          <w:sz w:val="30"/>
        </w:rPr>
      </w:pPr>
    </w:p>
    <w:p>
      <w:pPr>
        <w:tabs>
          <w:tab w:pos="6916" w:val="left" w:leader="none"/>
        </w:tabs>
        <w:spacing w:line="324" w:lineRule="auto" w:before="0"/>
        <w:ind w:left="3599" w:right="560" w:hanging="524"/>
        <w:jc w:val="left"/>
        <w:rPr>
          <w:sz w:val="18"/>
        </w:rPr>
      </w:pPr>
      <w:r>
        <w:rPr>
          <w:sz w:val="18"/>
        </w:rPr>
        <w:t>OPTIONS</w:t>
      </w:r>
      <w:r>
        <w:rPr>
          <w:spacing w:val="2"/>
          <w:sz w:val="18"/>
        </w:rPr>
        <w:t> </w:t>
      </w:r>
      <w:r>
        <w:rPr>
          <w:sz w:val="18"/>
        </w:rPr>
        <w:t>OUTSTANDING</w:t>
        <w:tab/>
        <w:t>OPTIONS</w:t>
      </w:r>
      <w:r>
        <w:rPr>
          <w:spacing w:val="2"/>
          <w:sz w:val="18"/>
        </w:rPr>
        <w:t> </w:t>
      </w:r>
      <w:r>
        <w:rPr>
          <w:sz w:val="18"/>
        </w:rPr>
        <w:t>EXERCISABLE</w:t>
      </w:r>
      <w:r>
        <w:rPr>
          <w:spacing w:val="-2"/>
          <w:w w:val="101"/>
          <w:sz w:val="18"/>
        </w:rPr>
        <w:t> </w:t>
      </w:r>
      <w:r>
        <w:rPr>
          <w:sz w:val="18"/>
        </w:rPr>
        <w:t>WEIGHTED-</w:t>
      </w:r>
    </w:p>
    <w:p>
      <w:pPr>
        <w:spacing w:after="0" w:line="324" w:lineRule="auto"/>
        <w:jc w:val="left"/>
        <w:rPr>
          <w:sz w:val="18"/>
        </w:rPr>
        <w:sectPr>
          <w:pgSz w:w="12240" w:h="15840"/>
          <w:pgMar w:header="1448" w:footer="344" w:top="1700" w:bottom="540" w:left="1320" w:right="1320"/>
        </w:sectPr>
      </w:pPr>
    </w:p>
    <w:p>
      <w:pPr>
        <w:pStyle w:val="BodyText"/>
        <w:rPr>
          <w:sz w:val="20"/>
        </w:rPr>
      </w:pPr>
    </w:p>
    <w:p>
      <w:pPr>
        <w:pStyle w:val="BodyText"/>
        <w:spacing w:before="5"/>
        <w:rPr>
          <w:sz w:val="28"/>
        </w:rPr>
      </w:pPr>
    </w:p>
    <w:p>
      <w:pPr>
        <w:spacing w:line="324" w:lineRule="auto" w:before="1"/>
        <w:ind w:left="148" w:right="-16" w:firstLine="340"/>
        <w:jc w:val="left"/>
        <w:rPr>
          <w:sz w:val="18"/>
        </w:rPr>
      </w:pPr>
      <w:r>
        <w:rPr>
          <w:sz w:val="18"/>
        </w:rPr>
        <w:t>RANGE OF EXERCISE PRICES</w:t>
      </w:r>
    </w:p>
    <w:p>
      <w:pPr>
        <w:pStyle w:val="BodyText"/>
        <w:spacing w:before="3"/>
      </w:pPr>
      <w:r>
        <w:rPr/>
        <w:br w:type="column"/>
      </w:r>
      <w:r>
        <w:rPr/>
      </w:r>
    </w:p>
    <w:p>
      <w:pPr>
        <w:spacing w:line="324" w:lineRule="auto" w:before="0"/>
        <w:ind w:left="112" w:right="0" w:firstLine="2"/>
        <w:jc w:val="center"/>
        <w:rPr>
          <w:sz w:val="18"/>
        </w:rPr>
      </w:pPr>
      <w:r>
        <w:rPr>
          <w:sz w:val="18"/>
        </w:rPr>
        <w:t>NUMBER OUTSTANDING AT 12/31/98</w:t>
      </w:r>
    </w:p>
    <w:p>
      <w:pPr>
        <w:spacing w:line="324" w:lineRule="auto" w:before="1"/>
        <w:ind w:left="148" w:right="0" w:firstLine="1"/>
        <w:jc w:val="center"/>
        <w:rPr>
          <w:sz w:val="18"/>
        </w:rPr>
      </w:pPr>
      <w:r>
        <w:rPr/>
        <w:br w:type="column"/>
      </w:r>
      <w:r>
        <w:rPr>
          <w:sz w:val="18"/>
        </w:rPr>
        <w:t>AVERAGE REMAINING </w:t>
      </w:r>
      <w:r>
        <w:rPr>
          <w:spacing w:val="-2"/>
          <w:sz w:val="18"/>
        </w:rPr>
        <w:t>CONTRACTUAL </w:t>
      </w:r>
      <w:r>
        <w:rPr>
          <w:sz w:val="18"/>
        </w:rPr>
        <w:t>LIFE</w:t>
      </w:r>
    </w:p>
    <w:p>
      <w:pPr>
        <w:spacing w:line="324" w:lineRule="auto" w:before="1"/>
        <w:ind w:left="148" w:right="0" w:firstLine="0"/>
        <w:jc w:val="center"/>
        <w:rPr>
          <w:sz w:val="18"/>
        </w:rPr>
      </w:pPr>
      <w:r>
        <w:rPr/>
        <w:br w:type="column"/>
      </w:r>
      <w:r>
        <w:rPr>
          <w:sz w:val="18"/>
        </w:rPr>
        <w:t>WEIGHTED- AVERAGE EXERCISE PRICE</w:t>
      </w:r>
    </w:p>
    <w:p>
      <w:pPr>
        <w:pStyle w:val="BodyText"/>
        <w:spacing w:before="3"/>
      </w:pPr>
      <w:r>
        <w:rPr/>
        <w:br w:type="column"/>
      </w:r>
      <w:r>
        <w:rPr/>
      </w:r>
    </w:p>
    <w:p>
      <w:pPr>
        <w:spacing w:line="324" w:lineRule="auto" w:before="0"/>
        <w:ind w:left="148" w:right="0" w:firstLine="11"/>
        <w:jc w:val="center"/>
        <w:rPr>
          <w:sz w:val="18"/>
        </w:rPr>
      </w:pPr>
      <w:r>
        <w:rPr>
          <w:spacing w:val="-3"/>
          <w:sz w:val="18"/>
        </w:rPr>
        <w:t>NUMBER </w:t>
      </w:r>
      <w:r>
        <w:rPr>
          <w:spacing w:val="-2"/>
          <w:sz w:val="18"/>
        </w:rPr>
        <w:t>EXERCISABLE </w:t>
      </w:r>
      <w:r>
        <w:rPr>
          <w:sz w:val="18"/>
        </w:rPr>
        <w:t>AT 12/31/98</w:t>
      </w:r>
    </w:p>
    <w:p>
      <w:pPr>
        <w:spacing w:line="324" w:lineRule="auto" w:before="1"/>
        <w:ind w:left="148" w:right="336" w:firstLine="0"/>
        <w:jc w:val="center"/>
        <w:rPr>
          <w:sz w:val="18"/>
        </w:rPr>
      </w:pPr>
      <w:r>
        <w:rPr/>
        <w:br w:type="column"/>
      </w:r>
      <w:r>
        <w:rPr>
          <w:sz w:val="18"/>
        </w:rPr>
        <w:t>WEIGHTED- AVERAGE EXERCISE PRICE</w:t>
      </w:r>
    </w:p>
    <w:p>
      <w:pPr>
        <w:spacing w:after="0" w:line="324" w:lineRule="auto"/>
        <w:jc w:val="center"/>
        <w:rPr>
          <w:sz w:val="18"/>
        </w:rPr>
        <w:sectPr>
          <w:type w:val="continuous"/>
          <w:pgSz w:w="12240" w:h="15840"/>
          <w:pgMar w:top="1680" w:bottom="540" w:left="1320" w:right="1320"/>
          <w:cols w:num="6" w:equalWidth="0">
            <w:col w:w="1783" w:space="40"/>
            <w:col w:w="1436" w:space="40"/>
            <w:col w:w="1498" w:space="229"/>
            <w:col w:w="1190" w:space="192"/>
            <w:col w:w="1397" w:space="269"/>
            <w:col w:w="1526"/>
          </w:cols>
        </w:sectPr>
      </w:pPr>
    </w:p>
    <w:p>
      <w:pPr>
        <w:tabs>
          <w:tab w:pos="2275" w:val="left" w:leader="none"/>
          <w:tab w:pos="3921" w:val="left" w:leader="none"/>
          <w:tab w:pos="5409" w:val="left" w:leader="none"/>
          <w:tab w:pos="6955" w:val="left" w:leader="none"/>
          <w:tab w:pos="8534" w:val="left" w:leader="none"/>
        </w:tabs>
        <w:spacing w:line="212" w:lineRule="exact" w:before="0"/>
        <w:ind w:left="119" w:right="0" w:firstLine="0"/>
        <w:jc w:val="both"/>
        <w:rPr>
          <w:sz w:val="20"/>
        </w:rPr>
      </w:pPr>
      <w:r>
        <w:rPr>
          <w:sz w:val="20"/>
        </w:rPr>
        <w:t>$2.68</w:t>
      </w:r>
      <w:r>
        <w:rPr>
          <w:spacing w:val="-2"/>
          <w:sz w:val="20"/>
        </w:rPr>
        <w:t> </w:t>
      </w:r>
      <w:r>
        <w:rPr>
          <w:sz w:val="20"/>
        </w:rPr>
        <w:t>to</w:t>
      </w:r>
      <w:r>
        <w:rPr>
          <w:spacing w:val="1"/>
          <w:sz w:val="20"/>
        </w:rPr>
        <w:t> </w:t>
      </w:r>
      <w:r>
        <w:rPr>
          <w:sz w:val="20"/>
        </w:rPr>
        <w:t>$3.47</w:t>
        <w:tab/>
        <w:t>3,307,850</w:t>
        <w:tab/>
        <w:t>2.03</w:t>
      </w:r>
      <w:r>
        <w:rPr>
          <w:spacing w:val="-3"/>
          <w:sz w:val="20"/>
        </w:rPr>
        <w:t> </w:t>
      </w:r>
      <w:r>
        <w:rPr>
          <w:sz w:val="20"/>
        </w:rPr>
        <w:t>yrs</w:t>
        <w:tab/>
        <w:t>$2.74</w:t>
        <w:tab/>
        <w:t>1,195,748</w:t>
        <w:tab/>
        <w:t>$2.86</w:t>
      </w:r>
    </w:p>
    <w:p>
      <w:pPr>
        <w:tabs>
          <w:tab w:pos="2443" w:val="left" w:leader="none"/>
          <w:tab w:pos="3921" w:val="left" w:leader="none"/>
          <w:tab w:pos="5519" w:val="left" w:leader="none"/>
          <w:tab w:pos="7123" w:val="left" w:leader="none"/>
          <w:tab w:pos="9033" w:val="right" w:leader="none"/>
        </w:tabs>
        <w:spacing w:before="48"/>
        <w:ind w:left="119" w:right="0" w:firstLine="0"/>
        <w:jc w:val="left"/>
        <w:rPr>
          <w:sz w:val="20"/>
        </w:rPr>
      </w:pPr>
      <w:r>
        <w:rPr>
          <w:sz w:val="20"/>
        </w:rPr>
        <w:t>$5.04</w:t>
      </w:r>
      <w:r>
        <w:rPr>
          <w:spacing w:val="-2"/>
          <w:sz w:val="20"/>
        </w:rPr>
        <w:t> </w:t>
      </w:r>
      <w:r>
        <w:rPr>
          <w:sz w:val="20"/>
        </w:rPr>
        <w:t>to</w:t>
      </w:r>
      <w:r>
        <w:rPr>
          <w:spacing w:val="1"/>
          <w:sz w:val="20"/>
        </w:rPr>
        <w:t> </w:t>
      </w:r>
      <w:r>
        <w:rPr>
          <w:sz w:val="20"/>
        </w:rPr>
        <w:t>$7.50</w:t>
        <w:tab/>
        <w:t>485,476</w:t>
        <w:tab/>
        <w:t>3.07</w:t>
        <w:tab/>
        <w:t>5.35</w:t>
        <w:tab/>
        <w:t>141,557</w:t>
        <w:tab/>
        <w:t>5.36</w:t>
      </w:r>
    </w:p>
    <w:p>
      <w:pPr>
        <w:tabs>
          <w:tab w:pos="2164" w:val="left" w:leader="none"/>
          <w:tab w:pos="3921" w:val="left" w:leader="none"/>
          <w:tab w:pos="5519" w:val="left" w:leader="none"/>
          <w:tab w:pos="6844" w:val="left" w:leader="none"/>
          <w:tab w:pos="9033" w:val="right" w:leader="none"/>
        </w:tabs>
        <w:spacing w:before="48"/>
        <w:ind w:left="119" w:right="0" w:firstLine="0"/>
        <w:jc w:val="left"/>
        <w:rPr>
          <w:sz w:val="20"/>
        </w:rPr>
      </w:pPr>
      <w:r>
        <w:rPr>
          <w:sz w:val="20"/>
        </w:rPr>
        <w:t>$8.36</w:t>
      </w:r>
      <w:r>
        <w:rPr>
          <w:spacing w:val="-3"/>
          <w:sz w:val="20"/>
        </w:rPr>
        <w:t> </w:t>
      </w:r>
      <w:r>
        <w:rPr>
          <w:sz w:val="20"/>
        </w:rPr>
        <w:t>to $10.83</w:t>
        <w:tab/>
        <w:t>32,844,404</w:t>
        <w:tab/>
        <w:t>7.85</w:t>
        <w:tab/>
        <w:t>8.97</w:t>
        <w:tab/>
        <w:t>12,009,216</w:t>
        <w:tab/>
        <w:t>8.94</w:t>
      </w:r>
    </w:p>
    <w:p>
      <w:pPr>
        <w:tabs>
          <w:tab w:pos="2275" w:val="left" w:leader="none"/>
          <w:tab w:pos="3921" w:val="left" w:leader="none"/>
          <w:tab w:pos="5409" w:val="left" w:leader="none"/>
          <w:tab w:pos="6955" w:val="left" w:leader="none"/>
          <w:tab w:pos="9033" w:val="right" w:leader="none"/>
        </w:tabs>
        <w:spacing w:before="48"/>
        <w:ind w:left="119" w:right="0" w:firstLine="0"/>
        <w:jc w:val="left"/>
        <w:rPr>
          <w:sz w:val="20"/>
        </w:rPr>
      </w:pPr>
      <w:r>
        <w:rPr>
          <w:sz w:val="20"/>
        </w:rPr>
        <w:t>$11.19</w:t>
      </w:r>
      <w:r>
        <w:rPr>
          <w:spacing w:val="-4"/>
          <w:sz w:val="20"/>
        </w:rPr>
        <w:t> </w:t>
      </w:r>
      <w:r>
        <w:rPr>
          <w:sz w:val="20"/>
        </w:rPr>
        <w:t>to $16.64</w:t>
        <w:tab/>
        <w:t>5,061,066</w:t>
        <w:tab/>
        <w:t>6.85</w:t>
        <w:tab/>
        <w:t>12.23</w:t>
        <w:tab/>
        <w:t>1,472,115</w:t>
        <w:tab/>
        <w:t>12.99</w:t>
      </w:r>
    </w:p>
    <w:p>
      <w:pPr>
        <w:tabs>
          <w:tab w:pos="2275" w:val="left" w:leader="none"/>
          <w:tab w:pos="3921" w:val="left" w:leader="none"/>
          <w:tab w:pos="5409" w:val="left" w:leader="none"/>
          <w:tab w:pos="7123" w:val="left" w:leader="none"/>
          <w:tab w:pos="9033" w:val="right" w:leader="none"/>
        </w:tabs>
        <w:spacing w:before="48"/>
        <w:ind w:left="119" w:right="0" w:firstLine="0"/>
        <w:jc w:val="left"/>
        <w:rPr>
          <w:sz w:val="20"/>
        </w:rPr>
      </w:pPr>
      <w:r>
        <w:rPr>
          <w:sz w:val="20"/>
        </w:rPr>
        <w:t>$17.71</w:t>
      </w:r>
      <w:r>
        <w:rPr>
          <w:spacing w:val="-4"/>
          <w:sz w:val="20"/>
        </w:rPr>
        <w:t> </w:t>
      </w:r>
      <w:r>
        <w:rPr>
          <w:sz w:val="20"/>
        </w:rPr>
        <w:t>to $19.62</w:t>
        <w:tab/>
      </w:r>
      <w:r>
        <w:rPr>
          <w:sz w:val="20"/>
          <w:u w:val="single"/>
        </w:rPr>
        <w:t>4,447,014</w:t>
      </w:r>
      <w:r>
        <w:rPr>
          <w:sz w:val="20"/>
        </w:rPr>
        <w:tab/>
        <w:t>9.59</w:t>
        <w:tab/>
        <w:t>18.37</w:t>
        <w:tab/>
      </w:r>
      <w:r>
        <w:rPr>
          <w:sz w:val="20"/>
          <w:u w:val="single"/>
        </w:rPr>
        <w:t>585,230</w:t>
      </w:r>
      <w:r>
        <w:rPr>
          <w:sz w:val="20"/>
        </w:rPr>
        <w:tab/>
        <w:t>18.57</w:t>
      </w:r>
    </w:p>
    <w:p>
      <w:pPr>
        <w:tabs>
          <w:tab w:pos="2164" w:val="left" w:leader="none"/>
          <w:tab w:pos="3921" w:val="left" w:leader="none"/>
          <w:tab w:pos="5409" w:val="left" w:leader="none"/>
          <w:tab w:pos="6844" w:val="left" w:leader="none"/>
          <w:tab w:pos="8534" w:val="left" w:leader="none"/>
        </w:tabs>
        <w:spacing w:before="48"/>
        <w:ind w:left="120" w:right="0" w:firstLine="0"/>
        <w:jc w:val="both"/>
        <w:rPr>
          <w:sz w:val="20"/>
        </w:rPr>
      </w:pPr>
      <w:r>
        <w:rPr>
          <w:sz w:val="20"/>
        </w:rPr>
        <w:t>$2.68</w:t>
      </w:r>
      <w:r>
        <w:rPr>
          <w:spacing w:val="-3"/>
          <w:sz w:val="20"/>
        </w:rPr>
        <w:t> </w:t>
      </w:r>
      <w:r>
        <w:rPr>
          <w:sz w:val="20"/>
        </w:rPr>
        <w:t>to $19.62</w:t>
        <w:tab/>
      </w:r>
      <w:r>
        <w:rPr>
          <w:sz w:val="20"/>
          <w:u w:val="thick"/>
        </w:rPr>
        <w:t>46,145,810</w:t>
      </w:r>
      <w:r>
        <w:rPr>
          <w:sz w:val="20"/>
        </w:rPr>
        <w:tab/>
        <w:t>7.44</w:t>
      </w:r>
      <w:r>
        <w:rPr>
          <w:spacing w:val="-3"/>
          <w:sz w:val="20"/>
        </w:rPr>
        <w:t> </w:t>
      </w:r>
      <w:r>
        <w:rPr>
          <w:sz w:val="20"/>
        </w:rPr>
        <w:t>yrs</w:t>
        <w:tab/>
        <w:t>$9.75</w:t>
        <w:tab/>
      </w:r>
      <w:r>
        <w:rPr>
          <w:sz w:val="20"/>
          <w:u w:val="thick"/>
        </w:rPr>
        <w:t>15,403,866</w:t>
      </w:r>
      <w:r>
        <w:rPr>
          <w:sz w:val="20"/>
        </w:rPr>
        <w:tab/>
        <w:t>$9.19</w:t>
      </w:r>
    </w:p>
    <w:p>
      <w:pPr>
        <w:pStyle w:val="BodyText"/>
        <w:rPr>
          <w:sz w:val="22"/>
        </w:rPr>
      </w:pPr>
    </w:p>
    <w:p>
      <w:pPr>
        <w:pStyle w:val="BodyText"/>
        <w:spacing w:line="312" w:lineRule="auto" w:before="189"/>
        <w:ind w:left="120" w:right="116" w:firstLine="187"/>
        <w:jc w:val="both"/>
      </w:pPr>
      <w:r>
        <w:rPr>
          <w:spacing w:val="2"/>
        </w:rPr>
        <w:t>The </w:t>
      </w:r>
      <w:r>
        <w:rPr/>
        <w:t>Company has granted options to purchase the Company’s </w:t>
      </w:r>
      <w:r>
        <w:rPr>
          <w:spacing w:val="-3"/>
        </w:rPr>
        <w:t>common </w:t>
      </w:r>
      <w:r>
        <w:rPr/>
        <w:t>stock related to employment contracts with the Company’s president and chief executive officer. Depending upon the grant, these options have terms of ten years from the date of grant or ten years from the date exercisable and vest and become fully exercisable over   three or four years. No options were granted in 1998 or 1997. In 1996, the Company granted 325,000 options with an exercise price of $1.00 per share and 1,125,000  options with an exercise price of $10.44 per share related to the 1996 employment agreement.  At  December  31,  1998,  1997,  and  1996,  total  options  of   </w:t>
      </w:r>
      <w:r>
        <w:rPr>
          <w:spacing w:val="66"/>
        </w:rPr>
        <w:t> </w:t>
      </w:r>
      <w:r>
        <w:rPr/>
        <w:t>3,688,000,</w:t>
      </w:r>
    </w:p>
    <w:p>
      <w:pPr>
        <w:pStyle w:val="BodyText"/>
        <w:spacing w:line="312" w:lineRule="auto" w:before="3"/>
        <w:ind w:left="120" w:right="117"/>
        <w:jc w:val="both"/>
      </w:pPr>
      <w:r>
        <w:rPr/>
        <w:t>3,916,000, and 4,270,000 were outstanding, respectively. At December 31, 1998, total options of 3,108,000 were exercisable at exercise prices ranging from $1.00 to $10.44 per share. Options for 228,000, 354,000, and 379,500 shares were exercised in    1998,</w:t>
      </w:r>
    </w:p>
    <w:p>
      <w:pPr>
        <w:pStyle w:val="BodyText"/>
        <w:spacing w:before="3"/>
        <w:ind w:left="120"/>
        <w:jc w:val="both"/>
      </w:pPr>
      <w:r>
        <w:rPr/>
        <w:t>1997, and 1996, respectively.</w:t>
      </w:r>
    </w:p>
    <w:p>
      <w:pPr>
        <w:pStyle w:val="BodyText"/>
        <w:spacing w:before="6"/>
        <w:rPr>
          <w:sz w:val="38"/>
        </w:rPr>
      </w:pPr>
    </w:p>
    <w:p>
      <w:pPr>
        <w:pStyle w:val="BodyText"/>
        <w:spacing w:line="312" w:lineRule="auto"/>
        <w:ind w:left="120" w:right="117" w:firstLine="187"/>
        <w:jc w:val="both"/>
      </w:pPr>
      <w:r>
        <w:rPr/>
        <w:t>Under the 1991 Employee </w:t>
      </w:r>
      <w:r>
        <w:rPr>
          <w:spacing w:val="-4"/>
        </w:rPr>
        <w:t>Stock Purchase </w:t>
      </w:r>
      <w:r>
        <w:rPr/>
        <w:t>Plan </w:t>
      </w:r>
      <w:r>
        <w:rPr>
          <w:spacing w:val="2"/>
        </w:rPr>
        <w:t>(ESPP), </w:t>
      </w:r>
      <w:r>
        <w:rPr/>
        <w:t>at December 31, 1998, the Company is authorized to issue up to a balance of 855,000 shares of </w:t>
      </w:r>
      <w:r>
        <w:rPr>
          <w:spacing w:val="-3"/>
        </w:rPr>
        <w:t>common </w:t>
      </w:r>
      <w:r>
        <w:rPr/>
        <w:t>stock to Employees of the Company at a price equal to 90 percent of the market value at the  end of each purchase period. </w:t>
      </w:r>
      <w:r>
        <w:rPr>
          <w:spacing w:val="-3"/>
        </w:rPr>
        <w:t>Common </w:t>
      </w:r>
      <w:r>
        <w:rPr/>
        <w:t>stock purchases are paid for through periodic payroll deductions. Participants under the plan received 451,000 shares in 1998, 660,000 shares  in  1997,  and  696,000 shares  in  1996  at  average  prices  of</w:t>
      </w:r>
      <w:r>
        <w:rPr>
          <w:spacing w:val="-9"/>
        </w:rPr>
        <w:t> </w:t>
      </w:r>
      <w:r>
        <w:rPr/>
        <w:t>$17.45,</w:t>
      </w:r>
    </w:p>
    <w:p>
      <w:pPr>
        <w:pStyle w:val="BodyText"/>
        <w:spacing w:before="3"/>
        <w:ind w:left="120"/>
        <w:jc w:val="both"/>
      </w:pPr>
      <w:r>
        <w:rPr/>
        <w:t>$10.67, and $10.25, respectively.</w:t>
      </w:r>
    </w:p>
    <w:p>
      <w:pPr>
        <w:spacing w:after="0"/>
        <w:jc w:val="both"/>
        <w:sectPr>
          <w:type w:val="continuous"/>
          <w:pgSz w:w="12240" w:h="15840"/>
          <w:pgMar w:top="1680" w:bottom="540" w:left="1320" w:right="1320"/>
        </w:sectPr>
      </w:pPr>
    </w:p>
    <w:p>
      <w:pPr>
        <w:pStyle w:val="BodyText"/>
        <w:rPr>
          <w:sz w:val="20"/>
        </w:rPr>
      </w:pPr>
    </w:p>
    <w:p>
      <w:pPr>
        <w:pStyle w:val="BodyText"/>
        <w:spacing w:line="312" w:lineRule="auto" w:before="219"/>
        <w:ind w:left="119" w:right="116" w:firstLine="187"/>
        <w:jc w:val="both"/>
      </w:pPr>
      <w:r>
        <w:rPr>
          <w:spacing w:val="-3"/>
        </w:rPr>
        <w:t>Pro </w:t>
      </w:r>
      <w:r>
        <w:rPr/>
        <w:t>forma information regarding net income and net income per share is required by </w:t>
      </w:r>
      <w:r>
        <w:rPr>
          <w:spacing w:val="-3"/>
        </w:rPr>
        <w:t>SFAS </w:t>
      </w:r>
      <w:r>
        <w:rPr/>
        <w:t>123 and has been determined as if the Company had accounted for its Employee stock-based compensation plans and other stock options under the fair value method of </w:t>
      </w:r>
      <w:r>
        <w:rPr>
          <w:spacing w:val="-3"/>
        </w:rPr>
        <w:t>SFAS </w:t>
      </w:r>
      <w:r>
        <w:rPr/>
        <w:t>123. </w:t>
      </w:r>
      <w:r>
        <w:rPr>
          <w:spacing w:val="2"/>
        </w:rPr>
        <w:t>The </w:t>
      </w:r>
      <w:r>
        <w:rPr/>
        <w:t>fair value of each option grant is estimated on the date of grant using the Black-Scholes option pricing model with the following weighted-average assumptions used for grants under the fixed option plans in 1998, 1997, and 1996, respectively: dividend yield of .16 percent, .22 percent, and .16 percent; expected volatility  of  38.20 percent, 38.23 percent, and  35.37 percent; risk-free  interest </w:t>
      </w:r>
      <w:r>
        <w:rPr>
          <w:spacing w:val="2"/>
        </w:rPr>
        <w:t>rate </w:t>
      </w:r>
      <w:r>
        <w:rPr>
          <w:spacing w:val="37"/>
        </w:rPr>
        <w:t> </w:t>
      </w:r>
      <w:r>
        <w:rPr/>
        <w:t>of</w:t>
      </w:r>
    </w:p>
    <w:p>
      <w:pPr>
        <w:pStyle w:val="BodyText"/>
        <w:spacing w:line="312" w:lineRule="auto" w:before="3"/>
        <w:ind w:left="119" w:right="117"/>
        <w:jc w:val="both"/>
      </w:pPr>
      <w:r>
        <w:rPr/>
        <w:t>4.66 percent, 5.80 percent, and 5.89 percent; and expected lives of 5.0 years for all periods. Assumptions for the stock options granted in 1996 to the Company’s president and chief executive officer were the same as for the fixed option plans except for the weighted-average expected lives of 8.0 years.</w:t>
      </w:r>
    </w:p>
    <w:p>
      <w:pPr>
        <w:pStyle w:val="BodyText"/>
        <w:spacing w:before="6"/>
        <w:rPr>
          <w:sz w:val="31"/>
        </w:rPr>
      </w:pPr>
    </w:p>
    <w:p>
      <w:pPr>
        <w:pStyle w:val="BodyText"/>
        <w:spacing w:line="312" w:lineRule="auto"/>
        <w:ind w:left="119" w:right="116" w:firstLine="187"/>
        <w:jc w:val="both"/>
      </w:pPr>
      <w:r>
        <w:rPr/>
        <w:t>The weighted-average fair value of options granted under the fixed option plans, except the SAEA Plan, during 1998, 1997, and 1996 was $7.17, $4.08, and $4.52, respectively, for the incentive plans; $7.14, $5.11, and $4.11, respectively, for the SWAPA Plan; and $7.15, $4.08, and $4.52, respectively, for other non-qualified plans. The weighted-average fair value of options granted in 1998 under the SAEA    Plan was</w:t>
      </w:r>
    </w:p>
    <w:p>
      <w:pPr>
        <w:pStyle w:val="BodyText"/>
        <w:spacing w:line="312" w:lineRule="auto" w:before="3"/>
        <w:ind w:left="119" w:right="117"/>
        <w:jc w:val="both"/>
      </w:pPr>
      <w:r>
        <w:rPr/>
        <w:t>$7.25. The weighted-average fair value of options granted in 1996 to the Company’s president and chief executive officer relative to an employment contract was $6.21. No such options were granted in 1998 or 1997. The weighted-average fair value of each purchase right under the ESPP granted in 1998, 1997, and 1996, which is equal to the ten percent discount from the market value of the common stock at the end of each purchase period, was $1.94, $1.19, and $1.14, respectively.</w:t>
      </w:r>
    </w:p>
    <w:p>
      <w:pPr>
        <w:pStyle w:val="BodyText"/>
        <w:spacing w:before="6"/>
        <w:rPr>
          <w:sz w:val="31"/>
        </w:rPr>
      </w:pPr>
    </w:p>
    <w:p>
      <w:pPr>
        <w:pStyle w:val="BodyText"/>
        <w:spacing w:line="312" w:lineRule="auto" w:before="1"/>
        <w:ind w:left="119" w:right="117" w:firstLine="187"/>
        <w:jc w:val="both"/>
      </w:pPr>
      <w:r>
        <w:rPr>
          <w:spacing w:val="2"/>
        </w:rPr>
        <w:t>The </w:t>
      </w:r>
      <w:r>
        <w:rPr/>
        <w:t>Black-Scholes option valuation model was developed for use in  estimating  the fair value of traded options which have no vesting restrictions and are fully transferable. In addition, option valuation models require the input of highly subjective assumptions including expected stock price volatility. </w:t>
      </w:r>
      <w:r>
        <w:rPr>
          <w:spacing w:val="-4"/>
        </w:rPr>
        <w:t>Because</w:t>
      </w:r>
      <w:r>
        <w:rPr>
          <w:spacing w:val="58"/>
        </w:rPr>
        <w:t> </w:t>
      </w:r>
      <w:r>
        <w:rPr/>
        <w:t>the Company’s Employee stock options have characteristics significantly different from those of traded options and because changes in the subjective input assumptions can materially  affect the  fair value estimate, in management’s opinion, the existing models do not necessarily provide a reliable single measure of the fair value of its Employee stock</w:t>
      </w:r>
      <w:r>
        <w:rPr>
          <w:spacing w:val="37"/>
        </w:rPr>
        <w:t> </w:t>
      </w:r>
      <w:r>
        <w:rPr/>
        <w:t>options.</w:t>
      </w:r>
    </w:p>
    <w:p>
      <w:pPr>
        <w:spacing w:after="0" w:line="312" w:lineRule="auto"/>
        <w:jc w:val="both"/>
        <w:sectPr>
          <w:pgSz w:w="12240" w:h="15840"/>
          <w:pgMar w:header="1448" w:footer="344" w:top="1700" w:bottom="540" w:left="1320" w:right="1320"/>
        </w:sectPr>
      </w:pPr>
    </w:p>
    <w:p>
      <w:pPr>
        <w:pStyle w:val="BodyText"/>
        <w:rPr>
          <w:sz w:val="20"/>
        </w:rPr>
      </w:pPr>
    </w:p>
    <w:p>
      <w:pPr>
        <w:pStyle w:val="BodyText"/>
        <w:spacing w:line="312" w:lineRule="auto" w:before="219"/>
        <w:ind w:left="119" w:right="117" w:firstLine="187"/>
        <w:jc w:val="both"/>
      </w:pPr>
      <w:r>
        <w:rPr/>
        <w:t>For purposes of pro forma disclosures, the estimated fair value of stock-based compensation plans and other options is amortized to expense primarily over  the vesting period. The Company’s pro forma net income and net income per share is as follows:</w:t>
      </w:r>
    </w:p>
    <w:p>
      <w:pPr>
        <w:pStyle w:val="BodyText"/>
        <w:rPr>
          <w:sz w:val="20"/>
        </w:rPr>
      </w:pPr>
    </w:p>
    <w:p>
      <w:pPr>
        <w:pStyle w:val="BodyText"/>
        <w:spacing w:before="2"/>
      </w:pPr>
    </w:p>
    <w:p>
      <w:pPr>
        <w:spacing w:before="95"/>
        <w:ind w:left="120" w:right="0" w:firstLine="0"/>
        <w:jc w:val="left"/>
        <w:rPr>
          <w:b/>
          <w:sz w:val="20"/>
        </w:rPr>
      </w:pPr>
      <w:r>
        <w:rPr/>
        <w:pict>
          <v:shape style="position:absolute;margin-left:72pt;margin-top:-8.915249pt;width:454.95pt;height:136.8pt;mso-position-horizontal-relative:page;mso-position-vertical-relative:paragraph;z-index:608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206"/>
                    <w:gridCol w:w="1213"/>
                    <w:gridCol w:w="1448"/>
                    <w:gridCol w:w="1231"/>
                  </w:tblGrid>
                  <w:tr>
                    <w:trPr>
                      <w:trHeight w:val="393" w:hRule="exact"/>
                    </w:trPr>
                    <w:tc>
                      <w:tcPr>
                        <w:tcW w:w="6419" w:type="dxa"/>
                        <w:gridSpan w:val="2"/>
                      </w:tcPr>
                      <w:p>
                        <w:pPr>
                          <w:pStyle w:val="TableParagraph"/>
                          <w:tabs>
                            <w:tab w:pos="5255" w:val="left" w:leader="none"/>
                          </w:tabs>
                          <w:spacing w:line="230" w:lineRule="exact"/>
                          <w:jc w:val="left"/>
                          <w:rPr>
                            <w:b/>
                            <w:sz w:val="20"/>
                          </w:rPr>
                        </w:pPr>
                        <w:r>
                          <w:rPr>
                            <w:sz w:val="20"/>
                          </w:rPr>
                          <w:t>(In thousands </w:t>
                        </w:r>
                        <w:r>
                          <w:rPr>
                            <w:spacing w:val="-3"/>
                            <w:sz w:val="20"/>
                          </w:rPr>
                          <w:t>except </w:t>
                        </w:r>
                        <w:r>
                          <w:rPr>
                            <w:sz w:val="20"/>
                          </w:rPr>
                          <w:t>per</w:t>
                        </w:r>
                        <w:r>
                          <w:rPr>
                            <w:spacing w:val="2"/>
                            <w:sz w:val="20"/>
                          </w:rPr>
                          <w:t> </w:t>
                        </w:r>
                        <w:r>
                          <w:rPr>
                            <w:sz w:val="20"/>
                          </w:rPr>
                          <w:t>share</w:t>
                        </w:r>
                        <w:r>
                          <w:rPr>
                            <w:spacing w:val="4"/>
                            <w:sz w:val="20"/>
                          </w:rPr>
                          <w:t> </w:t>
                        </w:r>
                        <w:r>
                          <w:rPr>
                            <w:sz w:val="20"/>
                          </w:rPr>
                          <w:t>amounts)</w:t>
                          <w:tab/>
                        </w:r>
                        <w:r>
                          <w:rPr>
                            <w:b/>
                            <w:color w:val="000080"/>
                            <w:spacing w:val="-3"/>
                            <w:sz w:val="20"/>
                          </w:rPr>
                          <w:t>1998</w:t>
                        </w:r>
                      </w:p>
                    </w:tc>
                    <w:tc>
                      <w:tcPr>
                        <w:tcW w:w="1448" w:type="dxa"/>
                      </w:tcPr>
                      <w:p>
                        <w:pPr>
                          <w:pStyle w:val="TableParagraph"/>
                          <w:spacing w:line="230" w:lineRule="exact"/>
                          <w:ind w:left="300"/>
                          <w:jc w:val="left"/>
                          <w:rPr>
                            <w:sz w:val="20"/>
                          </w:rPr>
                        </w:pPr>
                        <w:r>
                          <w:rPr>
                            <w:sz w:val="20"/>
                          </w:rPr>
                          <w:t>1997</w:t>
                        </w:r>
                      </w:p>
                    </w:tc>
                    <w:tc>
                      <w:tcPr>
                        <w:tcW w:w="1231" w:type="dxa"/>
                      </w:tcPr>
                      <w:p>
                        <w:pPr>
                          <w:pStyle w:val="TableParagraph"/>
                          <w:spacing w:line="230" w:lineRule="exact"/>
                          <w:ind w:left="316"/>
                          <w:jc w:val="left"/>
                          <w:rPr>
                            <w:sz w:val="20"/>
                          </w:rPr>
                        </w:pPr>
                        <w:r>
                          <w:rPr>
                            <w:sz w:val="20"/>
                          </w:rPr>
                          <w:t>1996</w:t>
                        </w:r>
                      </w:p>
                    </w:tc>
                  </w:tr>
                  <w:tr>
                    <w:trPr>
                      <w:trHeight w:val="418" w:hRule="exact"/>
                    </w:trPr>
                    <w:tc>
                      <w:tcPr>
                        <w:tcW w:w="6419" w:type="dxa"/>
                        <w:gridSpan w:val="2"/>
                      </w:tcPr>
                      <w:p>
                        <w:pPr>
                          <w:pStyle w:val="TableParagraph"/>
                          <w:tabs>
                            <w:tab w:pos="5289" w:val="left" w:leader="none"/>
                          </w:tabs>
                          <w:spacing w:before="163"/>
                          <w:ind w:left="182"/>
                          <w:jc w:val="left"/>
                          <w:rPr>
                            <w:b/>
                            <w:sz w:val="20"/>
                          </w:rPr>
                        </w:pPr>
                        <w:r>
                          <w:rPr>
                            <w:spacing w:val="-3"/>
                            <w:sz w:val="20"/>
                          </w:rPr>
                          <w:t>As</w:t>
                        </w:r>
                        <w:r>
                          <w:rPr>
                            <w:spacing w:val="1"/>
                            <w:sz w:val="20"/>
                          </w:rPr>
                          <w:t> </w:t>
                        </w:r>
                        <w:r>
                          <w:rPr>
                            <w:sz w:val="20"/>
                          </w:rPr>
                          <w:t>reported</w:t>
                          <w:tab/>
                        </w:r>
                        <w:r>
                          <w:rPr>
                            <w:b/>
                            <w:color w:val="000080"/>
                            <w:sz w:val="20"/>
                          </w:rPr>
                          <w:t>$433,431</w:t>
                        </w:r>
                      </w:p>
                    </w:tc>
                    <w:tc>
                      <w:tcPr>
                        <w:tcW w:w="1448" w:type="dxa"/>
                      </w:tcPr>
                      <w:p>
                        <w:pPr>
                          <w:pStyle w:val="TableParagraph"/>
                          <w:spacing w:before="163"/>
                          <w:ind w:left="300"/>
                          <w:jc w:val="left"/>
                          <w:rPr>
                            <w:sz w:val="20"/>
                          </w:rPr>
                        </w:pPr>
                        <w:r>
                          <w:rPr>
                            <w:sz w:val="20"/>
                          </w:rPr>
                          <w:t>$317,772</w:t>
                        </w:r>
                      </w:p>
                    </w:tc>
                    <w:tc>
                      <w:tcPr>
                        <w:tcW w:w="1231" w:type="dxa"/>
                      </w:tcPr>
                      <w:p>
                        <w:pPr>
                          <w:pStyle w:val="TableParagraph"/>
                          <w:spacing w:before="163"/>
                          <w:ind w:right="48"/>
                          <w:rPr>
                            <w:sz w:val="20"/>
                          </w:rPr>
                        </w:pPr>
                        <w:r>
                          <w:rPr>
                            <w:sz w:val="20"/>
                          </w:rPr>
                          <w:t>$207,337</w:t>
                        </w:r>
                      </w:p>
                    </w:tc>
                  </w:tr>
                  <w:tr>
                    <w:trPr>
                      <w:trHeight w:val="418" w:hRule="exact"/>
                    </w:trPr>
                    <w:tc>
                      <w:tcPr>
                        <w:tcW w:w="6419" w:type="dxa"/>
                        <w:gridSpan w:val="2"/>
                      </w:tcPr>
                      <w:p>
                        <w:pPr>
                          <w:pStyle w:val="TableParagraph"/>
                          <w:tabs>
                            <w:tab w:pos="5289" w:val="left" w:leader="none"/>
                          </w:tabs>
                          <w:spacing w:before="24"/>
                          <w:ind w:left="182"/>
                          <w:jc w:val="left"/>
                          <w:rPr>
                            <w:b/>
                            <w:sz w:val="20"/>
                          </w:rPr>
                        </w:pPr>
                        <w:r>
                          <w:rPr>
                            <w:sz w:val="20"/>
                          </w:rPr>
                          <w:t>Pro</w:t>
                        </w:r>
                        <w:r>
                          <w:rPr>
                            <w:spacing w:val="9"/>
                            <w:sz w:val="20"/>
                          </w:rPr>
                          <w:t> </w:t>
                        </w:r>
                        <w:r>
                          <w:rPr>
                            <w:sz w:val="20"/>
                          </w:rPr>
                          <w:t>forma</w:t>
                          <w:tab/>
                        </w:r>
                        <w:r>
                          <w:rPr>
                            <w:b/>
                            <w:color w:val="000080"/>
                            <w:sz w:val="20"/>
                          </w:rPr>
                          <w:t>$421,097</w:t>
                        </w:r>
                      </w:p>
                    </w:tc>
                    <w:tc>
                      <w:tcPr>
                        <w:tcW w:w="1448" w:type="dxa"/>
                      </w:tcPr>
                      <w:p>
                        <w:pPr>
                          <w:pStyle w:val="TableParagraph"/>
                          <w:spacing w:before="24"/>
                          <w:ind w:left="300"/>
                          <w:jc w:val="left"/>
                          <w:rPr>
                            <w:sz w:val="20"/>
                          </w:rPr>
                        </w:pPr>
                        <w:r>
                          <w:rPr>
                            <w:sz w:val="20"/>
                          </w:rPr>
                          <w:t>$306,553</w:t>
                        </w:r>
                      </w:p>
                    </w:tc>
                    <w:tc>
                      <w:tcPr>
                        <w:tcW w:w="1231" w:type="dxa"/>
                      </w:tcPr>
                      <w:p>
                        <w:pPr>
                          <w:pStyle w:val="TableParagraph"/>
                          <w:spacing w:before="24"/>
                          <w:ind w:right="48"/>
                          <w:rPr>
                            <w:sz w:val="20"/>
                          </w:rPr>
                        </w:pPr>
                        <w:r>
                          <w:rPr>
                            <w:sz w:val="20"/>
                          </w:rPr>
                          <w:t>$196,478</w:t>
                        </w:r>
                      </w:p>
                    </w:tc>
                  </w:tr>
                  <w:tr>
                    <w:trPr>
                      <w:trHeight w:val="418" w:hRule="exact"/>
                    </w:trPr>
                    <w:tc>
                      <w:tcPr>
                        <w:tcW w:w="5206" w:type="dxa"/>
                      </w:tcPr>
                      <w:p>
                        <w:pPr>
                          <w:pStyle w:val="TableParagraph"/>
                          <w:spacing w:before="163"/>
                          <w:ind w:left="182"/>
                          <w:jc w:val="left"/>
                          <w:rPr>
                            <w:sz w:val="20"/>
                          </w:rPr>
                        </w:pPr>
                        <w:r>
                          <w:rPr>
                            <w:sz w:val="20"/>
                          </w:rPr>
                          <w:t>As reported</w:t>
                        </w:r>
                      </w:p>
                    </w:tc>
                    <w:tc>
                      <w:tcPr>
                        <w:tcW w:w="1213" w:type="dxa"/>
                      </w:tcPr>
                      <w:p>
                        <w:pPr>
                          <w:pStyle w:val="TableParagraph"/>
                          <w:spacing w:before="158"/>
                          <w:ind w:right="298"/>
                          <w:rPr>
                            <w:b/>
                            <w:sz w:val="20"/>
                          </w:rPr>
                        </w:pPr>
                        <w:r>
                          <w:rPr>
                            <w:b/>
                            <w:color w:val="000080"/>
                            <w:sz w:val="20"/>
                          </w:rPr>
                          <w:t>$1.30</w:t>
                        </w:r>
                      </w:p>
                    </w:tc>
                    <w:tc>
                      <w:tcPr>
                        <w:tcW w:w="1448" w:type="dxa"/>
                      </w:tcPr>
                      <w:p>
                        <w:pPr>
                          <w:pStyle w:val="TableParagraph"/>
                          <w:spacing w:before="163"/>
                          <w:ind w:right="314"/>
                          <w:rPr>
                            <w:sz w:val="20"/>
                          </w:rPr>
                        </w:pPr>
                        <w:r>
                          <w:rPr>
                            <w:sz w:val="20"/>
                          </w:rPr>
                          <w:t>$.97</w:t>
                        </w:r>
                      </w:p>
                    </w:tc>
                    <w:tc>
                      <w:tcPr>
                        <w:tcW w:w="1231" w:type="dxa"/>
                      </w:tcPr>
                      <w:p>
                        <w:pPr>
                          <w:pStyle w:val="TableParagraph"/>
                          <w:spacing w:before="163"/>
                          <w:ind w:right="48"/>
                          <w:rPr>
                            <w:sz w:val="20"/>
                          </w:rPr>
                        </w:pPr>
                        <w:r>
                          <w:rPr>
                            <w:sz w:val="20"/>
                          </w:rPr>
                          <w:t>$.64</w:t>
                        </w:r>
                      </w:p>
                    </w:tc>
                  </w:tr>
                  <w:tr>
                    <w:trPr>
                      <w:trHeight w:val="254" w:hRule="exact"/>
                    </w:trPr>
                    <w:tc>
                      <w:tcPr>
                        <w:tcW w:w="5206" w:type="dxa"/>
                      </w:tcPr>
                      <w:p>
                        <w:pPr>
                          <w:pStyle w:val="TableParagraph"/>
                          <w:spacing w:before="24"/>
                          <w:ind w:left="182"/>
                          <w:jc w:val="left"/>
                          <w:rPr>
                            <w:sz w:val="20"/>
                          </w:rPr>
                        </w:pPr>
                        <w:r>
                          <w:rPr>
                            <w:sz w:val="20"/>
                          </w:rPr>
                          <w:t>Pro forma</w:t>
                        </w:r>
                      </w:p>
                    </w:tc>
                    <w:tc>
                      <w:tcPr>
                        <w:tcW w:w="1213" w:type="dxa"/>
                      </w:tcPr>
                      <w:p>
                        <w:pPr>
                          <w:pStyle w:val="TableParagraph"/>
                          <w:spacing w:before="19"/>
                          <w:ind w:right="298"/>
                          <w:rPr>
                            <w:b/>
                            <w:sz w:val="20"/>
                          </w:rPr>
                        </w:pPr>
                        <w:r>
                          <w:rPr>
                            <w:b/>
                            <w:color w:val="000080"/>
                            <w:sz w:val="20"/>
                          </w:rPr>
                          <w:t>$1.26</w:t>
                        </w:r>
                      </w:p>
                    </w:tc>
                    <w:tc>
                      <w:tcPr>
                        <w:tcW w:w="1448" w:type="dxa"/>
                      </w:tcPr>
                      <w:p>
                        <w:pPr>
                          <w:pStyle w:val="TableParagraph"/>
                          <w:spacing w:before="24"/>
                          <w:ind w:right="314"/>
                          <w:rPr>
                            <w:sz w:val="20"/>
                          </w:rPr>
                        </w:pPr>
                        <w:r>
                          <w:rPr>
                            <w:sz w:val="20"/>
                          </w:rPr>
                          <w:t>$.93</w:t>
                        </w:r>
                      </w:p>
                    </w:tc>
                    <w:tc>
                      <w:tcPr>
                        <w:tcW w:w="1231" w:type="dxa"/>
                      </w:tcPr>
                      <w:p>
                        <w:pPr>
                          <w:pStyle w:val="TableParagraph"/>
                          <w:spacing w:before="24"/>
                          <w:ind w:right="48"/>
                          <w:rPr>
                            <w:sz w:val="20"/>
                          </w:rPr>
                        </w:pPr>
                        <w:r>
                          <w:rPr>
                            <w:sz w:val="20"/>
                          </w:rPr>
                          <w:t>$.60</w:t>
                        </w:r>
                      </w:p>
                    </w:tc>
                  </w:tr>
                  <w:tr>
                    <w:trPr>
                      <w:trHeight w:val="300" w:hRule="exact"/>
                    </w:trPr>
                    <w:tc>
                      <w:tcPr>
                        <w:tcW w:w="5206" w:type="dxa"/>
                      </w:tcPr>
                      <w:p>
                        <w:pPr>
                          <w:pStyle w:val="TableParagraph"/>
                          <w:spacing w:before="43"/>
                          <w:jc w:val="left"/>
                          <w:rPr>
                            <w:b/>
                            <w:sz w:val="20"/>
                          </w:rPr>
                        </w:pPr>
                        <w:r>
                          <w:rPr>
                            <w:b/>
                            <w:color w:val="000080"/>
                            <w:sz w:val="20"/>
                          </w:rPr>
                          <w:t>NET INCOME PER SHARE, DILUTED:</w:t>
                        </w:r>
                      </w:p>
                    </w:tc>
                    <w:tc>
                      <w:tcPr>
                        <w:tcW w:w="1213" w:type="dxa"/>
                      </w:tcPr>
                      <w:p>
                        <w:pPr/>
                      </w:p>
                    </w:tc>
                    <w:tc>
                      <w:tcPr>
                        <w:tcW w:w="1448" w:type="dxa"/>
                      </w:tcPr>
                      <w:p>
                        <w:pPr/>
                      </w:p>
                    </w:tc>
                    <w:tc>
                      <w:tcPr>
                        <w:tcW w:w="1231" w:type="dxa"/>
                      </w:tcPr>
                      <w:p>
                        <w:pPr/>
                      </w:p>
                    </w:tc>
                  </w:tr>
                  <w:tr>
                    <w:trPr>
                      <w:trHeight w:val="281" w:hRule="exact"/>
                    </w:trPr>
                    <w:tc>
                      <w:tcPr>
                        <w:tcW w:w="5206" w:type="dxa"/>
                      </w:tcPr>
                      <w:p>
                        <w:pPr>
                          <w:pStyle w:val="TableParagraph"/>
                          <w:spacing w:before="26"/>
                          <w:ind w:left="182"/>
                          <w:jc w:val="left"/>
                          <w:rPr>
                            <w:sz w:val="20"/>
                          </w:rPr>
                        </w:pPr>
                        <w:r>
                          <w:rPr>
                            <w:sz w:val="20"/>
                          </w:rPr>
                          <w:t>As reported</w:t>
                        </w:r>
                      </w:p>
                    </w:tc>
                    <w:tc>
                      <w:tcPr>
                        <w:tcW w:w="1213" w:type="dxa"/>
                      </w:tcPr>
                      <w:p>
                        <w:pPr>
                          <w:pStyle w:val="TableParagraph"/>
                          <w:spacing w:before="21"/>
                          <w:ind w:right="298"/>
                          <w:rPr>
                            <w:b/>
                            <w:sz w:val="20"/>
                          </w:rPr>
                        </w:pPr>
                        <w:r>
                          <w:rPr>
                            <w:b/>
                            <w:color w:val="000080"/>
                            <w:sz w:val="20"/>
                          </w:rPr>
                          <w:t>$1.23</w:t>
                        </w:r>
                      </w:p>
                    </w:tc>
                    <w:tc>
                      <w:tcPr>
                        <w:tcW w:w="1448" w:type="dxa"/>
                      </w:tcPr>
                      <w:p>
                        <w:pPr>
                          <w:pStyle w:val="TableParagraph"/>
                          <w:spacing w:before="26"/>
                          <w:ind w:right="314"/>
                          <w:rPr>
                            <w:sz w:val="20"/>
                          </w:rPr>
                        </w:pPr>
                        <w:r>
                          <w:rPr>
                            <w:sz w:val="20"/>
                          </w:rPr>
                          <w:t>$.93</w:t>
                        </w:r>
                      </w:p>
                    </w:tc>
                    <w:tc>
                      <w:tcPr>
                        <w:tcW w:w="1231" w:type="dxa"/>
                      </w:tcPr>
                      <w:p>
                        <w:pPr>
                          <w:pStyle w:val="TableParagraph"/>
                          <w:spacing w:before="26"/>
                          <w:ind w:right="48"/>
                          <w:rPr>
                            <w:sz w:val="20"/>
                          </w:rPr>
                        </w:pPr>
                        <w:r>
                          <w:rPr>
                            <w:sz w:val="20"/>
                          </w:rPr>
                          <w:t>$.61</w:t>
                        </w:r>
                      </w:p>
                    </w:tc>
                  </w:tr>
                  <w:tr>
                    <w:trPr>
                      <w:trHeight w:val="254" w:hRule="exact"/>
                    </w:trPr>
                    <w:tc>
                      <w:tcPr>
                        <w:tcW w:w="5206" w:type="dxa"/>
                      </w:tcPr>
                      <w:p>
                        <w:pPr>
                          <w:pStyle w:val="TableParagraph"/>
                          <w:spacing w:before="24"/>
                          <w:ind w:left="182"/>
                          <w:jc w:val="left"/>
                          <w:rPr>
                            <w:sz w:val="20"/>
                          </w:rPr>
                        </w:pPr>
                        <w:r>
                          <w:rPr>
                            <w:sz w:val="20"/>
                          </w:rPr>
                          <w:t>Pro forma</w:t>
                        </w:r>
                      </w:p>
                    </w:tc>
                    <w:tc>
                      <w:tcPr>
                        <w:tcW w:w="1213" w:type="dxa"/>
                      </w:tcPr>
                      <w:p>
                        <w:pPr>
                          <w:pStyle w:val="TableParagraph"/>
                          <w:spacing w:before="19"/>
                          <w:ind w:right="298"/>
                          <w:rPr>
                            <w:b/>
                            <w:sz w:val="20"/>
                          </w:rPr>
                        </w:pPr>
                        <w:r>
                          <w:rPr>
                            <w:b/>
                            <w:color w:val="000080"/>
                            <w:sz w:val="20"/>
                          </w:rPr>
                          <w:t>$1.20</w:t>
                        </w:r>
                      </w:p>
                    </w:tc>
                    <w:tc>
                      <w:tcPr>
                        <w:tcW w:w="1448" w:type="dxa"/>
                      </w:tcPr>
                      <w:p>
                        <w:pPr>
                          <w:pStyle w:val="TableParagraph"/>
                          <w:spacing w:before="24"/>
                          <w:ind w:right="314"/>
                          <w:rPr>
                            <w:sz w:val="20"/>
                          </w:rPr>
                        </w:pPr>
                        <w:r>
                          <w:rPr>
                            <w:sz w:val="20"/>
                          </w:rPr>
                          <w:t>$.90</w:t>
                        </w:r>
                      </w:p>
                    </w:tc>
                    <w:tc>
                      <w:tcPr>
                        <w:tcW w:w="1231" w:type="dxa"/>
                      </w:tcPr>
                      <w:p>
                        <w:pPr>
                          <w:pStyle w:val="TableParagraph"/>
                          <w:spacing w:before="24"/>
                          <w:ind w:right="48"/>
                          <w:rPr>
                            <w:sz w:val="20"/>
                          </w:rPr>
                        </w:pPr>
                        <w:r>
                          <w:rPr>
                            <w:sz w:val="20"/>
                          </w:rPr>
                          <w:t>$.60</w:t>
                        </w:r>
                      </w:p>
                    </w:tc>
                  </w:tr>
                </w:tbl>
                <w:p>
                  <w:pPr>
                    <w:pStyle w:val="BodyText"/>
                  </w:pPr>
                </w:p>
              </w:txbxContent>
            </v:textbox>
            <w10:wrap type="none"/>
          </v:shape>
        </w:pict>
      </w:r>
      <w:r>
        <w:rPr>
          <w:b/>
          <w:color w:val="000080"/>
          <w:sz w:val="20"/>
        </w:rPr>
        <w:t>NET INCOME:</w:t>
      </w:r>
    </w:p>
    <w:p>
      <w:pPr>
        <w:pStyle w:val="BodyText"/>
        <w:rPr>
          <w:b/>
          <w:sz w:val="22"/>
        </w:rPr>
      </w:pPr>
    </w:p>
    <w:p>
      <w:pPr>
        <w:pStyle w:val="BodyText"/>
        <w:spacing w:before="7"/>
        <w:rPr>
          <w:b/>
          <w:sz w:val="30"/>
        </w:rPr>
      </w:pPr>
    </w:p>
    <w:p>
      <w:pPr>
        <w:spacing w:before="0"/>
        <w:ind w:left="120" w:right="0" w:firstLine="0"/>
        <w:jc w:val="left"/>
        <w:rPr>
          <w:b/>
          <w:sz w:val="20"/>
        </w:rPr>
      </w:pPr>
      <w:r>
        <w:rPr>
          <w:b/>
          <w:color w:val="000080"/>
          <w:sz w:val="20"/>
        </w:rPr>
        <w:t>NET INCOME PER SHARE, BASIC:</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20"/>
        </w:rPr>
      </w:pPr>
    </w:p>
    <w:p>
      <w:pPr>
        <w:pStyle w:val="BodyText"/>
        <w:spacing w:line="312" w:lineRule="auto" w:before="1"/>
        <w:ind w:left="120" w:right="117" w:firstLine="187"/>
        <w:jc w:val="both"/>
      </w:pPr>
      <w:r>
        <w:rPr/>
        <w:t>As required, the pro forma disclosures above include only options granted since January 1, 1995. Consequently, the effects of applying SFAS 123 for providing  pro forma disclosures may not be representative of the effects on reported net income for future years until all options outstanding are included in the pro forma disclosures.</w:t>
      </w:r>
    </w:p>
    <w:p>
      <w:pPr>
        <w:pStyle w:val="BodyText"/>
        <w:spacing w:before="2"/>
        <w:rPr>
          <w:sz w:val="31"/>
        </w:rPr>
      </w:pPr>
    </w:p>
    <w:p>
      <w:pPr>
        <w:pStyle w:val="Heading4"/>
        <w:numPr>
          <w:ilvl w:val="0"/>
          <w:numId w:val="2"/>
        </w:numPr>
        <w:tabs>
          <w:tab w:pos="389" w:val="left" w:leader="none"/>
        </w:tabs>
        <w:spacing w:line="240" w:lineRule="auto" w:before="0" w:after="0"/>
        <w:ind w:left="388" w:right="0" w:hanging="268"/>
        <w:jc w:val="left"/>
      </w:pPr>
      <w:r>
        <w:rPr>
          <w:color w:val="000080"/>
        </w:rPr>
        <w:t>EMPLOYEE PROFITSHARING AND SAVINGS</w:t>
      </w:r>
      <w:r>
        <w:rPr>
          <w:color w:val="000080"/>
          <w:spacing w:val="-48"/>
        </w:rPr>
        <w:t> </w:t>
      </w:r>
      <w:r>
        <w:rPr>
          <w:color w:val="000080"/>
        </w:rPr>
        <w:t>PLANS</w:t>
      </w:r>
    </w:p>
    <w:p>
      <w:pPr>
        <w:pStyle w:val="BodyText"/>
        <w:spacing w:line="312" w:lineRule="auto" w:before="88"/>
        <w:ind w:left="120" w:right="117" w:firstLine="187"/>
        <w:jc w:val="both"/>
      </w:pPr>
      <w:r>
        <w:rPr/>
        <w:t>Substantially all of Southwest’s Employees are members of the Southwest Airlines  Co. Profitsharing Plan. </w:t>
      </w:r>
      <w:r>
        <w:rPr>
          <w:spacing w:val="3"/>
        </w:rPr>
        <w:t>Total </w:t>
      </w:r>
      <w:r>
        <w:rPr/>
        <w:t>profitsharing expense charged to operations  in  1998, 1997, and 1996 was $120,697,000, $91,256,000, and $59,927,000,</w:t>
      </w:r>
      <w:r>
        <w:rPr>
          <w:spacing w:val="4"/>
        </w:rPr>
        <w:t> </w:t>
      </w:r>
      <w:r>
        <w:rPr/>
        <w:t>respectively.</w:t>
      </w:r>
    </w:p>
    <w:p>
      <w:pPr>
        <w:pStyle w:val="BodyText"/>
        <w:spacing w:before="6"/>
        <w:rPr>
          <w:sz w:val="31"/>
        </w:rPr>
      </w:pPr>
    </w:p>
    <w:p>
      <w:pPr>
        <w:pStyle w:val="BodyText"/>
        <w:spacing w:line="312" w:lineRule="auto"/>
        <w:ind w:left="120" w:right="117" w:firstLine="187"/>
        <w:jc w:val="both"/>
      </w:pPr>
      <w:r>
        <w:rPr>
          <w:spacing w:val="2"/>
        </w:rPr>
        <w:t>The </w:t>
      </w:r>
      <w:r>
        <w:rPr/>
        <w:t>Company sponsors Employee savings plans under Section 401(k) of the Internal Revenue Code. </w:t>
      </w:r>
      <w:r>
        <w:rPr>
          <w:spacing w:val="2"/>
        </w:rPr>
        <w:t>The </w:t>
      </w:r>
      <w:r>
        <w:rPr/>
        <w:t>plans cover substantially all full-time Employees. </w:t>
      </w:r>
      <w:r>
        <w:rPr>
          <w:spacing w:val="2"/>
        </w:rPr>
        <w:t>The </w:t>
      </w:r>
      <w:r>
        <w:rPr/>
        <w:t>amount of matching contributions varies by Employee group. Company contributions generally  vest over five years with credit for prior years’ service granted. Company matching contributions expensed in 1998, 1997, and 1996 were $46,415,000, $39,744,000,  </w:t>
      </w:r>
      <w:r>
        <w:rPr>
          <w:spacing w:val="56"/>
        </w:rPr>
        <w:t> </w:t>
      </w:r>
      <w:r>
        <w:rPr/>
        <w:t>and</w:t>
      </w:r>
    </w:p>
    <w:p>
      <w:pPr>
        <w:pStyle w:val="BodyText"/>
        <w:spacing w:before="3"/>
        <w:ind w:left="120"/>
      </w:pPr>
      <w:r>
        <w:rPr/>
        <w:t>$35,125,000, respectively.</w:t>
      </w:r>
    </w:p>
    <w:p>
      <w:pPr>
        <w:spacing w:after="0"/>
        <w:sectPr>
          <w:pgSz w:w="12240" w:h="15840"/>
          <w:pgMar w:header="1448" w:footer="344" w:top="1700" w:bottom="540" w:left="1320" w:right="1320"/>
        </w:sectPr>
      </w:pPr>
    </w:p>
    <w:p>
      <w:pPr>
        <w:pStyle w:val="BodyText"/>
        <w:rPr>
          <w:sz w:val="20"/>
        </w:rPr>
      </w:pPr>
    </w:p>
    <w:p>
      <w:pPr>
        <w:pStyle w:val="Heading4"/>
        <w:numPr>
          <w:ilvl w:val="0"/>
          <w:numId w:val="2"/>
        </w:numPr>
        <w:tabs>
          <w:tab w:pos="564" w:val="left" w:leader="none"/>
        </w:tabs>
        <w:spacing w:line="240" w:lineRule="auto" w:before="214" w:after="0"/>
        <w:ind w:left="563" w:right="0" w:hanging="403"/>
        <w:jc w:val="left"/>
      </w:pPr>
      <w:r>
        <w:rPr>
          <w:color w:val="000080"/>
        </w:rPr>
        <w:t>INCOME</w:t>
      </w:r>
      <w:r>
        <w:rPr>
          <w:color w:val="000080"/>
          <w:spacing w:val="-14"/>
        </w:rPr>
        <w:t> </w:t>
      </w:r>
      <w:r>
        <w:rPr>
          <w:color w:val="000080"/>
        </w:rPr>
        <w:t>TAXES</w:t>
      </w:r>
    </w:p>
    <w:p>
      <w:pPr>
        <w:pStyle w:val="BodyText"/>
        <w:spacing w:line="312" w:lineRule="auto" w:before="88"/>
        <w:ind w:left="160" w:right="119" w:firstLine="187"/>
        <w:jc w:val="both"/>
      </w:pPr>
      <w:r>
        <w:rPr/>
        <w:t>Deferred income taxes reflect the net tax effects of temporary differences between the carrying amounts of assets and liabilities for financial reporting purposes and the amounts used for income tax purposes. The components of deferred tax assets and liabilities at December 31, 1998 and 1997 are as follows:</w:t>
      </w:r>
    </w:p>
    <w:p>
      <w:pPr>
        <w:pStyle w:val="BodyText"/>
        <w:spacing w:before="6"/>
        <w:rPr>
          <w:sz w:val="28"/>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819"/>
        <w:gridCol w:w="2265"/>
        <w:gridCol w:w="1232"/>
      </w:tblGrid>
      <w:tr>
        <w:trPr>
          <w:trHeight w:val="530" w:hRule="exact"/>
        </w:trPr>
        <w:tc>
          <w:tcPr>
            <w:tcW w:w="5819" w:type="dxa"/>
          </w:tcPr>
          <w:p>
            <w:pPr>
              <w:pStyle w:val="TableParagraph"/>
              <w:spacing w:line="230" w:lineRule="exact"/>
              <w:ind w:left="107"/>
              <w:jc w:val="left"/>
              <w:rPr>
                <w:sz w:val="20"/>
              </w:rPr>
            </w:pPr>
            <w:r>
              <w:rPr>
                <w:sz w:val="20"/>
              </w:rPr>
              <w:t>(In thousands)</w:t>
            </w:r>
          </w:p>
          <w:p>
            <w:pPr>
              <w:pStyle w:val="TableParagraph"/>
              <w:spacing w:before="43"/>
              <w:ind w:left="50"/>
              <w:jc w:val="left"/>
              <w:rPr>
                <w:b/>
                <w:sz w:val="20"/>
              </w:rPr>
            </w:pPr>
            <w:r>
              <w:rPr>
                <w:b/>
                <w:color w:val="000080"/>
                <w:sz w:val="20"/>
              </w:rPr>
              <w:t>DEFERRED TAX LIABILITIES:</w:t>
            </w:r>
          </w:p>
        </w:tc>
        <w:tc>
          <w:tcPr>
            <w:tcW w:w="2265" w:type="dxa"/>
          </w:tcPr>
          <w:p>
            <w:pPr>
              <w:pStyle w:val="TableParagraph"/>
              <w:spacing w:line="225" w:lineRule="exact"/>
              <w:ind w:left="1118"/>
              <w:jc w:val="left"/>
              <w:rPr>
                <w:b/>
                <w:sz w:val="20"/>
              </w:rPr>
            </w:pPr>
            <w:r>
              <w:rPr>
                <w:b/>
                <w:color w:val="000080"/>
                <w:sz w:val="20"/>
              </w:rPr>
              <w:t>1998</w:t>
            </w:r>
          </w:p>
        </w:tc>
        <w:tc>
          <w:tcPr>
            <w:tcW w:w="1232" w:type="dxa"/>
          </w:tcPr>
          <w:p>
            <w:pPr>
              <w:pStyle w:val="TableParagraph"/>
              <w:spacing w:line="230" w:lineRule="exact"/>
              <w:ind w:left="317"/>
              <w:jc w:val="left"/>
              <w:rPr>
                <w:sz w:val="20"/>
              </w:rPr>
            </w:pPr>
            <w:r>
              <w:rPr>
                <w:sz w:val="20"/>
              </w:rPr>
              <w:t>1997</w:t>
            </w:r>
          </w:p>
        </w:tc>
      </w:tr>
      <w:tr>
        <w:trPr>
          <w:trHeight w:val="281" w:hRule="exact"/>
        </w:trPr>
        <w:tc>
          <w:tcPr>
            <w:tcW w:w="5819" w:type="dxa"/>
          </w:tcPr>
          <w:p>
            <w:pPr>
              <w:pStyle w:val="TableParagraph"/>
              <w:spacing w:before="26"/>
              <w:ind w:left="232"/>
              <w:jc w:val="left"/>
              <w:rPr>
                <w:sz w:val="20"/>
              </w:rPr>
            </w:pPr>
            <w:r>
              <w:rPr>
                <w:sz w:val="20"/>
              </w:rPr>
              <w:t>Accelerated depreciation</w:t>
            </w:r>
          </w:p>
        </w:tc>
        <w:tc>
          <w:tcPr>
            <w:tcW w:w="2265" w:type="dxa"/>
          </w:tcPr>
          <w:p>
            <w:pPr>
              <w:pStyle w:val="TableParagraph"/>
              <w:spacing w:before="21"/>
              <w:ind w:right="316"/>
              <w:rPr>
                <w:b/>
                <w:sz w:val="20"/>
              </w:rPr>
            </w:pPr>
            <w:r>
              <w:rPr>
                <w:b/>
                <w:color w:val="000080"/>
                <w:sz w:val="20"/>
              </w:rPr>
              <w:t>$641,673</w:t>
            </w:r>
          </w:p>
        </w:tc>
        <w:tc>
          <w:tcPr>
            <w:tcW w:w="1232" w:type="dxa"/>
          </w:tcPr>
          <w:p>
            <w:pPr>
              <w:pStyle w:val="TableParagraph"/>
              <w:spacing w:before="26"/>
              <w:ind w:right="48"/>
              <w:rPr>
                <w:sz w:val="20"/>
              </w:rPr>
            </w:pPr>
            <w:r>
              <w:rPr>
                <w:sz w:val="20"/>
              </w:rPr>
              <w:t>$543,547</w:t>
            </w:r>
          </w:p>
        </w:tc>
      </w:tr>
      <w:tr>
        <w:trPr>
          <w:trHeight w:val="278" w:hRule="exact"/>
        </w:trPr>
        <w:tc>
          <w:tcPr>
            <w:tcW w:w="5819" w:type="dxa"/>
          </w:tcPr>
          <w:p>
            <w:pPr>
              <w:pStyle w:val="TableParagraph"/>
              <w:spacing w:before="24"/>
              <w:ind w:left="232"/>
              <w:jc w:val="left"/>
              <w:rPr>
                <w:sz w:val="20"/>
              </w:rPr>
            </w:pPr>
            <w:r>
              <w:rPr>
                <w:sz w:val="20"/>
              </w:rPr>
              <w:t>Scheduled airframe maintenance</w:t>
            </w:r>
          </w:p>
        </w:tc>
        <w:tc>
          <w:tcPr>
            <w:tcW w:w="2265" w:type="dxa"/>
          </w:tcPr>
          <w:p>
            <w:pPr>
              <w:pStyle w:val="TableParagraph"/>
              <w:spacing w:before="19"/>
              <w:ind w:right="315"/>
              <w:rPr>
                <w:b/>
                <w:sz w:val="20"/>
              </w:rPr>
            </w:pPr>
            <w:r>
              <w:rPr>
                <w:b/>
                <w:color w:val="000080"/>
                <w:sz w:val="20"/>
              </w:rPr>
              <w:t>40,073</w:t>
            </w:r>
          </w:p>
        </w:tc>
        <w:tc>
          <w:tcPr>
            <w:tcW w:w="1232" w:type="dxa"/>
          </w:tcPr>
          <w:p>
            <w:pPr>
              <w:pStyle w:val="TableParagraph"/>
              <w:spacing w:before="24"/>
              <w:ind w:right="48"/>
              <w:rPr>
                <w:sz w:val="20"/>
              </w:rPr>
            </w:pPr>
            <w:r>
              <w:rPr>
                <w:sz w:val="20"/>
              </w:rPr>
              <w:t>33,202</w:t>
            </w:r>
          </w:p>
        </w:tc>
      </w:tr>
      <w:tr>
        <w:trPr>
          <w:trHeight w:val="278" w:hRule="exact"/>
        </w:trPr>
        <w:tc>
          <w:tcPr>
            <w:tcW w:w="5819" w:type="dxa"/>
          </w:tcPr>
          <w:p>
            <w:pPr>
              <w:pStyle w:val="TableParagraph"/>
              <w:spacing w:before="24"/>
              <w:ind w:left="232"/>
              <w:jc w:val="left"/>
              <w:rPr>
                <w:sz w:val="20"/>
              </w:rPr>
            </w:pPr>
            <w:r>
              <w:rPr>
                <w:sz w:val="20"/>
              </w:rPr>
              <w:t>Other</w:t>
            </w:r>
          </w:p>
        </w:tc>
        <w:tc>
          <w:tcPr>
            <w:tcW w:w="2265" w:type="dxa"/>
          </w:tcPr>
          <w:p>
            <w:pPr>
              <w:pStyle w:val="TableParagraph"/>
              <w:spacing w:before="19"/>
              <w:ind w:right="315"/>
              <w:rPr>
                <w:b/>
                <w:sz w:val="20"/>
              </w:rPr>
            </w:pPr>
            <w:r>
              <w:rPr>
                <w:b/>
                <w:color w:val="000080"/>
                <w:sz w:val="20"/>
                <w:u w:val="single" w:color="000080"/>
              </w:rPr>
              <w:t>95,485</w:t>
            </w:r>
          </w:p>
        </w:tc>
        <w:tc>
          <w:tcPr>
            <w:tcW w:w="1232" w:type="dxa"/>
          </w:tcPr>
          <w:p>
            <w:pPr>
              <w:pStyle w:val="TableParagraph"/>
              <w:spacing w:before="24"/>
              <w:ind w:right="48"/>
              <w:rPr>
                <w:sz w:val="20"/>
              </w:rPr>
            </w:pPr>
            <w:r>
              <w:rPr>
                <w:sz w:val="20"/>
                <w:u w:val="single"/>
              </w:rPr>
              <w:t>83,607</w:t>
            </w:r>
          </w:p>
        </w:tc>
      </w:tr>
      <w:tr>
        <w:trPr>
          <w:trHeight w:val="254" w:hRule="exact"/>
        </w:trPr>
        <w:tc>
          <w:tcPr>
            <w:tcW w:w="5819" w:type="dxa"/>
          </w:tcPr>
          <w:p>
            <w:pPr>
              <w:pStyle w:val="TableParagraph"/>
              <w:spacing w:before="24"/>
              <w:ind w:left="410"/>
              <w:jc w:val="left"/>
              <w:rPr>
                <w:sz w:val="20"/>
              </w:rPr>
            </w:pPr>
            <w:r>
              <w:rPr>
                <w:sz w:val="20"/>
              </w:rPr>
              <w:t>Total deferred tax liabilities</w:t>
            </w:r>
          </w:p>
        </w:tc>
        <w:tc>
          <w:tcPr>
            <w:tcW w:w="2265" w:type="dxa"/>
          </w:tcPr>
          <w:p>
            <w:pPr>
              <w:pStyle w:val="TableParagraph"/>
              <w:spacing w:before="19"/>
              <w:ind w:right="316"/>
              <w:rPr>
                <w:b/>
                <w:sz w:val="20"/>
              </w:rPr>
            </w:pPr>
            <w:r>
              <w:rPr>
                <w:b/>
                <w:color w:val="000080"/>
                <w:sz w:val="20"/>
              </w:rPr>
              <w:t>777,231</w:t>
            </w:r>
          </w:p>
        </w:tc>
        <w:tc>
          <w:tcPr>
            <w:tcW w:w="1232" w:type="dxa"/>
          </w:tcPr>
          <w:p>
            <w:pPr>
              <w:pStyle w:val="TableParagraph"/>
              <w:spacing w:before="24"/>
              <w:ind w:right="48"/>
              <w:rPr>
                <w:sz w:val="20"/>
              </w:rPr>
            </w:pPr>
            <w:r>
              <w:rPr>
                <w:sz w:val="20"/>
              </w:rPr>
              <w:t>660,356</w:t>
            </w:r>
          </w:p>
        </w:tc>
      </w:tr>
      <w:tr>
        <w:trPr>
          <w:trHeight w:val="300" w:hRule="exact"/>
        </w:trPr>
        <w:tc>
          <w:tcPr>
            <w:tcW w:w="5819" w:type="dxa"/>
          </w:tcPr>
          <w:p>
            <w:pPr>
              <w:pStyle w:val="TableParagraph"/>
              <w:spacing w:before="43"/>
              <w:ind w:left="50"/>
              <w:jc w:val="left"/>
              <w:rPr>
                <w:b/>
                <w:sz w:val="20"/>
              </w:rPr>
            </w:pPr>
            <w:r>
              <w:rPr>
                <w:b/>
                <w:color w:val="000080"/>
                <w:sz w:val="20"/>
              </w:rPr>
              <w:t>DEFERRED TAX ASSETS:</w:t>
            </w:r>
          </w:p>
        </w:tc>
        <w:tc>
          <w:tcPr>
            <w:tcW w:w="2265" w:type="dxa"/>
          </w:tcPr>
          <w:p>
            <w:pPr/>
          </w:p>
        </w:tc>
        <w:tc>
          <w:tcPr>
            <w:tcW w:w="1232" w:type="dxa"/>
          </w:tcPr>
          <w:p>
            <w:pPr/>
          </w:p>
        </w:tc>
      </w:tr>
      <w:tr>
        <w:trPr>
          <w:trHeight w:val="281" w:hRule="exact"/>
        </w:trPr>
        <w:tc>
          <w:tcPr>
            <w:tcW w:w="5819" w:type="dxa"/>
          </w:tcPr>
          <w:p>
            <w:pPr>
              <w:pStyle w:val="TableParagraph"/>
              <w:spacing w:before="26"/>
              <w:ind w:left="232"/>
              <w:jc w:val="left"/>
              <w:rPr>
                <w:sz w:val="20"/>
              </w:rPr>
            </w:pPr>
            <w:r>
              <w:rPr>
                <w:sz w:val="20"/>
              </w:rPr>
              <w:t>Deferred gains from sale and leaseback of aircraft</w:t>
            </w:r>
          </w:p>
        </w:tc>
        <w:tc>
          <w:tcPr>
            <w:tcW w:w="2265" w:type="dxa"/>
          </w:tcPr>
          <w:p>
            <w:pPr>
              <w:pStyle w:val="TableParagraph"/>
              <w:spacing w:before="21"/>
              <w:ind w:right="316"/>
              <w:rPr>
                <w:b/>
                <w:sz w:val="20"/>
              </w:rPr>
            </w:pPr>
            <w:r>
              <w:rPr>
                <w:b/>
                <w:color w:val="000080"/>
                <w:sz w:val="20"/>
              </w:rPr>
              <w:t>107,157</w:t>
            </w:r>
          </w:p>
        </w:tc>
        <w:tc>
          <w:tcPr>
            <w:tcW w:w="1232" w:type="dxa"/>
          </w:tcPr>
          <w:p>
            <w:pPr>
              <w:pStyle w:val="TableParagraph"/>
              <w:spacing w:before="26"/>
              <w:ind w:right="48"/>
              <w:rPr>
                <w:sz w:val="20"/>
              </w:rPr>
            </w:pPr>
            <w:r>
              <w:rPr>
                <w:sz w:val="20"/>
              </w:rPr>
              <w:t>112,659</w:t>
            </w:r>
          </w:p>
        </w:tc>
      </w:tr>
      <w:tr>
        <w:trPr>
          <w:trHeight w:val="278" w:hRule="exact"/>
        </w:trPr>
        <w:tc>
          <w:tcPr>
            <w:tcW w:w="5819" w:type="dxa"/>
          </w:tcPr>
          <w:p>
            <w:pPr>
              <w:pStyle w:val="TableParagraph"/>
              <w:spacing w:before="24"/>
              <w:ind w:left="232"/>
              <w:jc w:val="left"/>
              <w:rPr>
                <w:sz w:val="20"/>
              </w:rPr>
            </w:pPr>
            <w:r>
              <w:rPr>
                <w:sz w:val="20"/>
              </w:rPr>
              <w:t>Capital and operating leases</w:t>
            </w:r>
          </w:p>
        </w:tc>
        <w:tc>
          <w:tcPr>
            <w:tcW w:w="2265" w:type="dxa"/>
          </w:tcPr>
          <w:p>
            <w:pPr>
              <w:pStyle w:val="TableParagraph"/>
              <w:spacing w:before="19"/>
              <w:ind w:right="315"/>
              <w:rPr>
                <w:b/>
                <w:sz w:val="20"/>
              </w:rPr>
            </w:pPr>
            <w:r>
              <w:rPr>
                <w:b/>
                <w:color w:val="000080"/>
                <w:sz w:val="20"/>
              </w:rPr>
              <w:t>61,275</w:t>
            </w:r>
          </w:p>
        </w:tc>
        <w:tc>
          <w:tcPr>
            <w:tcW w:w="1232" w:type="dxa"/>
          </w:tcPr>
          <w:p>
            <w:pPr>
              <w:pStyle w:val="TableParagraph"/>
              <w:spacing w:before="24"/>
              <w:ind w:right="48"/>
              <w:rPr>
                <w:sz w:val="20"/>
              </w:rPr>
            </w:pPr>
            <w:r>
              <w:rPr>
                <w:sz w:val="20"/>
              </w:rPr>
              <w:t>61,747</w:t>
            </w:r>
          </w:p>
        </w:tc>
      </w:tr>
      <w:tr>
        <w:trPr>
          <w:trHeight w:val="278" w:hRule="exact"/>
        </w:trPr>
        <w:tc>
          <w:tcPr>
            <w:tcW w:w="5819" w:type="dxa"/>
          </w:tcPr>
          <w:p>
            <w:pPr>
              <w:pStyle w:val="TableParagraph"/>
              <w:spacing w:before="24"/>
              <w:ind w:left="232"/>
              <w:jc w:val="left"/>
              <w:rPr>
                <w:sz w:val="20"/>
              </w:rPr>
            </w:pPr>
            <w:r>
              <w:rPr>
                <w:sz w:val="20"/>
              </w:rPr>
              <w:t>Other</w:t>
            </w:r>
          </w:p>
        </w:tc>
        <w:tc>
          <w:tcPr>
            <w:tcW w:w="2265" w:type="dxa"/>
          </w:tcPr>
          <w:p>
            <w:pPr>
              <w:pStyle w:val="TableParagraph"/>
              <w:spacing w:before="19"/>
              <w:ind w:right="315"/>
              <w:rPr>
                <w:b/>
                <w:sz w:val="20"/>
              </w:rPr>
            </w:pPr>
            <w:r>
              <w:rPr>
                <w:b/>
                <w:color w:val="000080"/>
                <w:sz w:val="20"/>
                <w:u w:val="single" w:color="000080"/>
              </w:rPr>
              <w:t>80,326</w:t>
            </w:r>
          </w:p>
        </w:tc>
        <w:tc>
          <w:tcPr>
            <w:tcW w:w="1232" w:type="dxa"/>
          </w:tcPr>
          <w:p>
            <w:pPr>
              <w:pStyle w:val="TableParagraph"/>
              <w:spacing w:before="24"/>
              <w:ind w:right="48"/>
              <w:rPr>
                <w:sz w:val="20"/>
              </w:rPr>
            </w:pPr>
            <w:r>
              <w:rPr>
                <w:sz w:val="20"/>
                <w:u w:val="single"/>
              </w:rPr>
              <w:t>65,812</w:t>
            </w:r>
          </w:p>
        </w:tc>
      </w:tr>
      <w:tr>
        <w:trPr>
          <w:trHeight w:val="278" w:hRule="exact"/>
        </w:trPr>
        <w:tc>
          <w:tcPr>
            <w:tcW w:w="5819" w:type="dxa"/>
          </w:tcPr>
          <w:p>
            <w:pPr>
              <w:pStyle w:val="TableParagraph"/>
              <w:spacing w:before="24"/>
              <w:ind w:left="410"/>
              <w:jc w:val="left"/>
              <w:rPr>
                <w:sz w:val="20"/>
              </w:rPr>
            </w:pPr>
            <w:r>
              <w:rPr>
                <w:sz w:val="20"/>
              </w:rPr>
              <w:t>Total deferred tax assets</w:t>
            </w:r>
          </w:p>
        </w:tc>
        <w:tc>
          <w:tcPr>
            <w:tcW w:w="2265" w:type="dxa"/>
          </w:tcPr>
          <w:p>
            <w:pPr>
              <w:pStyle w:val="TableParagraph"/>
              <w:spacing w:before="19"/>
              <w:ind w:right="316"/>
              <w:rPr>
                <w:b/>
                <w:sz w:val="20"/>
              </w:rPr>
            </w:pPr>
            <w:r>
              <w:rPr>
                <w:b/>
                <w:color w:val="000080"/>
                <w:sz w:val="20"/>
                <w:u w:val="single" w:color="000080"/>
              </w:rPr>
              <w:t>248,758</w:t>
            </w:r>
          </w:p>
        </w:tc>
        <w:tc>
          <w:tcPr>
            <w:tcW w:w="1232" w:type="dxa"/>
          </w:tcPr>
          <w:p>
            <w:pPr>
              <w:pStyle w:val="TableParagraph"/>
              <w:spacing w:before="24"/>
              <w:ind w:right="48"/>
              <w:rPr>
                <w:sz w:val="20"/>
              </w:rPr>
            </w:pPr>
            <w:r>
              <w:rPr>
                <w:sz w:val="20"/>
                <w:u w:val="single"/>
              </w:rPr>
              <w:t>240,218</w:t>
            </w:r>
          </w:p>
        </w:tc>
      </w:tr>
      <w:tr>
        <w:trPr>
          <w:trHeight w:val="254" w:hRule="exact"/>
        </w:trPr>
        <w:tc>
          <w:tcPr>
            <w:tcW w:w="5819" w:type="dxa"/>
          </w:tcPr>
          <w:p>
            <w:pPr>
              <w:pStyle w:val="TableParagraph"/>
              <w:spacing w:before="24"/>
              <w:ind w:left="410"/>
              <w:jc w:val="left"/>
              <w:rPr>
                <w:sz w:val="20"/>
              </w:rPr>
            </w:pPr>
            <w:r>
              <w:rPr>
                <w:sz w:val="20"/>
              </w:rPr>
              <w:t>Net deferred tax liability</w:t>
            </w:r>
          </w:p>
        </w:tc>
        <w:tc>
          <w:tcPr>
            <w:tcW w:w="2265" w:type="dxa"/>
          </w:tcPr>
          <w:p>
            <w:pPr>
              <w:pStyle w:val="TableParagraph"/>
              <w:spacing w:before="19"/>
              <w:ind w:right="316"/>
              <w:rPr>
                <w:b/>
                <w:sz w:val="20"/>
              </w:rPr>
            </w:pPr>
            <w:r>
              <w:rPr>
                <w:b/>
                <w:color w:val="000080"/>
                <w:sz w:val="20"/>
                <w:u w:val="thick" w:color="000080"/>
              </w:rPr>
              <w:t>$528,473</w:t>
            </w:r>
          </w:p>
        </w:tc>
        <w:tc>
          <w:tcPr>
            <w:tcW w:w="1232" w:type="dxa"/>
          </w:tcPr>
          <w:p>
            <w:pPr>
              <w:pStyle w:val="TableParagraph"/>
              <w:spacing w:before="24"/>
              <w:ind w:right="48"/>
              <w:rPr>
                <w:sz w:val="20"/>
              </w:rPr>
            </w:pPr>
            <w:r>
              <w:rPr>
                <w:sz w:val="20"/>
                <w:u w:val="thick"/>
              </w:rPr>
              <w:t>$420,138</w:t>
            </w:r>
          </w:p>
        </w:tc>
      </w:tr>
    </w:tbl>
    <w:p>
      <w:pPr>
        <w:pStyle w:val="BodyText"/>
        <w:rPr>
          <w:sz w:val="20"/>
        </w:rPr>
      </w:pPr>
    </w:p>
    <w:p>
      <w:pPr>
        <w:pStyle w:val="BodyText"/>
        <w:spacing w:before="212"/>
        <w:ind w:left="1609"/>
      </w:pPr>
      <w:r>
        <w:rPr/>
        <w:t>The provision for income taxes is composed of the following:</w:t>
      </w:r>
    </w:p>
    <w:p>
      <w:pPr>
        <w:pStyle w:val="BodyText"/>
        <w:rPr>
          <w:sz w:val="20"/>
        </w:rPr>
      </w:pPr>
    </w:p>
    <w:p>
      <w:pPr>
        <w:pStyle w:val="BodyText"/>
        <w:spacing w:before="6"/>
        <w:rPr>
          <w:sz w:val="1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2"/>
        <w:gridCol w:w="3139"/>
        <w:gridCol w:w="1434"/>
        <w:gridCol w:w="1183"/>
      </w:tblGrid>
      <w:tr>
        <w:trPr>
          <w:trHeight w:val="530" w:hRule="exact"/>
        </w:trPr>
        <w:tc>
          <w:tcPr>
            <w:tcW w:w="3642" w:type="dxa"/>
          </w:tcPr>
          <w:p>
            <w:pPr>
              <w:pStyle w:val="TableParagraph"/>
              <w:spacing w:line="230" w:lineRule="exact"/>
              <w:ind w:left="107"/>
              <w:jc w:val="left"/>
              <w:rPr>
                <w:sz w:val="20"/>
              </w:rPr>
            </w:pPr>
            <w:r>
              <w:rPr>
                <w:sz w:val="20"/>
              </w:rPr>
              <w:t>(In thousands)</w:t>
            </w:r>
          </w:p>
          <w:p>
            <w:pPr>
              <w:pStyle w:val="TableParagraph"/>
              <w:spacing w:before="43"/>
              <w:ind w:left="50"/>
              <w:jc w:val="left"/>
              <w:rPr>
                <w:b/>
                <w:sz w:val="20"/>
              </w:rPr>
            </w:pPr>
            <w:r>
              <w:rPr>
                <w:b/>
                <w:color w:val="000080"/>
                <w:sz w:val="20"/>
              </w:rPr>
              <w:t>CURRENT:</w:t>
            </w:r>
          </w:p>
        </w:tc>
        <w:tc>
          <w:tcPr>
            <w:tcW w:w="3139" w:type="dxa"/>
          </w:tcPr>
          <w:p>
            <w:pPr>
              <w:pStyle w:val="TableParagraph"/>
              <w:spacing w:line="225" w:lineRule="exact"/>
              <w:ind w:left="1975"/>
              <w:jc w:val="left"/>
              <w:rPr>
                <w:b/>
                <w:sz w:val="20"/>
              </w:rPr>
            </w:pPr>
            <w:r>
              <w:rPr>
                <w:b/>
                <w:color w:val="000080"/>
                <w:sz w:val="20"/>
              </w:rPr>
              <w:t>1998</w:t>
            </w:r>
          </w:p>
        </w:tc>
        <w:tc>
          <w:tcPr>
            <w:tcW w:w="1434" w:type="dxa"/>
          </w:tcPr>
          <w:p>
            <w:pPr>
              <w:pStyle w:val="TableParagraph"/>
              <w:spacing w:line="230" w:lineRule="exact"/>
              <w:ind w:left="300"/>
              <w:jc w:val="left"/>
              <w:rPr>
                <w:sz w:val="20"/>
              </w:rPr>
            </w:pPr>
            <w:r>
              <w:rPr>
                <w:sz w:val="20"/>
              </w:rPr>
              <w:t>1997</w:t>
            </w:r>
          </w:p>
        </w:tc>
        <w:tc>
          <w:tcPr>
            <w:tcW w:w="1183" w:type="dxa"/>
          </w:tcPr>
          <w:p>
            <w:pPr>
              <w:pStyle w:val="TableParagraph"/>
              <w:spacing w:line="230" w:lineRule="exact"/>
              <w:ind w:left="302"/>
              <w:jc w:val="left"/>
              <w:rPr>
                <w:sz w:val="20"/>
              </w:rPr>
            </w:pPr>
            <w:r>
              <w:rPr>
                <w:sz w:val="20"/>
              </w:rPr>
              <w:t>1996</w:t>
            </w:r>
          </w:p>
        </w:tc>
      </w:tr>
      <w:tr>
        <w:trPr>
          <w:trHeight w:val="281" w:hRule="exact"/>
        </w:trPr>
        <w:tc>
          <w:tcPr>
            <w:tcW w:w="3642" w:type="dxa"/>
          </w:tcPr>
          <w:p>
            <w:pPr>
              <w:pStyle w:val="TableParagraph"/>
              <w:spacing w:before="26"/>
              <w:ind w:left="232"/>
              <w:jc w:val="left"/>
              <w:rPr>
                <w:sz w:val="20"/>
              </w:rPr>
            </w:pPr>
            <w:r>
              <w:rPr>
                <w:sz w:val="20"/>
              </w:rPr>
              <w:t>Federal</w:t>
            </w:r>
          </w:p>
        </w:tc>
        <w:tc>
          <w:tcPr>
            <w:tcW w:w="3139" w:type="dxa"/>
          </w:tcPr>
          <w:p>
            <w:pPr>
              <w:pStyle w:val="TableParagraph"/>
              <w:spacing w:before="21"/>
              <w:ind w:right="299"/>
              <w:rPr>
                <w:b/>
                <w:sz w:val="20"/>
              </w:rPr>
            </w:pPr>
            <w:r>
              <w:rPr>
                <w:b/>
                <w:color w:val="000080"/>
                <w:sz w:val="20"/>
              </w:rPr>
              <w:t>$143,989</w:t>
            </w:r>
          </w:p>
        </w:tc>
        <w:tc>
          <w:tcPr>
            <w:tcW w:w="1434" w:type="dxa"/>
          </w:tcPr>
          <w:p>
            <w:pPr>
              <w:pStyle w:val="TableParagraph"/>
              <w:spacing w:before="26"/>
              <w:ind w:left="300"/>
              <w:jc w:val="left"/>
              <w:rPr>
                <w:sz w:val="20"/>
              </w:rPr>
            </w:pPr>
            <w:r>
              <w:rPr>
                <w:sz w:val="20"/>
              </w:rPr>
              <w:t>$102,938</w:t>
            </w:r>
          </w:p>
        </w:tc>
        <w:tc>
          <w:tcPr>
            <w:tcW w:w="1183" w:type="dxa"/>
          </w:tcPr>
          <w:p>
            <w:pPr>
              <w:pStyle w:val="TableParagraph"/>
              <w:spacing w:before="26"/>
              <w:ind w:right="48"/>
              <w:rPr>
                <w:sz w:val="20"/>
              </w:rPr>
            </w:pPr>
            <w:r>
              <w:rPr>
                <w:sz w:val="20"/>
              </w:rPr>
              <w:t>$59,101</w:t>
            </w:r>
          </w:p>
        </w:tc>
      </w:tr>
      <w:tr>
        <w:trPr>
          <w:trHeight w:val="278" w:hRule="exact"/>
        </w:trPr>
        <w:tc>
          <w:tcPr>
            <w:tcW w:w="3642" w:type="dxa"/>
          </w:tcPr>
          <w:p>
            <w:pPr>
              <w:pStyle w:val="TableParagraph"/>
              <w:spacing w:before="24"/>
              <w:ind w:left="232"/>
              <w:jc w:val="left"/>
              <w:rPr>
                <w:sz w:val="20"/>
              </w:rPr>
            </w:pPr>
            <w:r>
              <w:rPr>
                <w:sz w:val="20"/>
              </w:rPr>
              <w:t>State</w:t>
            </w:r>
          </w:p>
        </w:tc>
        <w:tc>
          <w:tcPr>
            <w:tcW w:w="3139" w:type="dxa"/>
          </w:tcPr>
          <w:p>
            <w:pPr>
              <w:pStyle w:val="TableParagraph"/>
              <w:spacing w:before="19"/>
              <w:ind w:right="300"/>
              <w:rPr>
                <w:b/>
                <w:sz w:val="20"/>
              </w:rPr>
            </w:pPr>
            <w:r>
              <w:rPr>
                <w:b/>
                <w:color w:val="000080"/>
                <w:sz w:val="20"/>
                <w:u w:val="single" w:color="000080"/>
              </w:rPr>
              <w:t>19,357</w:t>
            </w:r>
          </w:p>
        </w:tc>
        <w:tc>
          <w:tcPr>
            <w:tcW w:w="1434" w:type="dxa"/>
          </w:tcPr>
          <w:p>
            <w:pPr>
              <w:pStyle w:val="TableParagraph"/>
              <w:spacing w:before="24"/>
              <w:ind w:right="300"/>
              <w:rPr>
                <w:sz w:val="20"/>
              </w:rPr>
            </w:pPr>
            <w:r>
              <w:rPr>
                <w:sz w:val="20"/>
                <w:u w:val="single"/>
              </w:rPr>
              <w:t>14,535</w:t>
            </w:r>
          </w:p>
        </w:tc>
        <w:tc>
          <w:tcPr>
            <w:tcW w:w="1183" w:type="dxa"/>
          </w:tcPr>
          <w:p>
            <w:pPr>
              <w:pStyle w:val="TableParagraph"/>
              <w:spacing w:before="24"/>
              <w:ind w:right="48"/>
              <w:rPr>
                <w:sz w:val="20"/>
              </w:rPr>
            </w:pPr>
            <w:r>
              <w:rPr>
                <w:sz w:val="20"/>
                <w:u w:val="single"/>
              </w:rPr>
              <w:t>7,671</w:t>
            </w:r>
          </w:p>
        </w:tc>
      </w:tr>
      <w:tr>
        <w:trPr>
          <w:trHeight w:val="278" w:hRule="exact"/>
        </w:trPr>
        <w:tc>
          <w:tcPr>
            <w:tcW w:w="3642" w:type="dxa"/>
          </w:tcPr>
          <w:p>
            <w:pPr>
              <w:pStyle w:val="TableParagraph"/>
              <w:spacing w:before="24"/>
              <w:ind w:left="410"/>
              <w:jc w:val="left"/>
              <w:rPr>
                <w:sz w:val="20"/>
              </w:rPr>
            </w:pPr>
            <w:r>
              <w:rPr>
                <w:sz w:val="20"/>
              </w:rPr>
              <w:t>Total current</w:t>
            </w:r>
          </w:p>
        </w:tc>
        <w:tc>
          <w:tcPr>
            <w:tcW w:w="3139" w:type="dxa"/>
          </w:tcPr>
          <w:p>
            <w:pPr>
              <w:pStyle w:val="TableParagraph"/>
              <w:spacing w:before="19"/>
              <w:ind w:right="299"/>
              <w:rPr>
                <w:b/>
                <w:sz w:val="20"/>
              </w:rPr>
            </w:pPr>
            <w:r>
              <w:rPr>
                <w:b/>
                <w:color w:val="000080"/>
                <w:sz w:val="20"/>
              </w:rPr>
              <w:t>163,346</w:t>
            </w:r>
          </w:p>
        </w:tc>
        <w:tc>
          <w:tcPr>
            <w:tcW w:w="1434" w:type="dxa"/>
          </w:tcPr>
          <w:p>
            <w:pPr>
              <w:pStyle w:val="TableParagraph"/>
              <w:spacing w:before="24"/>
              <w:ind w:right="300"/>
              <w:rPr>
                <w:sz w:val="20"/>
              </w:rPr>
            </w:pPr>
            <w:r>
              <w:rPr>
                <w:sz w:val="20"/>
              </w:rPr>
              <w:t>117,473</w:t>
            </w:r>
          </w:p>
        </w:tc>
        <w:tc>
          <w:tcPr>
            <w:tcW w:w="1183" w:type="dxa"/>
          </w:tcPr>
          <w:p>
            <w:pPr>
              <w:pStyle w:val="TableParagraph"/>
              <w:spacing w:before="24"/>
              <w:ind w:right="48"/>
              <w:rPr>
                <w:sz w:val="20"/>
              </w:rPr>
            </w:pPr>
            <w:r>
              <w:rPr>
                <w:sz w:val="20"/>
              </w:rPr>
              <w:t>66,772</w:t>
            </w:r>
          </w:p>
        </w:tc>
      </w:tr>
      <w:tr>
        <w:trPr>
          <w:trHeight w:val="276" w:hRule="exact"/>
        </w:trPr>
        <w:tc>
          <w:tcPr>
            <w:tcW w:w="3642" w:type="dxa"/>
          </w:tcPr>
          <w:p>
            <w:pPr>
              <w:pStyle w:val="TableParagraph"/>
              <w:spacing w:before="19"/>
              <w:ind w:left="50"/>
              <w:jc w:val="left"/>
              <w:rPr>
                <w:b/>
                <w:sz w:val="20"/>
              </w:rPr>
            </w:pPr>
            <w:r>
              <w:rPr>
                <w:b/>
                <w:color w:val="000080"/>
                <w:sz w:val="20"/>
              </w:rPr>
              <w:t>DEFERRED:</w:t>
            </w:r>
          </w:p>
        </w:tc>
        <w:tc>
          <w:tcPr>
            <w:tcW w:w="3139" w:type="dxa"/>
          </w:tcPr>
          <w:p>
            <w:pPr/>
          </w:p>
        </w:tc>
        <w:tc>
          <w:tcPr>
            <w:tcW w:w="1434" w:type="dxa"/>
          </w:tcPr>
          <w:p>
            <w:pPr/>
          </w:p>
        </w:tc>
        <w:tc>
          <w:tcPr>
            <w:tcW w:w="1183" w:type="dxa"/>
          </w:tcPr>
          <w:p>
            <w:pPr/>
          </w:p>
        </w:tc>
      </w:tr>
      <w:tr>
        <w:trPr>
          <w:trHeight w:val="281" w:hRule="exact"/>
        </w:trPr>
        <w:tc>
          <w:tcPr>
            <w:tcW w:w="3642" w:type="dxa"/>
          </w:tcPr>
          <w:p>
            <w:pPr>
              <w:pStyle w:val="TableParagraph"/>
              <w:spacing w:before="26"/>
              <w:ind w:left="232"/>
              <w:jc w:val="left"/>
              <w:rPr>
                <w:sz w:val="20"/>
              </w:rPr>
            </w:pPr>
            <w:r>
              <w:rPr>
                <w:sz w:val="20"/>
              </w:rPr>
              <w:t>Federal</w:t>
            </w:r>
          </w:p>
        </w:tc>
        <w:tc>
          <w:tcPr>
            <w:tcW w:w="3139" w:type="dxa"/>
          </w:tcPr>
          <w:p>
            <w:pPr>
              <w:pStyle w:val="TableParagraph"/>
              <w:spacing w:before="21"/>
              <w:ind w:right="300"/>
              <w:rPr>
                <w:b/>
                <w:sz w:val="20"/>
              </w:rPr>
            </w:pPr>
            <w:r>
              <w:rPr>
                <w:b/>
                <w:color w:val="000080"/>
                <w:sz w:val="20"/>
              </w:rPr>
              <w:t>96,237</w:t>
            </w:r>
          </w:p>
        </w:tc>
        <w:tc>
          <w:tcPr>
            <w:tcW w:w="1434" w:type="dxa"/>
          </w:tcPr>
          <w:p>
            <w:pPr>
              <w:pStyle w:val="TableParagraph"/>
              <w:spacing w:before="26"/>
              <w:ind w:right="300"/>
              <w:rPr>
                <w:sz w:val="20"/>
              </w:rPr>
            </w:pPr>
            <w:r>
              <w:rPr>
                <w:sz w:val="20"/>
              </w:rPr>
              <w:t>75,990</w:t>
            </w:r>
          </w:p>
        </w:tc>
        <w:tc>
          <w:tcPr>
            <w:tcW w:w="1183" w:type="dxa"/>
          </w:tcPr>
          <w:p>
            <w:pPr>
              <w:pStyle w:val="TableParagraph"/>
              <w:spacing w:before="26"/>
              <w:ind w:right="48"/>
              <w:rPr>
                <w:sz w:val="20"/>
              </w:rPr>
            </w:pPr>
            <w:r>
              <w:rPr>
                <w:sz w:val="20"/>
              </w:rPr>
              <w:t>60,967</w:t>
            </w:r>
          </w:p>
        </w:tc>
      </w:tr>
      <w:tr>
        <w:trPr>
          <w:trHeight w:val="278" w:hRule="exact"/>
        </w:trPr>
        <w:tc>
          <w:tcPr>
            <w:tcW w:w="3642" w:type="dxa"/>
          </w:tcPr>
          <w:p>
            <w:pPr>
              <w:pStyle w:val="TableParagraph"/>
              <w:spacing w:before="24"/>
              <w:ind w:left="232"/>
              <w:jc w:val="left"/>
              <w:rPr>
                <w:sz w:val="20"/>
              </w:rPr>
            </w:pPr>
            <w:r>
              <w:rPr>
                <w:sz w:val="20"/>
              </w:rPr>
              <w:t>State</w:t>
            </w:r>
          </w:p>
        </w:tc>
        <w:tc>
          <w:tcPr>
            <w:tcW w:w="3139" w:type="dxa"/>
          </w:tcPr>
          <w:p>
            <w:pPr>
              <w:pStyle w:val="TableParagraph"/>
              <w:spacing w:before="19"/>
              <w:ind w:right="300"/>
              <w:rPr>
                <w:b/>
                <w:sz w:val="20"/>
              </w:rPr>
            </w:pPr>
            <w:r>
              <w:rPr>
                <w:b/>
                <w:color w:val="000080"/>
                <w:sz w:val="20"/>
                <w:u w:val="single" w:color="000080"/>
              </w:rPr>
              <w:t>12,098</w:t>
            </w:r>
          </w:p>
        </w:tc>
        <w:tc>
          <w:tcPr>
            <w:tcW w:w="1434" w:type="dxa"/>
          </w:tcPr>
          <w:p>
            <w:pPr>
              <w:pStyle w:val="TableParagraph"/>
              <w:spacing w:before="24"/>
              <w:ind w:right="300"/>
              <w:rPr>
                <w:sz w:val="20"/>
              </w:rPr>
            </w:pPr>
            <w:r>
              <w:rPr>
                <w:sz w:val="20"/>
                <w:u w:val="single"/>
              </w:rPr>
              <w:t>5,721</w:t>
            </w:r>
          </w:p>
        </w:tc>
        <w:tc>
          <w:tcPr>
            <w:tcW w:w="1183" w:type="dxa"/>
          </w:tcPr>
          <w:p>
            <w:pPr>
              <w:pStyle w:val="TableParagraph"/>
              <w:spacing w:before="24"/>
              <w:ind w:right="48"/>
              <w:rPr>
                <w:sz w:val="20"/>
              </w:rPr>
            </w:pPr>
            <w:r>
              <w:rPr>
                <w:sz w:val="20"/>
                <w:u w:val="single"/>
              </w:rPr>
              <w:t>6,286</w:t>
            </w:r>
          </w:p>
        </w:tc>
      </w:tr>
      <w:tr>
        <w:trPr>
          <w:trHeight w:val="278" w:hRule="exact"/>
        </w:trPr>
        <w:tc>
          <w:tcPr>
            <w:tcW w:w="3642" w:type="dxa"/>
          </w:tcPr>
          <w:p>
            <w:pPr>
              <w:pStyle w:val="TableParagraph"/>
              <w:spacing w:before="24"/>
              <w:ind w:left="410"/>
              <w:jc w:val="left"/>
              <w:rPr>
                <w:sz w:val="20"/>
              </w:rPr>
            </w:pPr>
            <w:r>
              <w:rPr>
                <w:sz w:val="20"/>
              </w:rPr>
              <w:t>Total deferred</w:t>
            </w:r>
          </w:p>
        </w:tc>
        <w:tc>
          <w:tcPr>
            <w:tcW w:w="3139" w:type="dxa"/>
          </w:tcPr>
          <w:p>
            <w:pPr>
              <w:pStyle w:val="TableParagraph"/>
              <w:spacing w:before="19"/>
              <w:ind w:right="299"/>
              <w:rPr>
                <w:b/>
                <w:sz w:val="20"/>
              </w:rPr>
            </w:pPr>
            <w:r>
              <w:rPr>
                <w:b/>
                <w:color w:val="000080"/>
                <w:sz w:val="20"/>
                <w:u w:val="single" w:color="000080"/>
              </w:rPr>
              <w:t>108,335</w:t>
            </w:r>
          </w:p>
        </w:tc>
        <w:tc>
          <w:tcPr>
            <w:tcW w:w="1434" w:type="dxa"/>
          </w:tcPr>
          <w:p>
            <w:pPr>
              <w:pStyle w:val="TableParagraph"/>
              <w:spacing w:before="24"/>
              <w:ind w:right="300"/>
              <w:rPr>
                <w:sz w:val="20"/>
              </w:rPr>
            </w:pPr>
            <w:r>
              <w:rPr>
                <w:sz w:val="20"/>
                <w:u w:val="single"/>
              </w:rPr>
              <w:t>81,711</w:t>
            </w:r>
          </w:p>
        </w:tc>
        <w:tc>
          <w:tcPr>
            <w:tcW w:w="1183" w:type="dxa"/>
          </w:tcPr>
          <w:p>
            <w:pPr>
              <w:pStyle w:val="TableParagraph"/>
              <w:spacing w:before="24"/>
              <w:ind w:right="48"/>
              <w:rPr>
                <w:sz w:val="20"/>
              </w:rPr>
            </w:pPr>
            <w:r>
              <w:rPr>
                <w:sz w:val="20"/>
                <w:u w:val="single"/>
              </w:rPr>
              <w:t>67,253</w:t>
            </w:r>
          </w:p>
        </w:tc>
      </w:tr>
      <w:tr>
        <w:trPr>
          <w:trHeight w:val="254" w:hRule="exact"/>
        </w:trPr>
        <w:tc>
          <w:tcPr>
            <w:tcW w:w="3642" w:type="dxa"/>
          </w:tcPr>
          <w:p>
            <w:pPr/>
          </w:p>
        </w:tc>
        <w:tc>
          <w:tcPr>
            <w:tcW w:w="3139" w:type="dxa"/>
          </w:tcPr>
          <w:p>
            <w:pPr>
              <w:pStyle w:val="TableParagraph"/>
              <w:spacing w:before="19"/>
              <w:ind w:right="299"/>
              <w:rPr>
                <w:b/>
                <w:sz w:val="20"/>
              </w:rPr>
            </w:pPr>
            <w:r>
              <w:rPr>
                <w:b/>
                <w:color w:val="000080"/>
                <w:sz w:val="20"/>
                <w:u w:val="thick" w:color="000080"/>
              </w:rPr>
              <w:t>$271,681</w:t>
            </w:r>
          </w:p>
        </w:tc>
        <w:tc>
          <w:tcPr>
            <w:tcW w:w="1434" w:type="dxa"/>
          </w:tcPr>
          <w:p>
            <w:pPr>
              <w:pStyle w:val="TableParagraph"/>
              <w:spacing w:before="24"/>
              <w:ind w:left="300"/>
              <w:jc w:val="left"/>
              <w:rPr>
                <w:sz w:val="20"/>
              </w:rPr>
            </w:pPr>
            <w:r>
              <w:rPr>
                <w:sz w:val="20"/>
                <w:u w:val="thick"/>
              </w:rPr>
              <w:t>$199,184</w:t>
            </w:r>
          </w:p>
        </w:tc>
        <w:tc>
          <w:tcPr>
            <w:tcW w:w="1183" w:type="dxa"/>
          </w:tcPr>
          <w:p>
            <w:pPr>
              <w:pStyle w:val="TableParagraph"/>
              <w:spacing w:before="24"/>
              <w:ind w:right="48"/>
              <w:rPr>
                <w:sz w:val="20"/>
              </w:rPr>
            </w:pPr>
            <w:r>
              <w:rPr>
                <w:sz w:val="20"/>
                <w:u w:val="thick"/>
              </w:rPr>
              <w:t>$134,025</w:t>
            </w:r>
          </w:p>
        </w:tc>
      </w:tr>
    </w:tbl>
    <w:p>
      <w:pPr>
        <w:spacing w:after="0"/>
        <w:rPr>
          <w:sz w:val="20"/>
        </w:rPr>
        <w:sectPr>
          <w:pgSz w:w="12240" w:h="15840"/>
          <w:pgMar w:header="1448" w:footer="344" w:top="1700" w:bottom="540" w:left="1280" w:right="1320"/>
        </w:sectPr>
      </w:pPr>
    </w:p>
    <w:p>
      <w:pPr>
        <w:pStyle w:val="BodyText"/>
        <w:rPr>
          <w:sz w:val="20"/>
        </w:rPr>
      </w:pPr>
    </w:p>
    <w:p>
      <w:pPr>
        <w:pStyle w:val="BodyText"/>
        <w:spacing w:line="312" w:lineRule="auto" w:before="219"/>
        <w:ind w:left="159" w:right="117" w:firstLine="187"/>
        <w:jc w:val="both"/>
      </w:pPr>
      <w:r>
        <w:rPr>
          <w:spacing w:val="2"/>
        </w:rPr>
        <w:t>The </w:t>
      </w:r>
      <w:r>
        <w:rPr/>
        <w:t>Company received a statutory notice of deficiency from the Internal Revenue Service </w:t>
      </w:r>
      <w:r>
        <w:rPr>
          <w:spacing w:val="2"/>
        </w:rPr>
        <w:t>(IRS) </w:t>
      </w:r>
      <w:r>
        <w:rPr/>
        <w:t>in July 1995 in which the IRS proposed to disallow deductions claimed by the Company on its federal income tax </w:t>
      </w:r>
      <w:r>
        <w:rPr>
          <w:spacing w:val="2"/>
        </w:rPr>
        <w:t>returns </w:t>
      </w:r>
      <w:r>
        <w:rPr/>
        <w:t>for the taxable years 1989 through 1991 for the costs of certain </w:t>
      </w:r>
      <w:r>
        <w:rPr>
          <w:spacing w:val="2"/>
        </w:rPr>
        <w:t>aircraft </w:t>
      </w:r>
      <w:r>
        <w:rPr/>
        <w:t>inspection and maintenance procedures. </w:t>
      </w:r>
      <w:r>
        <w:rPr>
          <w:spacing w:val="2"/>
        </w:rPr>
        <w:t>The </w:t>
      </w:r>
      <w:r>
        <w:rPr/>
        <w:t>IRS has proposed similar adjustments to the tax </w:t>
      </w:r>
      <w:r>
        <w:rPr>
          <w:spacing w:val="2"/>
        </w:rPr>
        <w:t>returns </w:t>
      </w:r>
      <w:r>
        <w:rPr/>
        <w:t>of numerous other members of the airline industry. In </w:t>
      </w:r>
      <w:r>
        <w:rPr>
          <w:spacing w:val="2"/>
        </w:rPr>
        <w:t>response </w:t>
      </w:r>
      <w:r>
        <w:rPr/>
        <w:t>to the statutory notice of deficiency, the Company filed a petition in the United </w:t>
      </w:r>
      <w:r>
        <w:rPr>
          <w:spacing w:val="-4"/>
        </w:rPr>
        <w:t>States </w:t>
      </w:r>
      <w:r>
        <w:rPr/>
        <w:t>Tax Court on October 30, 1997, seeking a determination that the IRS erred in disallowing the deductions claimed by the Company and that there is no deficiency in the Company’s tax </w:t>
      </w:r>
      <w:r>
        <w:rPr>
          <w:spacing w:val="2"/>
        </w:rPr>
        <w:t>liability </w:t>
      </w:r>
      <w:r>
        <w:rPr/>
        <w:t>for the taxable years in issue. It is  expected that the Tax Court’s decision will not be entered for several years. Management believes the final resolution of this controversy will not have a material adverse effect upon the results of operations of the</w:t>
      </w:r>
      <w:r>
        <w:rPr>
          <w:spacing w:val="4"/>
        </w:rPr>
        <w:t> </w:t>
      </w:r>
      <w:r>
        <w:rPr/>
        <w:t>Company.</w:t>
      </w:r>
    </w:p>
    <w:p>
      <w:pPr>
        <w:pStyle w:val="BodyText"/>
        <w:spacing w:before="7"/>
        <w:rPr>
          <w:sz w:val="31"/>
        </w:rPr>
      </w:pPr>
    </w:p>
    <w:p>
      <w:pPr>
        <w:pStyle w:val="BodyText"/>
        <w:spacing w:line="312" w:lineRule="auto"/>
        <w:ind w:left="159" w:right="118" w:firstLine="187"/>
        <w:jc w:val="both"/>
      </w:pPr>
      <w:r>
        <w:rPr/>
        <w:t>The effective tax rate on income before income taxes differed from the federal income tax statutory rate for the following reasons:</w:t>
      </w:r>
    </w:p>
    <w:p>
      <w:pPr>
        <w:pStyle w:val="BodyText"/>
        <w:rPr>
          <w:sz w:val="20"/>
        </w:rPr>
      </w:pPr>
    </w:p>
    <w:p>
      <w:pPr>
        <w:pStyle w:val="BodyText"/>
        <w:spacing w:before="6"/>
      </w:pPr>
    </w:p>
    <w:p>
      <w:pPr>
        <w:spacing w:before="95"/>
        <w:ind w:left="342" w:right="0" w:hanging="183"/>
        <w:jc w:val="left"/>
        <w:rPr>
          <w:sz w:val="20"/>
        </w:rPr>
      </w:pPr>
      <w:r>
        <w:rPr/>
        <w:pict>
          <v:shape style="position:absolute;margin-left:69.5pt;margin-top:-9.15527pt;width:470.15pt;height:81.150pt;mso-position-horizontal-relative:page;mso-position-vertical-relative:paragraph;z-index:611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39"/>
                    <w:gridCol w:w="1182"/>
                    <w:gridCol w:w="1451"/>
                    <w:gridCol w:w="1230"/>
                  </w:tblGrid>
                  <w:tr>
                    <w:trPr>
                      <w:trHeight w:val="393" w:hRule="exact"/>
                    </w:trPr>
                    <w:tc>
                      <w:tcPr>
                        <w:tcW w:w="6721" w:type="dxa"/>
                        <w:gridSpan w:val="2"/>
                      </w:tcPr>
                      <w:p>
                        <w:pPr>
                          <w:pStyle w:val="TableParagraph"/>
                          <w:tabs>
                            <w:tab w:pos="5589" w:val="left" w:leader="none"/>
                          </w:tabs>
                          <w:spacing w:line="230" w:lineRule="exact"/>
                          <w:ind w:left="107"/>
                          <w:jc w:val="left"/>
                          <w:rPr>
                            <w:b/>
                            <w:sz w:val="20"/>
                          </w:rPr>
                        </w:pPr>
                        <w:r>
                          <w:rPr>
                            <w:sz w:val="20"/>
                          </w:rPr>
                          <w:t>(In</w:t>
                        </w:r>
                        <w:r>
                          <w:rPr>
                            <w:spacing w:val="-7"/>
                            <w:sz w:val="20"/>
                          </w:rPr>
                          <w:t> </w:t>
                        </w:r>
                        <w:r>
                          <w:rPr>
                            <w:sz w:val="20"/>
                          </w:rPr>
                          <w:t>thousands)</w:t>
                          <w:tab/>
                        </w:r>
                        <w:r>
                          <w:rPr>
                            <w:b/>
                            <w:color w:val="000080"/>
                            <w:spacing w:val="-3"/>
                            <w:sz w:val="20"/>
                          </w:rPr>
                          <w:t>1998</w:t>
                        </w:r>
                      </w:p>
                    </w:tc>
                    <w:tc>
                      <w:tcPr>
                        <w:tcW w:w="1451" w:type="dxa"/>
                      </w:tcPr>
                      <w:p>
                        <w:pPr>
                          <w:pStyle w:val="TableParagraph"/>
                          <w:spacing w:line="230" w:lineRule="exact"/>
                          <w:ind w:left="303"/>
                          <w:jc w:val="left"/>
                          <w:rPr>
                            <w:sz w:val="20"/>
                          </w:rPr>
                        </w:pPr>
                        <w:r>
                          <w:rPr>
                            <w:sz w:val="20"/>
                          </w:rPr>
                          <w:t>1997</w:t>
                        </w:r>
                      </w:p>
                    </w:tc>
                    <w:tc>
                      <w:tcPr>
                        <w:tcW w:w="1230" w:type="dxa"/>
                      </w:tcPr>
                      <w:p>
                        <w:pPr>
                          <w:pStyle w:val="TableParagraph"/>
                          <w:spacing w:line="230" w:lineRule="exact"/>
                          <w:ind w:left="315"/>
                          <w:jc w:val="left"/>
                          <w:rPr>
                            <w:sz w:val="20"/>
                          </w:rPr>
                        </w:pPr>
                        <w:r>
                          <w:rPr>
                            <w:sz w:val="20"/>
                          </w:rPr>
                          <w:t>1996</w:t>
                        </w:r>
                      </w:p>
                    </w:tc>
                  </w:tr>
                  <w:tr>
                    <w:trPr>
                      <w:trHeight w:val="418" w:hRule="exact"/>
                    </w:trPr>
                    <w:tc>
                      <w:tcPr>
                        <w:tcW w:w="6721" w:type="dxa"/>
                        <w:gridSpan w:val="2"/>
                      </w:tcPr>
                      <w:p>
                        <w:pPr>
                          <w:pStyle w:val="TableParagraph"/>
                          <w:tabs>
                            <w:tab w:pos="5589" w:val="left" w:leader="none"/>
                          </w:tabs>
                          <w:spacing w:before="163"/>
                          <w:ind w:left="232"/>
                          <w:jc w:val="left"/>
                          <w:rPr>
                            <w:b/>
                            <w:sz w:val="20"/>
                          </w:rPr>
                        </w:pPr>
                        <w:r>
                          <w:rPr>
                            <w:sz w:val="20"/>
                          </w:rPr>
                          <w:t>U.S.</w:t>
                        </w:r>
                        <w:r>
                          <w:rPr>
                            <w:spacing w:val="5"/>
                            <w:sz w:val="20"/>
                          </w:rPr>
                          <w:t> </w:t>
                        </w:r>
                        <w:r>
                          <w:rPr>
                            <w:sz w:val="20"/>
                          </w:rPr>
                          <w:t>tax rates</w:t>
                          <w:tab/>
                        </w:r>
                        <w:r>
                          <w:rPr>
                            <w:b/>
                            <w:color w:val="000080"/>
                            <w:sz w:val="20"/>
                          </w:rPr>
                          <w:t>$246,789</w:t>
                        </w:r>
                      </w:p>
                    </w:tc>
                    <w:tc>
                      <w:tcPr>
                        <w:tcW w:w="1451" w:type="dxa"/>
                      </w:tcPr>
                      <w:p>
                        <w:pPr>
                          <w:pStyle w:val="TableParagraph"/>
                          <w:spacing w:before="163"/>
                          <w:ind w:left="303"/>
                          <w:jc w:val="left"/>
                          <w:rPr>
                            <w:sz w:val="20"/>
                          </w:rPr>
                        </w:pPr>
                        <w:r>
                          <w:rPr>
                            <w:sz w:val="20"/>
                          </w:rPr>
                          <w:t>$180,935</w:t>
                        </w:r>
                      </w:p>
                    </w:tc>
                    <w:tc>
                      <w:tcPr>
                        <w:tcW w:w="1230" w:type="dxa"/>
                      </w:tcPr>
                      <w:p>
                        <w:pPr>
                          <w:pStyle w:val="TableParagraph"/>
                          <w:spacing w:before="163"/>
                          <w:ind w:right="48"/>
                          <w:rPr>
                            <w:sz w:val="20"/>
                          </w:rPr>
                        </w:pPr>
                        <w:r>
                          <w:rPr>
                            <w:sz w:val="20"/>
                          </w:rPr>
                          <w:t>$119,477</w:t>
                        </w:r>
                      </w:p>
                    </w:tc>
                  </w:tr>
                  <w:tr>
                    <w:trPr>
                      <w:trHeight w:val="278" w:hRule="exact"/>
                    </w:trPr>
                    <w:tc>
                      <w:tcPr>
                        <w:tcW w:w="5539" w:type="dxa"/>
                      </w:tcPr>
                      <w:p>
                        <w:pPr>
                          <w:pStyle w:val="TableParagraph"/>
                          <w:spacing w:before="24"/>
                          <w:ind w:left="50"/>
                          <w:jc w:val="left"/>
                          <w:rPr>
                            <w:sz w:val="20"/>
                          </w:rPr>
                        </w:pPr>
                        <w:r>
                          <w:rPr>
                            <w:sz w:val="20"/>
                          </w:rPr>
                          <w:t>Nondeductible items</w:t>
                        </w:r>
                      </w:p>
                    </w:tc>
                    <w:tc>
                      <w:tcPr>
                        <w:tcW w:w="1182" w:type="dxa"/>
                      </w:tcPr>
                      <w:p>
                        <w:pPr>
                          <w:pStyle w:val="TableParagraph"/>
                          <w:spacing w:before="19"/>
                          <w:ind w:left="250" w:right="172"/>
                          <w:jc w:val="center"/>
                          <w:rPr>
                            <w:b/>
                            <w:sz w:val="20"/>
                          </w:rPr>
                        </w:pPr>
                        <w:r>
                          <w:rPr>
                            <w:b/>
                            <w:color w:val="000080"/>
                            <w:sz w:val="20"/>
                          </w:rPr>
                          <w:t>5,099</w:t>
                        </w:r>
                      </w:p>
                    </w:tc>
                    <w:tc>
                      <w:tcPr>
                        <w:tcW w:w="1451" w:type="dxa"/>
                      </w:tcPr>
                      <w:p>
                        <w:pPr>
                          <w:pStyle w:val="TableParagraph"/>
                          <w:spacing w:before="24"/>
                          <w:ind w:right="315"/>
                          <w:rPr>
                            <w:sz w:val="20"/>
                          </w:rPr>
                        </w:pPr>
                        <w:r>
                          <w:rPr>
                            <w:sz w:val="20"/>
                          </w:rPr>
                          <w:t>5,893</w:t>
                        </w:r>
                      </w:p>
                    </w:tc>
                    <w:tc>
                      <w:tcPr>
                        <w:tcW w:w="1230" w:type="dxa"/>
                      </w:tcPr>
                      <w:p>
                        <w:pPr>
                          <w:pStyle w:val="TableParagraph"/>
                          <w:spacing w:before="24"/>
                          <w:ind w:right="48"/>
                          <w:rPr>
                            <w:sz w:val="20"/>
                          </w:rPr>
                        </w:pPr>
                        <w:r>
                          <w:rPr>
                            <w:sz w:val="20"/>
                          </w:rPr>
                          <w:t>5,168</w:t>
                        </w:r>
                      </w:p>
                    </w:tc>
                  </w:tr>
                  <w:tr>
                    <w:trPr>
                      <w:trHeight w:val="278" w:hRule="exact"/>
                    </w:trPr>
                    <w:tc>
                      <w:tcPr>
                        <w:tcW w:w="5539" w:type="dxa"/>
                      </w:tcPr>
                      <w:p>
                        <w:pPr>
                          <w:pStyle w:val="TableParagraph"/>
                          <w:spacing w:before="24"/>
                          <w:ind w:left="50"/>
                          <w:jc w:val="left"/>
                          <w:rPr>
                            <w:sz w:val="20"/>
                          </w:rPr>
                        </w:pPr>
                        <w:r>
                          <w:rPr>
                            <w:spacing w:val="-3"/>
                            <w:sz w:val="20"/>
                          </w:rPr>
                          <w:t>State </w:t>
                        </w:r>
                        <w:r>
                          <w:rPr>
                            <w:sz w:val="20"/>
                          </w:rPr>
                          <w:t>income taxes, net of federal</w:t>
                        </w:r>
                        <w:r>
                          <w:rPr>
                            <w:spacing w:val="53"/>
                            <w:sz w:val="20"/>
                          </w:rPr>
                          <w:t> </w:t>
                        </w:r>
                        <w:r>
                          <w:rPr>
                            <w:sz w:val="20"/>
                          </w:rPr>
                          <w:t>benefit</w:t>
                        </w:r>
                      </w:p>
                    </w:tc>
                    <w:tc>
                      <w:tcPr>
                        <w:tcW w:w="1182" w:type="dxa"/>
                      </w:tcPr>
                      <w:p>
                        <w:pPr>
                          <w:pStyle w:val="TableParagraph"/>
                          <w:spacing w:before="19"/>
                          <w:ind w:left="250" w:right="280"/>
                          <w:jc w:val="center"/>
                          <w:rPr>
                            <w:b/>
                            <w:sz w:val="20"/>
                          </w:rPr>
                        </w:pPr>
                        <w:r>
                          <w:rPr>
                            <w:b/>
                            <w:color w:val="000080"/>
                            <w:sz w:val="20"/>
                          </w:rPr>
                          <w:t>20,445</w:t>
                        </w:r>
                      </w:p>
                    </w:tc>
                    <w:tc>
                      <w:tcPr>
                        <w:tcW w:w="1451" w:type="dxa"/>
                      </w:tcPr>
                      <w:p>
                        <w:pPr>
                          <w:pStyle w:val="TableParagraph"/>
                          <w:spacing w:before="24"/>
                          <w:ind w:right="315"/>
                          <w:rPr>
                            <w:sz w:val="20"/>
                          </w:rPr>
                        </w:pPr>
                        <w:r>
                          <w:rPr>
                            <w:sz w:val="20"/>
                          </w:rPr>
                          <w:t>13,166</w:t>
                        </w:r>
                      </w:p>
                    </w:tc>
                    <w:tc>
                      <w:tcPr>
                        <w:tcW w:w="1230" w:type="dxa"/>
                      </w:tcPr>
                      <w:p>
                        <w:pPr>
                          <w:pStyle w:val="TableParagraph"/>
                          <w:spacing w:before="24"/>
                          <w:ind w:right="48"/>
                          <w:rPr>
                            <w:sz w:val="20"/>
                          </w:rPr>
                        </w:pPr>
                        <w:r>
                          <w:rPr>
                            <w:sz w:val="20"/>
                          </w:rPr>
                          <w:t>9,072</w:t>
                        </w:r>
                      </w:p>
                    </w:tc>
                  </w:tr>
                  <w:tr>
                    <w:trPr>
                      <w:trHeight w:val="254" w:hRule="exact"/>
                    </w:trPr>
                    <w:tc>
                      <w:tcPr>
                        <w:tcW w:w="5539" w:type="dxa"/>
                      </w:tcPr>
                      <w:p>
                        <w:pPr>
                          <w:pStyle w:val="TableParagraph"/>
                          <w:spacing w:before="24"/>
                          <w:ind w:left="50"/>
                          <w:jc w:val="left"/>
                          <w:rPr>
                            <w:sz w:val="20"/>
                          </w:rPr>
                        </w:pPr>
                        <w:r>
                          <w:rPr>
                            <w:sz w:val="20"/>
                          </w:rPr>
                          <w:t>Other, net</w:t>
                        </w:r>
                      </w:p>
                    </w:tc>
                    <w:tc>
                      <w:tcPr>
                        <w:tcW w:w="1182" w:type="dxa"/>
                      </w:tcPr>
                      <w:p>
                        <w:pPr>
                          <w:pStyle w:val="TableParagraph"/>
                          <w:spacing w:before="19"/>
                          <w:ind w:left="250" w:right="139"/>
                          <w:jc w:val="center"/>
                          <w:rPr>
                            <w:b/>
                            <w:sz w:val="20"/>
                          </w:rPr>
                        </w:pPr>
                        <w:r>
                          <w:rPr>
                            <w:b/>
                            <w:color w:val="000080"/>
                            <w:sz w:val="20"/>
                            <w:u w:val="single" w:color="000080"/>
                          </w:rPr>
                          <w:t>(652)</w:t>
                        </w:r>
                      </w:p>
                    </w:tc>
                    <w:tc>
                      <w:tcPr>
                        <w:tcW w:w="1451" w:type="dxa"/>
                      </w:tcPr>
                      <w:p>
                        <w:pPr>
                          <w:pStyle w:val="TableParagraph"/>
                          <w:spacing w:before="24"/>
                          <w:ind w:right="313"/>
                          <w:rPr>
                            <w:sz w:val="20"/>
                          </w:rPr>
                        </w:pPr>
                        <w:r>
                          <w:rPr>
                            <w:sz w:val="20"/>
                            <w:u w:val="single"/>
                          </w:rPr>
                          <w:t>(810)</w:t>
                        </w:r>
                      </w:p>
                    </w:tc>
                    <w:tc>
                      <w:tcPr>
                        <w:tcW w:w="1230" w:type="dxa"/>
                      </w:tcPr>
                      <w:p>
                        <w:pPr>
                          <w:pStyle w:val="TableParagraph"/>
                          <w:spacing w:before="24"/>
                          <w:ind w:right="48"/>
                          <w:rPr>
                            <w:sz w:val="20"/>
                          </w:rPr>
                        </w:pPr>
                        <w:r>
                          <w:rPr>
                            <w:sz w:val="20"/>
                            <w:u w:val="single"/>
                          </w:rPr>
                          <w:t>308</w:t>
                        </w:r>
                      </w:p>
                    </w:tc>
                  </w:tr>
                </w:tbl>
                <w:p>
                  <w:pPr>
                    <w:pStyle w:val="BodyText"/>
                  </w:pPr>
                </w:p>
              </w:txbxContent>
            </v:textbox>
            <w10:wrap type="none"/>
          </v:shape>
        </w:pict>
      </w:r>
      <w:r>
        <w:rPr>
          <w:sz w:val="20"/>
        </w:rPr>
        <w:t>Tax at statutory</w:t>
      </w:r>
    </w:p>
    <w:p>
      <w:pPr>
        <w:pStyle w:val="BodyText"/>
        <w:rPr>
          <w:sz w:val="22"/>
        </w:rPr>
      </w:pPr>
    </w:p>
    <w:p>
      <w:pPr>
        <w:pStyle w:val="BodyText"/>
        <w:rPr>
          <w:sz w:val="22"/>
        </w:rPr>
      </w:pPr>
    </w:p>
    <w:p>
      <w:pPr>
        <w:pStyle w:val="BodyText"/>
        <w:rPr>
          <w:sz w:val="22"/>
        </w:rPr>
      </w:pPr>
    </w:p>
    <w:p>
      <w:pPr>
        <w:pStyle w:val="BodyText"/>
        <w:rPr>
          <w:sz w:val="22"/>
        </w:rPr>
      </w:pPr>
    </w:p>
    <w:p>
      <w:pPr>
        <w:spacing w:before="150"/>
        <w:ind w:left="342" w:right="0" w:firstLine="0"/>
        <w:jc w:val="left"/>
        <w:rPr>
          <w:sz w:val="20"/>
        </w:rPr>
      </w:pPr>
      <w:r>
        <w:rPr>
          <w:sz w:val="20"/>
        </w:rPr>
        <w:t>Total income</w:t>
      </w:r>
    </w:p>
    <w:p>
      <w:pPr>
        <w:tabs>
          <w:tab w:pos="5699" w:val="left" w:leader="none"/>
          <w:tab w:pos="7134" w:val="left" w:leader="none"/>
          <w:tab w:pos="8631" w:val="left" w:leader="none"/>
        </w:tabs>
        <w:spacing w:before="48"/>
        <w:ind w:left="520" w:right="0" w:firstLine="0"/>
        <w:jc w:val="left"/>
        <w:rPr>
          <w:sz w:val="20"/>
        </w:rPr>
      </w:pPr>
      <w:r>
        <w:rPr>
          <w:sz w:val="20"/>
        </w:rPr>
        <w:t>tax</w:t>
      </w:r>
      <w:r>
        <w:rPr>
          <w:spacing w:val="2"/>
          <w:sz w:val="20"/>
        </w:rPr>
        <w:t> </w:t>
      </w:r>
      <w:r>
        <w:rPr>
          <w:sz w:val="20"/>
        </w:rPr>
        <w:t>provision</w:t>
        <w:tab/>
      </w:r>
      <w:r>
        <w:rPr>
          <w:b/>
          <w:color w:val="000080"/>
          <w:sz w:val="20"/>
          <w:u w:val="thick" w:color="000080"/>
        </w:rPr>
        <w:t>$271,681</w:t>
      </w:r>
      <w:r>
        <w:rPr>
          <w:b/>
          <w:color w:val="000080"/>
          <w:sz w:val="20"/>
        </w:rPr>
        <w:tab/>
      </w:r>
      <w:r>
        <w:rPr>
          <w:sz w:val="20"/>
          <w:u w:val="thick"/>
        </w:rPr>
        <w:t>$199,184</w:t>
      </w:r>
      <w:r>
        <w:rPr>
          <w:sz w:val="20"/>
        </w:rPr>
        <w:tab/>
      </w:r>
      <w:r>
        <w:rPr>
          <w:sz w:val="20"/>
          <w:u w:val="thick"/>
        </w:rPr>
        <w:t>$134,025</w:t>
      </w:r>
    </w:p>
    <w:p>
      <w:pPr>
        <w:spacing w:after="0"/>
        <w:jc w:val="left"/>
        <w:rPr>
          <w:sz w:val="20"/>
        </w:rPr>
        <w:sectPr>
          <w:footerReference w:type="default" r:id="rId18"/>
          <w:pgSz w:w="12240" w:h="15840"/>
          <w:pgMar w:footer="344" w:header="1448" w:top="1700" w:bottom="540" w:left="1280" w:right="1320"/>
        </w:sectPr>
      </w:pPr>
    </w:p>
    <w:p>
      <w:pPr>
        <w:pStyle w:val="BodyText"/>
        <w:rPr>
          <w:sz w:val="20"/>
        </w:rPr>
      </w:pPr>
    </w:p>
    <w:p>
      <w:pPr>
        <w:pStyle w:val="Heading4"/>
        <w:numPr>
          <w:ilvl w:val="0"/>
          <w:numId w:val="2"/>
        </w:numPr>
        <w:tabs>
          <w:tab w:pos="564" w:val="left" w:leader="none"/>
        </w:tabs>
        <w:spacing w:line="240" w:lineRule="auto" w:before="214" w:after="0"/>
        <w:ind w:left="563" w:right="0" w:hanging="403"/>
        <w:jc w:val="left"/>
      </w:pPr>
      <w:r>
        <w:rPr>
          <w:color w:val="000080"/>
        </w:rPr>
        <w:t>NET INCOME PER</w:t>
      </w:r>
      <w:r>
        <w:rPr>
          <w:color w:val="000080"/>
          <w:spacing w:val="-18"/>
        </w:rPr>
        <w:t> </w:t>
      </w:r>
      <w:r>
        <w:rPr>
          <w:color w:val="000080"/>
        </w:rPr>
        <w:t>SHARE</w:t>
      </w:r>
    </w:p>
    <w:p>
      <w:pPr>
        <w:pStyle w:val="BodyText"/>
        <w:spacing w:line="312" w:lineRule="auto" w:before="88"/>
        <w:ind w:left="160" w:right="223" w:firstLine="187"/>
      </w:pPr>
      <w:r>
        <w:rPr>
          <w:spacing w:val="2"/>
        </w:rPr>
        <w:t>The </w:t>
      </w:r>
      <w:r>
        <w:rPr/>
        <w:t>following table sets forth the computation of basic and diluted  earnings  per share:</w:t>
      </w:r>
    </w:p>
    <w:p>
      <w:pPr>
        <w:pStyle w:val="BodyText"/>
        <w:rPr>
          <w:sz w:val="20"/>
        </w:rPr>
      </w:pPr>
    </w:p>
    <w:p>
      <w:pPr>
        <w:pStyle w:val="BodyText"/>
        <w:rPr>
          <w:sz w:val="20"/>
        </w:rPr>
      </w:pPr>
    </w:p>
    <w:p>
      <w:pPr>
        <w:pStyle w:val="BodyText"/>
        <w:spacing w:before="8"/>
        <w:rPr>
          <w:sz w:val="28"/>
        </w:rPr>
      </w:pPr>
    </w:p>
    <w:p>
      <w:pPr>
        <w:spacing w:before="95"/>
        <w:ind w:left="342" w:right="0" w:firstLine="0"/>
        <w:jc w:val="left"/>
        <w:rPr>
          <w:sz w:val="20"/>
        </w:rPr>
      </w:pPr>
      <w:r>
        <w:rPr/>
        <w:pict>
          <v:shape style="position:absolute;margin-left:69.5pt;margin-top:-23.075283pt;width:469.9pt;height:206.4pt;mso-position-horizontal-relative:page;mso-position-vertical-relative:paragraph;z-index:613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568"/>
                    <w:gridCol w:w="1213"/>
                    <w:gridCol w:w="1434"/>
                    <w:gridCol w:w="1183"/>
                  </w:tblGrid>
                  <w:tr>
                    <w:trPr>
                      <w:trHeight w:val="672" w:hRule="exact"/>
                    </w:trPr>
                    <w:tc>
                      <w:tcPr>
                        <w:tcW w:w="6781" w:type="dxa"/>
                        <w:gridSpan w:val="2"/>
                      </w:tcPr>
                      <w:p>
                        <w:pPr>
                          <w:pStyle w:val="TableParagraph"/>
                          <w:tabs>
                            <w:tab w:pos="5617" w:val="left" w:leader="none"/>
                          </w:tabs>
                          <w:spacing w:line="285" w:lineRule="auto"/>
                          <w:ind w:left="49" w:right="721" w:firstLine="57"/>
                          <w:jc w:val="left"/>
                          <w:rPr>
                            <w:b/>
                            <w:sz w:val="20"/>
                          </w:rPr>
                        </w:pPr>
                        <w:r>
                          <w:rPr>
                            <w:sz w:val="20"/>
                          </w:rPr>
                          <w:t>(In thousands </w:t>
                        </w:r>
                        <w:r>
                          <w:rPr>
                            <w:spacing w:val="-3"/>
                            <w:sz w:val="20"/>
                          </w:rPr>
                          <w:t>except </w:t>
                        </w:r>
                        <w:r>
                          <w:rPr>
                            <w:sz w:val="20"/>
                          </w:rPr>
                          <w:t>per</w:t>
                        </w:r>
                        <w:r>
                          <w:rPr>
                            <w:spacing w:val="2"/>
                            <w:sz w:val="20"/>
                          </w:rPr>
                          <w:t> </w:t>
                        </w:r>
                        <w:r>
                          <w:rPr>
                            <w:sz w:val="20"/>
                          </w:rPr>
                          <w:t>share</w:t>
                        </w:r>
                        <w:r>
                          <w:rPr>
                            <w:spacing w:val="4"/>
                            <w:sz w:val="20"/>
                          </w:rPr>
                          <w:t> </w:t>
                        </w:r>
                        <w:r>
                          <w:rPr>
                            <w:sz w:val="20"/>
                          </w:rPr>
                          <w:t>amounts)</w:t>
                          <w:tab/>
                        </w:r>
                        <w:r>
                          <w:rPr>
                            <w:b/>
                            <w:color w:val="000080"/>
                            <w:spacing w:val="-3"/>
                            <w:sz w:val="20"/>
                          </w:rPr>
                          <w:t>1998 </w:t>
                        </w:r>
                        <w:r>
                          <w:rPr>
                            <w:b/>
                            <w:color w:val="000080"/>
                            <w:sz w:val="20"/>
                          </w:rPr>
                          <w:t>NUMERATOR:</w:t>
                        </w:r>
                      </w:p>
                    </w:tc>
                    <w:tc>
                      <w:tcPr>
                        <w:tcW w:w="1434" w:type="dxa"/>
                      </w:tcPr>
                      <w:p>
                        <w:pPr>
                          <w:pStyle w:val="TableParagraph"/>
                          <w:spacing w:line="230" w:lineRule="exact"/>
                          <w:ind w:left="300"/>
                          <w:jc w:val="left"/>
                          <w:rPr>
                            <w:sz w:val="20"/>
                          </w:rPr>
                        </w:pPr>
                        <w:r>
                          <w:rPr>
                            <w:sz w:val="20"/>
                          </w:rPr>
                          <w:t>1997</w:t>
                        </w:r>
                      </w:p>
                    </w:tc>
                    <w:tc>
                      <w:tcPr>
                        <w:tcW w:w="1183" w:type="dxa"/>
                      </w:tcPr>
                      <w:p>
                        <w:pPr>
                          <w:pStyle w:val="TableParagraph"/>
                          <w:spacing w:line="230" w:lineRule="exact"/>
                          <w:ind w:left="302"/>
                          <w:jc w:val="left"/>
                          <w:rPr>
                            <w:sz w:val="20"/>
                          </w:rPr>
                        </w:pPr>
                        <w:r>
                          <w:rPr>
                            <w:sz w:val="20"/>
                          </w:rPr>
                          <w:t>1996</w:t>
                        </w:r>
                      </w:p>
                    </w:tc>
                  </w:tr>
                  <w:tr>
                    <w:trPr>
                      <w:trHeight w:val="835" w:hRule="exact"/>
                    </w:trPr>
                    <w:tc>
                      <w:tcPr>
                        <w:tcW w:w="6781" w:type="dxa"/>
                        <w:gridSpan w:val="2"/>
                      </w:tcPr>
                      <w:p>
                        <w:pPr>
                          <w:pStyle w:val="TableParagraph"/>
                          <w:spacing w:before="163"/>
                          <w:ind w:left="409"/>
                          <w:jc w:val="left"/>
                          <w:rPr>
                            <w:sz w:val="20"/>
                          </w:rPr>
                        </w:pPr>
                        <w:r>
                          <w:rPr>
                            <w:sz w:val="20"/>
                          </w:rPr>
                          <w:t>numerator for basic and diluted earnings per share</w:t>
                        </w:r>
                      </w:p>
                      <w:p>
                        <w:pPr>
                          <w:pStyle w:val="TableParagraph"/>
                          <w:spacing w:before="43"/>
                          <w:ind w:right="299"/>
                          <w:rPr>
                            <w:b/>
                            <w:sz w:val="20"/>
                          </w:rPr>
                        </w:pPr>
                        <w:r>
                          <w:rPr>
                            <w:b/>
                            <w:color w:val="000080"/>
                            <w:sz w:val="20"/>
                            <w:u w:val="thick" w:color="000080"/>
                          </w:rPr>
                          <w:t>$433,431</w:t>
                        </w:r>
                      </w:p>
                    </w:tc>
                    <w:tc>
                      <w:tcPr>
                        <w:tcW w:w="1434" w:type="dxa"/>
                      </w:tcPr>
                      <w:p>
                        <w:pPr>
                          <w:pStyle w:val="TableParagraph"/>
                          <w:jc w:val="left"/>
                          <w:rPr>
                            <w:sz w:val="22"/>
                          </w:rPr>
                        </w:pPr>
                      </w:p>
                      <w:p>
                        <w:pPr>
                          <w:pStyle w:val="TableParagraph"/>
                          <w:spacing w:before="188"/>
                          <w:ind w:left="300"/>
                          <w:jc w:val="left"/>
                          <w:rPr>
                            <w:sz w:val="20"/>
                          </w:rPr>
                        </w:pPr>
                        <w:r>
                          <w:rPr>
                            <w:sz w:val="20"/>
                            <w:u w:val="thick"/>
                          </w:rPr>
                          <w:t>$317,772</w:t>
                        </w:r>
                      </w:p>
                    </w:tc>
                    <w:tc>
                      <w:tcPr>
                        <w:tcW w:w="1183" w:type="dxa"/>
                      </w:tcPr>
                      <w:p>
                        <w:pPr>
                          <w:pStyle w:val="TableParagraph"/>
                          <w:jc w:val="left"/>
                          <w:rPr>
                            <w:sz w:val="22"/>
                          </w:rPr>
                        </w:pPr>
                      </w:p>
                      <w:p>
                        <w:pPr>
                          <w:pStyle w:val="TableParagraph"/>
                          <w:spacing w:before="188"/>
                          <w:ind w:right="48"/>
                          <w:rPr>
                            <w:sz w:val="20"/>
                          </w:rPr>
                        </w:pPr>
                        <w:r>
                          <w:rPr>
                            <w:sz w:val="20"/>
                            <w:u w:val="thick"/>
                          </w:rPr>
                          <w:t>$207,337</w:t>
                        </w:r>
                      </w:p>
                    </w:tc>
                  </w:tr>
                  <w:tr>
                    <w:trPr>
                      <w:trHeight w:val="696" w:hRule="exact"/>
                    </w:trPr>
                    <w:tc>
                      <w:tcPr>
                        <w:tcW w:w="5568" w:type="dxa"/>
                      </w:tcPr>
                      <w:p>
                        <w:pPr>
                          <w:pStyle w:val="TableParagraph"/>
                          <w:spacing w:before="158"/>
                          <w:ind w:left="50"/>
                          <w:jc w:val="left"/>
                          <w:rPr>
                            <w:b/>
                            <w:sz w:val="20"/>
                          </w:rPr>
                        </w:pPr>
                        <w:r>
                          <w:rPr>
                            <w:b/>
                            <w:color w:val="000080"/>
                            <w:sz w:val="20"/>
                          </w:rPr>
                          <w:t>DENOMINATOR:</w:t>
                        </w:r>
                      </w:p>
                      <w:p>
                        <w:pPr>
                          <w:pStyle w:val="TableParagraph"/>
                          <w:spacing w:before="53"/>
                          <w:ind w:left="237"/>
                          <w:jc w:val="left"/>
                          <w:rPr>
                            <w:sz w:val="20"/>
                          </w:rPr>
                        </w:pPr>
                        <w:r>
                          <w:rPr>
                            <w:sz w:val="20"/>
                          </w:rPr>
                          <w:t>Weighted-average shares outstanding, basic</w:t>
                        </w:r>
                      </w:p>
                    </w:tc>
                    <w:tc>
                      <w:tcPr>
                        <w:tcW w:w="1213" w:type="dxa"/>
                      </w:tcPr>
                      <w:p>
                        <w:pPr>
                          <w:pStyle w:val="TableParagraph"/>
                          <w:jc w:val="left"/>
                          <w:rPr>
                            <w:sz w:val="22"/>
                          </w:rPr>
                        </w:pPr>
                      </w:p>
                      <w:p>
                        <w:pPr>
                          <w:pStyle w:val="TableParagraph"/>
                          <w:spacing w:before="183"/>
                          <w:ind w:right="299"/>
                          <w:rPr>
                            <w:b/>
                            <w:sz w:val="20"/>
                          </w:rPr>
                        </w:pPr>
                        <w:r>
                          <w:rPr>
                            <w:b/>
                            <w:color w:val="000080"/>
                            <w:sz w:val="20"/>
                          </w:rPr>
                          <w:t>333,342</w:t>
                        </w:r>
                      </w:p>
                    </w:tc>
                    <w:tc>
                      <w:tcPr>
                        <w:tcW w:w="1434" w:type="dxa"/>
                      </w:tcPr>
                      <w:p>
                        <w:pPr>
                          <w:pStyle w:val="TableParagraph"/>
                          <w:jc w:val="left"/>
                          <w:rPr>
                            <w:sz w:val="22"/>
                          </w:rPr>
                        </w:pPr>
                      </w:p>
                      <w:p>
                        <w:pPr>
                          <w:pStyle w:val="TableParagraph"/>
                          <w:spacing w:before="188"/>
                          <w:ind w:right="300"/>
                          <w:rPr>
                            <w:sz w:val="20"/>
                          </w:rPr>
                        </w:pPr>
                        <w:r>
                          <w:rPr>
                            <w:sz w:val="20"/>
                          </w:rPr>
                          <w:t>328,631</w:t>
                        </w:r>
                      </w:p>
                    </w:tc>
                    <w:tc>
                      <w:tcPr>
                        <w:tcW w:w="1183" w:type="dxa"/>
                      </w:tcPr>
                      <w:p>
                        <w:pPr>
                          <w:pStyle w:val="TableParagraph"/>
                          <w:jc w:val="left"/>
                          <w:rPr>
                            <w:sz w:val="22"/>
                          </w:rPr>
                        </w:pPr>
                      </w:p>
                      <w:p>
                        <w:pPr>
                          <w:pStyle w:val="TableParagraph"/>
                          <w:spacing w:before="188"/>
                          <w:ind w:right="48"/>
                          <w:rPr>
                            <w:sz w:val="20"/>
                          </w:rPr>
                        </w:pPr>
                        <w:r>
                          <w:rPr>
                            <w:sz w:val="20"/>
                          </w:rPr>
                          <w:t>325,676</w:t>
                        </w:r>
                      </w:p>
                    </w:tc>
                  </w:tr>
                  <w:tr>
                    <w:trPr>
                      <w:trHeight w:val="281" w:hRule="exact"/>
                    </w:trPr>
                    <w:tc>
                      <w:tcPr>
                        <w:tcW w:w="5568" w:type="dxa"/>
                      </w:tcPr>
                      <w:p>
                        <w:pPr>
                          <w:pStyle w:val="TableParagraph"/>
                          <w:spacing w:before="24"/>
                          <w:ind w:left="237"/>
                          <w:jc w:val="left"/>
                          <w:rPr>
                            <w:sz w:val="20"/>
                          </w:rPr>
                        </w:pPr>
                        <w:r>
                          <w:rPr>
                            <w:sz w:val="20"/>
                          </w:rPr>
                          <w:t>Dilutive effect of Employee stock options</w:t>
                        </w:r>
                      </w:p>
                    </w:tc>
                    <w:tc>
                      <w:tcPr>
                        <w:tcW w:w="1213" w:type="dxa"/>
                      </w:tcPr>
                      <w:p>
                        <w:pPr>
                          <w:pStyle w:val="TableParagraph"/>
                          <w:spacing w:before="19"/>
                          <w:ind w:right="299"/>
                          <w:rPr>
                            <w:b/>
                            <w:sz w:val="20"/>
                          </w:rPr>
                        </w:pPr>
                        <w:r>
                          <w:rPr>
                            <w:b/>
                            <w:color w:val="000080"/>
                            <w:sz w:val="20"/>
                            <w:u w:val="single" w:color="000080"/>
                          </w:rPr>
                          <w:t>19,824</w:t>
                        </w:r>
                      </w:p>
                    </w:tc>
                    <w:tc>
                      <w:tcPr>
                        <w:tcW w:w="1434" w:type="dxa"/>
                      </w:tcPr>
                      <w:p>
                        <w:pPr>
                          <w:pStyle w:val="TableParagraph"/>
                          <w:spacing w:before="24"/>
                          <w:ind w:right="300"/>
                          <w:rPr>
                            <w:sz w:val="20"/>
                          </w:rPr>
                        </w:pPr>
                        <w:r>
                          <w:rPr>
                            <w:sz w:val="20"/>
                            <w:u w:val="single"/>
                          </w:rPr>
                          <w:t>12,557</w:t>
                        </w:r>
                      </w:p>
                    </w:tc>
                    <w:tc>
                      <w:tcPr>
                        <w:tcW w:w="1183" w:type="dxa"/>
                      </w:tcPr>
                      <w:p>
                        <w:pPr>
                          <w:pStyle w:val="TableParagraph"/>
                          <w:spacing w:before="24"/>
                          <w:ind w:right="48"/>
                          <w:rPr>
                            <w:sz w:val="20"/>
                          </w:rPr>
                        </w:pPr>
                        <w:r>
                          <w:rPr>
                            <w:sz w:val="20"/>
                            <w:u w:val="single"/>
                          </w:rPr>
                          <w:t>11,810</w:t>
                        </w:r>
                      </w:p>
                    </w:tc>
                  </w:tr>
                  <w:tr>
                    <w:trPr>
                      <w:trHeight w:val="530" w:hRule="exact"/>
                    </w:trPr>
                    <w:tc>
                      <w:tcPr>
                        <w:tcW w:w="5568" w:type="dxa"/>
                      </w:tcPr>
                      <w:p>
                        <w:pPr>
                          <w:pStyle w:val="TableParagraph"/>
                          <w:spacing w:line="290" w:lineRule="auto" w:before="21"/>
                          <w:ind w:left="424" w:right="1087" w:hanging="188"/>
                          <w:jc w:val="left"/>
                          <w:rPr>
                            <w:sz w:val="20"/>
                          </w:rPr>
                        </w:pPr>
                        <w:r>
                          <w:rPr>
                            <w:sz w:val="20"/>
                          </w:rPr>
                          <w:t>Adjusted weighted-average shares outstanding, diluted</w:t>
                        </w:r>
                      </w:p>
                    </w:tc>
                    <w:tc>
                      <w:tcPr>
                        <w:tcW w:w="1213" w:type="dxa"/>
                      </w:tcPr>
                      <w:p>
                        <w:pPr>
                          <w:pStyle w:val="TableParagraph"/>
                          <w:spacing w:before="7"/>
                          <w:jc w:val="left"/>
                          <w:rPr>
                            <w:sz w:val="25"/>
                          </w:rPr>
                        </w:pPr>
                      </w:p>
                      <w:p>
                        <w:pPr>
                          <w:pStyle w:val="TableParagraph"/>
                          <w:ind w:right="299"/>
                          <w:rPr>
                            <w:b/>
                            <w:sz w:val="20"/>
                          </w:rPr>
                        </w:pPr>
                        <w:r>
                          <w:rPr>
                            <w:b/>
                            <w:color w:val="000080"/>
                            <w:sz w:val="20"/>
                            <w:u w:val="thick" w:color="000080"/>
                          </w:rPr>
                          <w:t>353,166</w:t>
                        </w:r>
                      </w:p>
                    </w:tc>
                    <w:tc>
                      <w:tcPr>
                        <w:tcW w:w="1434" w:type="dxa"/>
                      </w:tcPr>
                      <w:p>
                        <w:pPr>
                          <w:pStyle w:val="TableParagraph"/>
                          <w:jc w:val="left"/>
                          <w:rPr>
                            <w:sz w:val="26"/>
                          </w:rPr>
                        </w:pPr>
                      </w:p>
                      <w:p>
                        <w:pPr>
                          <w:pStyle w:val="TableParagraph"/>
                          <w:spacing w:before="1"/>
                          <w:ind w:right="300"/>
                          <w:rPr>
                            <w:sz w:val="20"/>
                          </w:rPr>
                        </w:pPr>
                        <w:r>
                          <w:rPr>
                            <w:sz w:val="20"/>
                            <w:u w:val="thick"/>
                          </w:rPr>
                          <w:t>341,188</w:t>
                        </w:r>
                      </w:p>
                    </w:tc>
                    <w:tc>
                      <w:tcPr>
                        <w:tcW w:w="1183" w:type="dxa"/>
                      </w:tcPr>
                      <w:p>
                        <w:pPr>
                          <w:pStyle w:val="TableParagraph"/>
                          <w:jc w:val="left"/>
                          <w:rPr>
                            <w:sz w:val="26"/>
                          </w:rPr>
                        </w:pPr>
                      </w:p>
                      <w:p>
                        <w:pPr>
                          <w:pStyle w:val="TableParagraph"/>
                          <w:spacing w:before="1"/>
                          <w:ind w:right="48"/>
                          <w:rPr>
                            <w:sz w:val="20"/>
                          </w:rPr>
                        </w:pPr>
                        <w:r>
                          <w:rPr>
                            <w:sz w:val="20"/>
                            <w:u w:val="thick"/>
                          </w:rPr>
                          <w:t>337,486</w:t>
                        </w:r>
                      </w:p>
                    </w:tc>
                  </w:tr>
                  <w:tr>
                    <w:trPr>
                      <w:trHeight w:val="579" w:hRule="exact"/>
                    </w:trPr>
                    <w:tc>
                      <w:tcPr>
                        <w:tcW w:w="5568" w:type="dxa"/>
                      </w:tcPr>
                      <w:p>
                        <w:pPr>
                          <w:pStyle w:val="TableParagraph"/>
                          <w:spacing w:before="11"/>
                          <w:jc w:val="left"/>
                          <w:rPr>
                            <w:sz w:val="27"/>
                          </w:rPr>
                        </w:pPr>
                      </w:p>
                      <w:p>
                        <w:pPr>
                          <w:pStyle w:val="TableParagraph"/>
                          <w:ind w:left="50"/>
                          <w:jc w:val="left"/>
                          <w:rPr>
                            <w:b/>
                            <w:sz w:val="20"/>
                          </w:rPr>
                        </w:pPr>
                        <w:r>
                          <w:rPr>
                            <w:b/>
                            <w:color w:val="000080"/>
                            <w:sz w:val="20"/>
                          </w:rPr>
                          <w:t>NET INCOME PER SHARE:</w:t>
                        </w:r>
                      </w:p>
                    </w:tc>
                    <w:tc>
                      <w:tcPr>
                        <w:tcW w:w="1213" w:type="dxa"/>
                      </w:tcPr>
                      <w:p>
                        <w:pPr/>
                      </w:p>
                    </w:tc>
                    <w:tc>
                      <w:tcPr>
                        <w:tcW w:w="1434" w:type="dxa"/>
                      </w:tcPr>
                      <w:p>
                        <w:pPr/>
                      </w:p>
                    </w:tc>
                    <w:tc>
                      <w:tcPr>
                        <w:tcW w:w="1183" w:type="dxa"/>
                      </w:tcPr>
                      <w:p>
                        <w:pPr/>
                      </w:p>
                    </w:tc>
                  </w:tr>
                  <w:tr>
                    <w:trPr>
                      <w:trHeight w:val="281" w:hRule="exact"/>
                    </w:trPr>
                    <w:tc>
                      <w:tcPr>
                        <w:tcW w:w="5568" w:type="dxa"/>
                      </w:tcPr>
                      <w:p>
                        <w:pPr>
                          <w:pStyle w:val="TableParagraph"/>
                          <w:spacing w:before="26"/>
                          <w:ind w:left="232"/>
                          <w:jc w:val="left"/>
                          <w:rPr>
                            <w:sz w:val="20"/>
                          </w:rPr>
                        </w:pPr>
                        <w:r>
                          <w:rPr>
                            <w:sz w:val="20"/>
                          </w:rPr>
                          <w:t>Basic</w:t>
                        </w:r>
                      </w:p>
                    </w:tc>
                    <w:tc>
                      <w:tcPr>
                        <w:tcW w:w="1213" w:type="dxa"/>
                      </w:tcPr>
                      <w:p>
                        <w:pPr>
                          <w:pStyle w:val="TableParagraph"/>
                          <w:spacing w:before="21"/>
                          <w:ind w:right="298"/>
                          <w:rPr>
                            <w:b/>
                            <w:sz w:val="20"/>
                          </w:rPr>
                        </w:pPr>
                        <w:r>
                          <w:rPr>
                            <w:b/>
                            <w:color w:val="000080"/>
                            <w:sz w:val="20"/>
                            <w:u w:val="thick" w:color="000080"/>
                          </w:rPr>
                          <w:t>$1.30</w:t>
                        </w:r>
                      </w:p>
                    </w:tc>
                    <w:tc>
                      <w:tcPr>
                        <w:tcW w:w="1434" w:type="dxa"/>
                      </w:tcPr>
                      <w:p>
                        <w:pPr>
                          <w:pStyle w:val="TableParagraph"/>
                          <w:spacing w:before="26"/>
                          <w:ind w:right="300"/>
                          <w:rPr>
                            <w:sz w:val="20"/>
                          </w:rPr>
                        </w:pPr>
                        <w:r>
                          <w:rPr>
                            <w:sz w:val="20"/>
                            <w:u w:val="thick"/>
                          </w:rPr>
                          <w:t>$.97</w:t>
                        </w:r>
                      </w:p>
                    </w:tc>
                    <w:tc>
                      <w:tcPr>
                        <w:tcW w:w="1183" w:type="dxa"/>
                      </w:tcPr>
                      <w:p>
                        <w:pPr>
                          <w:pStyle w:val="TableParagraph"/>
                          <w:spacing w:before="26"/>
                          <w:ind w:right="48"/>
                          <w:rPr>
                            <w:sz w:val="20"/>
                          </w:rPr>
                        </w:pPr>
                        <w:r>
                          <w:rPr>
                            <w:sz w:val="20"/>
                            <w:u w:val="thick"/>
                          </w:rPr>
                          <w:t>$.64</w:t>
                        </w:r>
                      </w:p>
                    </w:tc>
                  </w:tr>
                  <w:tr>
                    <w:trPr>
                      <w:trHeight w:val="254" w:hRule="exact"/>
                    </w:trPr>
                    <w:tc>
                      <w:tcPr>
                        <w:tcW w:w="5568" w:type="dxa"/>
                      </w:tcPr>
                      <w:p>
                        <w:pPr>
                          <w:pStyle w:val="TableParagraph"/>
                          <w:spacing w:before="24"/>
                          <w:ind w:left="232"/>
                          <w:jc w:val="left"/>
                          <w:rPr>
                            <w:sz w:val="20"/>
                          </w:rPr>
                        </w:pPr>
                        <w:r>
                          <w:rPr>
                            <w:sz w:val="20"/>
                          </w:rPr>
                          <w:t>Diluted</w:t>
                        </w:r>
                      </w:p>
                    </w:tc>
                    <w:tc>
                      <w:tcPr>
                        <w:tcW w:w="1213" w:type="dxa"/>
                      </w:tcPr>
                      <w:p>
                        <w:pPr>
                          <w:pStyle w:val="TableParagraph"/>
                          <w:spacing w:before="19"/>
                          <w:ind w:right="298"/>
                          <w:rPr>
                            <w:b/>
                            <w:sz w:val="20"/>
                          </w:rPr>
                        </w:pPr>
                        <w:r>
                          <w:rPr>
                            <w:b/>
                            <w:color w:val="000080"/>
                            <w:w w:val="100"/>
                            <w:sz w:val="20"/>
                            <w:u w:val="thick" w:color="000080"/>
                          </w:rPr>
                          <w:t> </w:t>
                        </w:r>
                        <w:r>
                          <w:rPr>
                            <w:b/>
                            <w:color w:val="000080"/>
                            <w:sz w:val="20"/>
                            <w:u w:val="thick" w:color="000080"/>
                          </w:rPr>
                          <w:t>$1.23</w:t>
                        </w:r>
                      </w:p>
                    </w:tc>
                    <w:tc>
                      <w:tcPr>
                        <w:tcW w:w="1434" w:type="dxa"/>
                      </w:tcPr>
                      <w:p>
                        <w:pPr>
                          <w:pStyle w:val="TableParagraph"/>
                          <w:spacing w:before="24"/>
                          <w:ind w:right="300"/>
                          <w:rPr>
                            <w:sz w:val="20"/>
                          </w:rPr>
                        </w:pPr>
                        <w:r>
                          <w:rPr>
                            <w:sz w:val="20"/>
                            <w:u w:val="thick"/>
                          </w:rPr>
                          <w:t>$.93</w:t>
                        </w:r>
                      </w:p>
                    </w:tc>
                    <w:tc>
                      <w:tcPr>
                        <w:tcW w:w="1183" w:type="dxa"/>
                      </w:tcPr>
                      <w:p>
                        <w:pPr>
                          <w:pStyle w:val="TableParagraph"/>
                          <w:spacing w:before="24"/>
                          <w:ind w:right="48"/>
                          <w:rPr>
                            <w:sz w:val="20"/>
                          </w:rPr>
                        </w:pPr>
                        <w:r>
                          <w:rPr>
                            <w:sz w:val="20"/>
                            <w:u w:val="thick"/>
                          </w:rPr>
                          <w:t>$.61</w:t>
                        </w:r>
                      </w:p>
                    </w:tc>
                  </w:tr>
                </w:tbl>
                <w:p>
                  <w:pPr>
                    <w:pStyle w:val="BodyText"/>
                  </w:pPr>
                </w:p>
              </w:txbxContent>
            </v:textbox>
            <w10:wrap type="none"/>
          </v:shape>
        </w:pict>
      </w:r>
      <w:r>
        <w:rPr>
          <w:sz w:val="20"/>
        </w:rPr>
        <w:t>Net income, available to common stockholders —</w:t>
      </w:r>
    </w:p>
    <w:p>
      <w:pPr>
        <w:spacing w:after="0"/>
        <w:jc w:val="left"/>
        <w:rPr>
          <w:sz w:val="20"/>
        </w:rPr>
        <w:sectPr>
          <w:footerReference w:type="default" r:id="rId19"/>
          <w:pgSz w:w="12240" w:h="15840"/>
          <w:pgMar w:footer="344" w:header="1448" w:top="1700" w:bottom="540" w:left="1280" w:right="1320"/>
          <w:pgNumType w:start="61"/>
        </w:sectPr>
      </w:pPr>
    </w:p>
    <w:p>
      <w:pPr>
        <w:pStyle w:val="BodyText"/>
        <w:rPr>
          <w:sz w:val="20"/>
        </w:rPr>
      </w:pPr>
    </w:p>
    <w:p>
      <w:pPr>
        <w:pStyle w:val="Heading4"/>
        <w:spacing w:line="312" w:lineRule="auto" w:before="214"/>
        <w:ind w:right="5473"/>
      </w:pPr>
      <w:r>
        <w:rPr>
          <w:color w:val="808080"/>
        </w:rPr>
        <w:t>REPORT OF ERNST &amp; YOUNG LLP INDEPENDENT AUDITORS</w:t>
      </w:r>
    </w:p>
    <w:p>
      <w:pPr>
        <w:pStyle w:val="BodyText"/>
        <w:spacing w:before="7"/>
        <w:rPr>
          <w:b/>
          <w:sz w:val="31"/>
        </w:rPr>
      </w:pPr>
    </w:p>
    <w:p>
      <w:pPr>
        <w:spacing w:line="312" w:lineRule="auto" w:before="0"/>
        <w:ind w:left="100" w:right="3310" w:firstLine="0"/>
        <w:jc w:val="left"/>
        <w:rPr>
          <w:b/>
          <w:sz w:val="24"/>
        </w:rPr>
      </w:pPr>
      <w:r>
        <w:rPr>
          <w:b/>
          <w:color w:val="000080"/>
          <w:sz w:val="24"/>
        </w:rPr>
        <w:t>THE BOARD OF DIRECTORS AND SHAREHOLDERS SOUTHWEST AIRLINES CO.</w:t>
      </w:r>
    </w:p>
    <w:p>
      <w:pPr>
        <w:pStyle w:val="BodyText"/>
        <w:rPr>
          <w:b/>
          <w:sz w:val="32"/>
        </w:rPr>
      </w:pPr>
    </w:p>
    <w:p>
      <w:pPr>
        <w:pStyle w:val="BodyText"/>
        <w:spacing w:line="312" w:lineRule="auto"/>
        <w:ind w:left="100" w:right="116" w:firstLine="187"/>
        <w:jc w:val="both"/>
      </w:pPr>
      <w:r>
        <w:rPr>
          <w:spacing w:val="6"/>
        </w:rPr>
        <w:t>We </w:t>
      </w:r>
      <w:r>
        <w:rPr/>
        <w:t>have audited the accompanying consolidated balance sheets of Southwest Airlines Co. as of December 31, 1998 and 1997, and the related consolidated statements of income, stockholders’ equity, and cash flows for each of the three years  in the period ended December 31, 1998. </w:t>
      </w:r>
      <w:r>
        <w:rPr>
          <w:spacing w:val="3"/>
        </w:rPr>
        <w:t>These </w:t>
      </w:r>
      <w:r>
        <w:rPr/>
        <w:t>financial statements are the responsibility of the Company’s management. Our responsibility is to express an  opinion on these financial statements based on our</w:t>
      </w:r>
      <w:r>
        <w:rPr>
          <w:spacing w:val="21"/>
        </w:rPr>
        <w:t> </w:t>
      </w:r>
      <w:r>
        <w:rPr/>
        <w:t>audits.</w:t>
      </w:r>
    </w:p>
    <w:p>
      <w:pPr>
        <w:pStyle w:val="BodyText"/>
        <w:spacing w:before="6"/>
        <w:rPr>
          <w:sz w:val="31"/>
        </w:rPr>
      </w:pPr>
    </w:p>
    <w:p>
      <w:pPr>
        <w:pStyle w:val="BodyText"/>
        <w:spacing w:line="312" w:lineRule="auto"/>
        <w:ind w:left="100" w:right="119" w:firstLine="187"/>
        <w:jc w:val="both"/>
      </w:pPr>
      <w:r>
        <w:rPr/>
        <w:t>We conducted our audits in accordance with generally accepted auditing standards.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6"/>
        <w:rPr>
          <w:sz w:val="31"/>
        </w:rPr>
      </w:pPr>
    </w:p>
    <w:p>
      <w:pPr>
        <w:pStyle w:val="BodyText"/>
        <w:spacing w:line="312" w:lineRule="auto"/>
        <w:ind w:left="100" w:right="117" w:firstLine="187"/>
        <w:jc w:val="both"/>
      </w:pPr>
      <w:r>
        <w:rPr/>
        <w:t>In our opinion, the financial statements </w:t>
      </w:r>
      <w:r>
        <w:rPr>
          <w:spacing w:val="2"/>
        </w:rPr>
        <w:t>referred </w:t>
      </w:r>
      <w:r>
        <w:rPr/>
        <w:t>to above present fairly, in all material </w:t>
      </w:r>
      <w:r>
        <w:rPr>
          <w:spacing w:val="2"/>
        </w:rPr>
        <w:t>respects, </w:t>
      </w:r>
      <w:r>
        <w:rPr/>
        <w:t>the consolidated financial position of Southwest Airlines Co. at December 31, 1998 and 1997, and the consolidated results of its operations and its cash flows for each of the three years in the period ended December 31, 1998, in conformity with generally accepted accounting</w:t>
      </w:r>
      <w:r>
        <w:rPr>
          <w:spacing w:val="23"/>
        </w:rPr>
        <w:t> </w:t>
      </w:r>
      <w:r>
        <w:rPr/>
        <w:t>principles.</w:t>
      </w:r>
    </w:p>
    <w:p>
      <w:pPr>
        <w:pStyle w:val="BodyText"/>
        <w:spacing w:before="1"/>
        <w:rPr>
          <w:sz w:val="31"/>
        </w:rPr>
      </w:pPr>
    </w:p>
    <w:p>
      <w:pPr>
        <w:pStyle w:val="Heading4"/>
        <w:spacing w:before="1"/>
      </w:pPr>
      <w:r>
        <w:rPr/>
        <w:t>ERNST &amp; YOUNG, LLP</w:t>
      </w:r>
    </w:p>
    <w:p>
      <w:pPr>
        <w:pStyle w:val="BodyText"/>
        <w:spacing w:line="312" w:lineRule="auto" w:before="89"/>
        <w:ind w:left="100" w:right="7605"/>
      </w:pPr>
      <w:r>
        <w:rPr/>
        <w:t>Dallas, Texas January 20, 1999</w:t>
      </w:r>
    </w:p>
    <w:p>
      <w:pPr>
        <w:spacing w:after="0" w:line="312" w:lineRule="auto"/>
        <w:sectPr>
          <w:pgSz w:w="12240" w:h="15840"/>
          <w:pgMar w:header="1448" w:footer="344" w:top="1700" w:bottom="540" w:left="1340" w:right="1320"/>
        </w:sectPr>
      </w:pPr>
    </w:p>
    <w:p>
      <w:pPr>
        <w:pStyle w:val="BodyText"/>
        <w:rPr>
          <w:sz w:val="20"/>
        </w:rPr>
      </w:pPr>
    </w:p>
    <w:p>
      <w:pPr>
        <w:spacing w:after="0"/>
        <w:rPr>
          <w:sz w:val="20"/>
        </w:rPr>
        <w:sectPr>
          <w:pgSz w:w="12240" w:h="15840"/>
          <w:pgMar w:header="1448" w:footer="344" w:top="1700" w:bottom="540" w:left="1280" w:right="1320"/>
        </w:sectPr>
      </w:pPr>
    </w:p>
    <w:p>
      <w:pPr>
        <w:pStyle w:val="Heading4"/>
        <w:spacing w:before="214"/>
        <w:ind w:left="160"/>
      </w:pPr>
      <w:r>
        <w:rPr>
          <w:color w:val="808080"/>
        </w:rPr>
        <w:t>QUARTERLY FINANCIAL DATA</w:t>
      </w:r>
      <w:r>
        <w:rPr>
          <w:color w:val="808080"/>
          <w:spacing w:val="-38"/>
        </w:rPr>
        <w:t> </w:t>
      </w:r>
      <w:r>
        <w:rPr>
          <w:color w:val="808080"/>
        </w:rPr>
        <w:t>(UNAUDITED)</w:t>
      </w:r>
    </w:p>
    <w:p>
      <w:pPr>
        <w:pStyle w:val="BodyText"/>
        <w:spacing w:before="2"/>
        <w:rPr>
          <w:b/>
          <w:sz w:val="22"/>
        </w:rPr>
      </w:pPr>
    </w:p>
    <w:p>
      <w:pPr>
        <w:spacing w:before="1"/>
        <w:ind w:left="160" w:right="0" w:firstLine="0"/>
        <w:jc w:val="left"/>
        <w:rPr>
          <w:sz w:val="20"/>
        </w:rPr>
      </w:pPr>
      <w:r>
        <w:rPr>
          <w:sz w:val="20"/>
        </w:rPr>
        <w:t>(In thousands except per share amounts)</w:t>
      </w:r>
    </w:p>
    <w:p>
      <w:pPr>
        <w:pStyle w:val="BodyText"/>
        <w:rPr>
          <w:sz w:val="22"/>
        </w:rPr>
      </w:pPr>
      <w:r>
        <w:rPr/>
        <w:br w:type="column"/>
      </w:r>
      <w:r>
        <w:rPr>
          <w:sz w:val="22"/>
        </w:rPr>
      </w:r>
    </w:p>
    <w:p>
      <w:pPr>
        <w:pStyle w:val="BodyText"/>
        <w:rPr>
          <w:sz w:val="22"/>
        </w:rPr>
      </w:pPr>
    </w:p>
    <w:p>
      <w:pPr>
        <w:spacing w:before="0"/>
        <w:ind w:left="124" w:right="0" w:firstLine="0"/>
        <w:jc w:val="left"/>
        <w:rPr>
          <w:sz w:val="20"/>
        </w:rPr>
      </w:pPr>
      <w:r>
        <w:rPr>
          <w:sz w:val="20"/>
        </w:rPr>
        <w:t>THREE MONTHS ENDED</w:t>
      </w:r>
    </w:p>
    <w:p>
      <w:pPr>
        <w:spacing w:after="0"/>
        <w:jc w:val="left"/>
        <w:rPr>
          <w:sz w:val="20"/>
        </w:rPr>
        <w:sectPr>
          <w:type w:val="continuous"/>
          <w:pgSz w:w="12240" w:h="15840"/>
          <w:pgMar w:top="1680" w:bottom="540" w:left="1280" w:right="1320"/>
          <w:cols w:num="2" w:equalWidth="0">
            <w:col w:w="5362" w:space="40"/>
            <w:col w:w="4238"/>
          </w:cols>
        </w:sectPr>
      </w:pPr>
    </w:p>
    <w:p>
      <w:pPr>
        <w:tabs>
          <w:tab w:pos="5588" w:val="left" w:leader="none"/>
          <w:tab w:pos="6985" w:val="left" w:leader="none"/>
          <w:tab w:pos="8435" w:val="left" w:leader="none"/>
        </w:tabs>
        <w:spacing w:before="10" w:after="10"/>
        <w:ind w:left="4105" w:right="0" w:firstLine="0"/>
        <w:jc w:val="left"/>
        <w:rPr>
          <w:sz w:val="20"/>
        </w:rPr>
      </w:pPr>
      <w:r>
        <w:rPr>
          <w:spacing w:val="-3"/>
          <w:sz w:val="20"/>
        </w:rPr>
        <w:t>MARCH</w:t>
      </w:r>
      <w:r>
        <w:rPr>
          <w:spacing w:val="4"/>
          <w:sz w:val="20"/>
        </w:rPr>
        <w:t> </w:t>
      </w:r>
      <w:r>
        <w:rPr>
          <w:sz w:val="20"/>
        </w:rPr>
        <w:t>31</w:t>
        <w:tab/>
        <w:t>JUNE</w:t>
      </w:r>
      <w:r>
        <w:rPr>
          <w:spacing w:val="-2"/>
          <w:sz w:val="20"/>
        </w:rPr>
        <w:t> </w:t>
      </w:r>
      <w:r>
        <w:rPr>
          <w:sz w:val="20"/>
        </w:rPr>
        <w:t>30</w:t>
        <w:tab/>
      </w:r>
      <w:r>
        <w:rPr>
          <w:spacing w:val="-3"/>
          <w:sz w:val="20"/>
        </w:rPr>
        <w:t>SEPT.</w:t>
      </w:r>
      <w:r>
        <w:rPr>
          <w:spacing w:val="14"/>
          <w:sz w:val="20"/>
        </w:rPr>
        <w:t> </w:t>
      </w:r>
      <w:r>
        <w:rPr>
          <w:sz w:val="20"/>
        </w:rPr>
        <w:t>30</w:t>
        <w:tab/>
        <w:t>DEC. 31</w:t>
      </w: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556"/>
        <w:gridCol w:w="1719"/>
        <w:gridCol w:w="1428"/>
        <w:gridCol w:w="1394"/>
        <w:gridCol w:w="1224"/>
      </w:tblGrid>
      <w:tr>
        <w:trPr>
          <w:trHeight w:val="473" w:hRule="exact"/>
        </w:trPr>
        <w:tc>
          <w:tcPr>
            <w:tcW w:w="3556" w:type="dxa"/>
          </w:tcPr>
          <w:p>
            <w:pPr>
              <w:pStyle w:val="TableParagraph"/>
              <w:spacing w:line="225" w:lineRule="exact"/>
              <w:ind w:left="50"/>
              <w:jc w:val="left"/>
              <w:rPr>
                <w:b/>
                <w:sz w:val="20"/>
              </w:rPr>
            </w:pPr>
            <w:r>
              <w:rPr>
                <w:b/>
                <w:color w:val="000080"/>
                <w:sz w:val="20"/>
              </w:rPr>
              <w:t>1998</w:t>
            </w:r>
          </w:p>
          <w:p>
            <w:pPr>
              <w:pStyle w:val="TableParagraph"/>
              <w:spacing w:before="10"/>
              <w:ind w:left="50"/>
              <w:jc w:val="left"/>
              <w:rPr>
                <w:b/>
                <w:sz w:val="20"/>
              </w:rPr>
            </w:pPr>
            <w:r>
              <w:rPr>
                <w:b/>
                <w:color w:val="000080"/>
                <w:sz w:val="20"/>
              </w:rPr>
              <w:t>Operating revenues</w:t>
            </w:r>
          </w:p>
        </w:tc>
        <w:tc>
          <w:tcPr>
            <w:tcW w:w="1719" w:type="dxa"/>
          </w:tcPr>
          <w:p>
            <w:pPr>
              <w:pStyle w:val="TableParagraph"/>
              <w:spacing w:before="4"/>
              <w:jc w:val="left"/>
              <w:rPr>
                <w:sz w:val="20"/>
              </w:rPr>
            </w:pPr>
          </w:p>
          <w:p>
            <w:pPr>
              <w:pStyle w:val="TableParagraph"/>
              <w:spacing w:before="1"/>
              <w:ind w:right="209"/>
              <w:rPr>
                <w:b/>
                <w:sz w:val="20"/>
              </w:rPr>
            </w:pPr>
            <w:r>
              <w:rPr>
                <w:b/>
                <w:color w:val="000080"/>
                <w:sz w:val="20"/>
              </w:rPr>
              <w:t>$942,653</w:t>
            </w:r>
          </w:p>
        </w:tc>
        <w:tc>
          <w:tcPr>
            <w:tcW w:w="1428" w:type="dxa"/>
          </w:tcPr>
          <w:p>
            <w:pPr>
              <w:pStyle w:val="TableParagraph"/>
              <w:spacing w:before="4"/>
              <w:jc w:val="left"/>
              <w:rPr>
                <w:sz w:val="20"/>
              </w:rPr>
            </w:pPr>
          </w:p>
          <w:p>
            <w:pPr>
              <w:pStyle w:val="TableParagraph"/>
              <w:spacing w:before="1"/>
              <w:ind w:right="222"/>
              <w:rPr>
                <w:b/>
                <w:sz w:val="20"/>
              </w:rPr>
            </w:pPr>
            <w:r>
              <w:rPr>
                <w:b/>
                <w:color w:val="000080"/>
                <w:sz w:val="20"/>
              </w:rPr>
              <w:t>$1,078,841</w:t>
            </w:r>
          </w:p>
        </w:tc>
        <w:tc>
          <w:tcPr>
            <w:tcW w:w="1394" w:type="dxa"/>
          </w:tcPr>
          <w:p>
            <w:pPr>
              <w:pStyle w:val="TableParagraph"/>
              <w:spacing w:before="4"/>
              <w:jc w:val="left"/>
              <w:rPr>
                <w:sz w:val="20"/>
              </w:rPr>
            </w:pPr>
          </w:p>
          <w:p>
            <w:pPr>
              <w:pStyle w:val="TableParagraph"/>
              <w:spacing w:before="1"/>
              <w:ind w:right="176"/>
              <w:rPr>
                <w:b/>
                <w:sz w:val="20"/>
              </w:rPr>
            </w:pPr>
            <w:r>
              <w:rPr>
                <w:b/>
                <w:color w:val="000080"/>
                <w:sz w:val="20"/>
              </w:rPr>
              <w:t>$1,094,830</w:t>
            </w:r>
          </w:p>
        </w:tc>
        <w:tc>
          <w:tcPr>
            <w:tcW w:w="1224" w:type="dxa"/>
          </w:tcPr>
          <w:p>
            <w:pPr>
              <w:pStyle w:val="TableParagraph"/>
              <w:spacing w:before="4"/>
              <w:jc w:val="left"/>
              <w:rPr>
                <w:sz w:val="20"/>
              </w:rPr>
            </w:pPr>
          </w:p>
          <w:p>
            <w:pPr>
              <w:pStyle w:val="TableParagraph"/>
              <w:spacing w:before="1"/>
              <w:ind w:right="51"/>
              <w:rPr>
                <w:b/>
                <w:sz w:val="20"/>
              </w:rPr>
            </w:pPr>
            <w:r>
              <w:rPr>
                <w:b/>
                <w:color w:val="000080"/>
                <w:sz w:val="20"/>
              </w:rPr>
              <w:t>$1,047,656</w:t>
            </w:r>
          </w:p>
        </w:tc>
      </w:tr>
      <w:tr>
        <w:trPr>
          <w:trHeight w:val="240" w:hRule="exact"/>
        </w:trPr>
        <w:tc>
          <w:tcPr>
            <w:tcW w:w="3556" w:type="dxa"/>
          </w:tcPr>
          <w:p>
            <w:pPr>
              <w:pStyle w:val="TableParagraph"/>
              <w:spacing w:before="2"/>
              <w:ind w:left="50"/>
              <w:jc w:val="left"/>
              <w:rPr>
                <w:b/>
                <w:sz w:val="20"/>
              </w:rPr>
            </w:pPr>
            <w:r>
              <w:rPr>
                <w:b/>
                <w:color w:val="000080"/>
                <w:sz w:val="20"/>
              </w:rPr>
              <w:t>Operating income</w:t>
            </w:r>
          </w:p>
        </w:tc>
        <w:tc>
          <w:tcPr>
            <w:tcW w:w="1719" w:type="dxa"/>
          </w:tcPr>
          <w:p>
            <w:pPr>
              <w:pStyle w:val="TableParagraph"/>
              <w:spacing w:before="2"/>
              <w:ind w:right="209"/>
              <w:rPr>
                <w:b/>
                <w:sz w:val="20"/>
              </w:rPr>
            </w:pPr>
            <w:r>
              <w:rPr>
                <w:b/>
                <w:color w:val="000080"/>
                <w:sz w:val="20"/>
              </w:rPr>
              <w:t>111,693</w:t>
            </w:r>
          </w:p>
        </w:tc>
        <w:tc>
          <w:tcPr>
            <w:tcW w:w="1428" w:type="dxa"/>
          </w:tcPr>
          <w:p>
            <w:pPr>
              <w:pStyle w:val="TableParagraph"/>
              <w:spacing w:before="2"/>
              <w:ind w:right="221"/>
              <w:rPr>
                <w:b/>
                <w:sz w:val="20"/>
              </w:rPr>
            </w:pPr>
            <w:r>
              <w:rPr>
                <w:b/>
                <w:color w:val="000080"/>
                <w:sz w:val="20"/>
              </w:rPr>
              <w:t>208,548</w:t>
            </w:r>
          </w:p>
        </w:tc>
        <w:tc>
          <w:tcPr>
            <w:tcW w:w="1394" w:type="dxa"/>
          </w:tcPr>
          <w:p>
            <w:pPr>
              <w:pStyle w:val="TableParagraph"/>
              <w:spacing w:before="2"/>
              <w:ind w:right="175"/>
              <w:rPr>
                <w:b/>
                <w:sz w:val="20"/>
              </w:rPr>
            </w:pPr>
            <w:r>
              <w:rPr>
                <w:b/>
                <w:color w:val="000080"/>
                <w:sz w:val="20"/>
              </w:rPr>
              <w:t>203,919</w:t>
            </w:r>
          </w:p>
        </w:tc>
        <w:tc>
          <w:tcPr>
            <w:tcW w:w="1224" w:type="dxa"/>
          </w:tcPr>
          <w:p>
            <w:pPr>
              <w:pStyle w:val="TableParagraph"/>
              <w:spacing w:before="2"/>
              <w:ind w:right="50"/>
              <w:rPr>
                <w:b/>
                <w:sz w:val="20"/>
              </w:rPr>
            </w:pPr>
            <w:r>
              <w:rPr>
                <w:b/>
                <w:color w:val="000080"/>
                <w:sz w:val="20"/>
              </w:rPr>
              <w:t>159,451</w:t>
            </w:r>
          </w:p>
        </w:tc>
      </w:tr>
      <w:tr>
        <w:trPr>
          <w:trHeight w:val="240" w:hRule="exact"/>
        </w:trPr>
        <w:tc>
          <w:tcPr>
            <w:tcW w:w="3556" w:type="dxa"/>
          </w:tcPr>
          <w:p>
            <w:pPr>
              <w:pStyle w:val="TableParagraph"/>
              <w:spacing w:before="2"/>
              <w:ind w:left="50"/>
              <w:jc w:val="left"/>
              <w:rPr>
                <w:b/>
                <w:sz w:val="20"/>
              </w:rPr>
            </w:pPr>
            <w:r>
              <w:rPr>
                <w:b/>
                <w:color w:val="000080"/>
                <w:sz w:val="20"/>
              </w:rPr>
              <w:t>Income before income taxes</w:t>
            </w:r>
          </w:p>
        </w:tc>
        <w:tc>
          <w:tcPr>
            <w:tcW w:w="1719" w:type="dxa"/>
          </w:tcPr>
          <w:p>
            <w:pPr>
              <w:pStyle w:val="TableParagraph"/>
              <w:spacing w:before="2"/>
              <w:ind w:right="209"/>
              <w:rPr>
                <w:b/>
                <w:sz w:val="20"/>
              </w:rPr>
            </w:pPr>
            <w:r>
              <w:rPr>
                <w:b/>
                <w:color w:val="000080"/>
                <w:sz w:val="20"/>
              </w:rPr>
              <w:t>114,057</w:t>
            </w:r>
          </w:p>
        </w:tc>
        <w:tc>
          <w:tcPr>
            <w:tcW w:w="1428" w:type="dxa"/>
          </w:tcPr>
          <w:p>
            <w:pPr>
              <w:pStyle w:val="TableParagraph"/>
              <w:spacing w:before="2"/>
              <w:ind w:right="221"/>
              <w:rPr>
                <w:b/>
                <w:sz w:val="20"/>
              </w:rPr>
            </w:pPr>
            <w:r>
              <w:rPr>
                <w:b/>
                <w:color w:val="000080"/>
                <w:sz w:val="20"/>
              </w:rPr>
              <w:t>216,547</w:t>
            </w:r>
          </w:p>
        </w:tc>
        <w:tc>
          <w:tcPr>
            <w:tcW w:w="1394" w:type="dxa"/>
          </w:tcPr>
          <w:p>
            <w:pPr>
              <w:pStyle w:val="TableParagraph"/>
              <w:spacing w:before="2"/>
              <w:ind w:right="175"/>
              <w:rPr>
                <w:b/>
                <w:sz w:val="20"/>
              </w:rPr>
            </w:pPr>
            <w:r>
              <w:rPr>
                <w:b/>
                <w:color w:val="000080"/>
                <w:sz w:val="20"/>
              </w:rPr>
              <w:t>211,055</w:t>
            </w:r>
          </w:p>
        </w:tc>
        <w:tc>
          <w:tcPr>
            <w:tcW w:w="1224" w:type="dxa"/>
          </w:tcPr>
          <w:p>
            <w:pPr>
              <w:pStyle w:val="TableParagraph"/>
              <w:spacing w:before="2"/>
              <w:ind w:right="50"/>
              <w:rPr>
                <w:b/>
                <w:sz w:val="20"/>
              </w:rPr>
            </w:pPr>
            <w:r>
              <w:rPr>
                <w:b/>
                <w:color w:val="000080"/>
                <w:sz w:val="20"/>
              </w:rPr>
              <w:t>163,453</w:t>
            </w:r>
          </w:p>
        </w:tc>
      </w:tr>
      <w:tr>
        <w:trPr>
          <w:trHeight w:val="240" w:hRule="exact"/>
        </w:trPr>
        <w:tc>
          <w:tcPr>
            <w:tcW w:w="3556" w:type="dxa"/>
          </w:tcPr>
          <w:p>
            <w:pPr>
              <w:pStyle w:val="TableParagraph"/>
              <w:spacing w:before="2"/>
              <w:ind w:left="50"/>
              <w:jc w:val="left"/>
              <w:rPr>
                <w:b/>
                <w:sz w:val="20"/>
              </w:rPr>
            </w:pPr>
            <w:r>
              <w:rPr>
                <w:b/>
                <w:color w:val="000080"/>
                <w:sz w:val="20"/>
              </w:rPr>
              <w:t>Net income</w:t>
            </w:r>
          </w:p>
        </w:tc>
        <w:tc>
          <w:tcPr>
            <w:tcW w:w="1719" w:type="dxa"/>
          </w:tcPr>
          <w:p>
            <w:pPr>
              <w:pStyle w:val="TableParagraph"/>
              <w:spacing w:before="2"/>
              <w:ind w:right="210"/>
              <w:rPr>
                <w:b/>
                <w:sz w:val="20"/>
              </w:rPr>
            </w:pPr>
            <w:r>
              <w:rPr>
                <w:b/>
                <w:color w:val="000080"/>
                <w:sz w:val="20"/>
              </w:rPr>
              <w:t>70,008</w:t>
            </w:r>
          </w:p>
        </w:tc>
        <w:tc>
          <w:tcPr>
            <w:tcW w:w="1428" w:type="dxa"/>
          </w:tcPr>
          <w:p>
            <w:pPr>
              <w:pStyle w:val="TableParagraph"/>
              <w:spacing w:before="2"/>
              <w:ind w:right="221"/>
              <w:rPr>
                <w:b/>
                <w:sz w:val="20"/>
              </w:rPr>
            </w:pPr>
            <w:r>
              <w:rPr>
                <w:b/>
                <w:color w:val="000080"/>
                <w:sz w:val="20"/>
              </w:rPr>
              <w:t>133,393</w:t>
            </w:r>
          </w:p>
        </w:tc>
        <w:tc>
          <w:tcPr>
            <w:tcW w:w="1394" w:type="dxa"/>
          </w:tcPr>
          <w:p>
            <w:pPr>
              <w:pStyle w:val="TableParagraph"/>
              <w:spacing w:before="2"/>
              <w:ind w:right="175"/>
              <w:rPr>
                <w:b/>
                <w:sz w:val="20"/>
              </w:rPr>
            </w:pPr>
            <w:r>
              <w:rPr>
                <w:b/>
                <w:color w:val="000080"/>
                <w:sz w:val="20"/>
              </w:rPr>
              <w:t>129,645</w:t>
            </w:r>
          </w:p>
        </w:tc>
        <w:tc>
          <w:tcPr>
            <w:tcW w:w="1224" w:type="dxa"/>
          </w:tcPr>
          <w:p>
            <w:pPr>
              <w:pStyle w:val="TableParagraph"/>
              <w:spacing w:before="2"/>
              <w:ind w:right="50"/>
              <w:rPr>
                <w:b/>
                <w:sz w:val="20"/>
              </w:rPr>
            </w:pPr>
            <w:r>
              <w:rPr>
                <w:b/>
                <w:color w:val="000080"/>
                <w:sz w:val="20"/>
              </w:rPr>
              <w:t>100,385</w:t>
            </w:r>
          </w:p>
        </w:tc>
      </w:tr>
      <w:tr>
        <w:trPr>
          <w:trHeight w:val="240" w:hRule="exact"/>
        </w:trPr>
        <w:tc>
          <w:tcPr>
            <w:tcW w:w="3556" w:type="dxa"/>
          </w:tcPr>
          <w:p>
            <w:pPr>
              <w:pStyle w:val="TableParagraph"/>
              <w:spacing w:before="2"/>
              <w:ind w:left="50"/>
              <w:jc w:val="left"/>
              <w:rPr>
                <w:b/>
                <w:sz w:val="20"/>
              </w:rPr>
            </w:pPr>
            <w:r>
              <w:rPr>
                <w:b/>
                <w:color w:val="000080"/>
                <w:sz w:val="20"/>
              </w:rPr>
              <w:t>Net income per share, basic</w:t>
            </w:r>
          </w:p>
        </w:tc>
        <w:tc>
          <w:tcPr>
            <w:tcW w:w="1719" w:type="dxa"/>
          </w:tcPr>
          <w:p>
            <w:pPr>
              <w:pStyle w:val="TableParagraph"/>
              <w:spacing w:before="2"/>
              <w:ind w:right="208"/>
              <w:rPr>
                <w:b/>
                <w:sz w:val="20"/>
              </w:rPr>
            </w:pPr>
            <w:r>
              <w:rPr>
                <w:b/>
                <w:color w:val="000080"/>
                <w:sz w:val="20"/>
              </w:rPr>
              <w:t>.21</w:t>
            </w:r>
          </w:p>
        </w:tc>
        <w:tc>
          <w:tcPr>
            <w:tcW w:w="1428" w:type="dxa"/>
          </w:tcPr>
          <w:p>
            <w:pPr>
              <w:pStyle w:val="TableParagraph"/>
              <w:spacing w:before="2"/>
              <w:ind w:right="220"/>
              <w:rPr>
                <w:b/>
                <w:sz w:val="20"/>
              </w:rPr>
            </w:pPr>
            <w:r>
              <w:rPr>
                <w:b/>
                <w:color w:val="000080"/>
                <w:sz w:val="20"/>
              </w:rPr>
              <w:t>.40</w:t>
            </w:r>
          </w:p>
        </w:tc>
        <w:tc>
          <w:tcPr>
            <w:tcW w:w="1394" w:type="dxa"/>
          </w:tcPr>
          <w:p>
            <w:pPr>
              <w:pStyle w:val="TableParagraph"/>
              <w:spacing w:before="2"/>
              <w:ind w:right="174"/>
              <w:rPr>
                <w:b/>
                <w:sz w:val="20"/>
              </w:rPr>
            </w:pPr>
            <w:r>
              <w:rPr>
                <w:b/>
                <w:color w:val="000080"/>
                <w:sz w:val="20"/>
              </w:rPr>
              <w:t>.39</w:t>
            </w:r>
          </w:p>
        </w:tc>
        <w:tc>
          <w:tcPr>
            <w:tcW w:w="1224" w:type="dxa"/>
          </w:tcPr>
          <w:p>
            <w:pPr>
              <w:pStyle w:val="TableParagraph"/>
              <w:spacing w:before="2"/>
              <w:ind w:right="49"/>
              <w:rPr>
                <w:b/>
                <w:sz w:val="20"/>
              </w:rPr>
            </w:pPr>
            <w:r>
              <w:rPr>
                <w:b/>
                <w:color w:val="000080"/>
                <w:sz w:val="20"/>
              </w:rPr>
              <w:t>.30</w:t>
            </w:r>
          </w:p>
        </w:tc>
      </w:tr>
      <w:tr>
        <w:trPr>
          <w:trHeight w:val="362" w:hRule="exact"/>
        </w:trPr>
        <w:tc>
          <w:tcPr>
            <w:tcW w:w="3556" w:type="dxa"/>
          </w:tcPr>
          <w:p>
            <w:pPr>
              <w:pStyle w:val="TableParagraph"/>
              <w:spacing w:before="2"/>
              <w:ind w:left="50"/>
              <w:jc w:val="left"/>
              <w:rPr>
                <w:b/>
                <w:sz w:val="20"/>
              </w:rPr>
            </w:pPr>
            <w:r>
              <w:rPr>
                <w:b/>
                <w:color w:val="000080"/>
                <w:sz w:val="20"/>
              </w:rPr>
              <w:t>Net income per share, diluted</w:t>
            </w:r>
          </w:p>
        </w:tc>
        <w:tc>
          <w:tcPr>
            <w:tcW w:w="1719" w:type="dxa"/>
          </w:tcPr>
          <w:p>
            <w:pPr>
              <w:pStyle w:val="TableParagraph"/>
              <w:spacing w:before="2"/>
              <w:ind w:right="208"/>
              <w:rPr>
                <w:b/>
                <w:sz w:val="20"/>
              </w:rPr>
            </w:pPr>
            <w:r>
              <w:rPr>
                <w:b/>
                <w:color w:val="000080"/>
                <w:sz w:val="20"/>
              </w:rPr>
              <w:t>.20</w:t>
            </w:r>
          </w:p>
        </w:tc>
        <w:tc>
          <w:tcPr>
            <w:tcW w:w="1428" w:type="dxa"/>
          </w:tcPr>
          <w:p>
            <w:pPr>
              <w:pStyle w:val="TableParagraph"/>
              <w:spacing w:before="2"/>
              <w:ind w:right="220"/>
              <w:rPr>
                <w:b/>
                <w:sz w:val="20"/>
              </w:rPr>
            </w:pPr>
            <w:r>
              <w:rPr>
                <w:b/>
                <w:color w:val="000080"/>
                <w:sz w:val="20"/>
              </w:rPr>
              <w:t>.38</w:t>
            </w:r>
          </w:p>
        </w:tc>
        <w:tc>
          <w:tcPr>
            <w:tcW w:w="1394" w:type="dxa"/>
          </w:tcPr>
          <w:p>
            <w:pPr>
              <w:pStyle w:val="TableParagraph"/>
              <w:spacing w:before="2"/>
              <w:ind w:right="174"/>
              <w:rPr>
                <w:b/>
                <w:sz w:val="20"/>
              </w:rPr>
            </w:pPr>
            <w:r>
              <w:rPr>
                <w:b/>
                <w:color w:val="000080"/>
                <w:sz w:val="20"/>
              </w:rPr>
              <w:t>.37</w:t>
            </w:r>
          </w:p>
        </w:tc>
        <w:tc>
          <w:tcPr>
            <w:tcW w:w="1224" w:type="dxa"/>
          </w:tcPr>
          <w:p>
            <w:pPr>
              <w:pStyle w:val="TableParagraph"/>
              <w:spacing w:before="2"/>
              <w:ind w:right="49"/>
              <w:rPr>
                <w:b/>
                <w:sz w:val="20"/>
              </w:rPr>
            </w:pPr>
            <w:r>
              <w:rPr>
                <w:b/>
                <w:color w:val="000080"/>
                <w:sz w:val="20"/>
              </w:rPr>
              <w:t>.29</w:t>
            </w:r>
          </w:p>
        </w:tc>
      </w:tr>
      <w:tr>
        <w:trPr>
          <w:trHeight w:val="602" w:hRule="exact"/>
        </w:trPr>
        <w:tc>
          <w:tcPr>
            <w:tcW w:w="3556" w:type="dxa"/>
          </w:tcPr>
          <w:p>
            <w:pPr>
              <w:pStyle w:val="TableParagraph"/>
              <w:spacing w:before="124"/>
              <w:ind w:left="50"/>
              <w:jc w:val="left"/>
              <w:rPr>
                <w:sz w:val="20"/>
              </w:rPr>
            </w:pPr>
            <w:r>
              <w:rPr>
                <w:sz w:val="20"/>
              </w:rPr>
              <w:t>1997</w:t>
            </w:r>
          </w:p>
          <w:p>
            <w:pPr>
              <w:pStyle w:val="TableParagraph"/>
              <w:spacing w:before="9"/>
              <w:ind w:left="50"/>
              <w:jc w:val="left"/>
              <w:rPr>
                <w:sz w:val="20"/>
              </w:rPr>
            </w:pPr>
            <w:r>
              <w:rPr>
                <w:sz w:val="20"/>
              </w:rPr>
              <w:t>Operating revenues</w:t>
            </w:r>
          </w:p>
        </w:tc>
        <w:tc>
          <w:tcPr>
            <w:tcW w:w="1719" w:type="dxa"/>
          </w:tcPr>
          <w:p>
            <w:pPr>
              <w:pStyle w:val="TableParagraph"/>
              <w:spacing w:before="8"/>
              <w:jc w:val="left"/>
              <w:rPr>
                <w:sz w:val="31"/>
              </w:rPr>
            </w:pPr>
          </w:p>
          <w:p>
            <w:pPr>
              <w:pStyle w:val="TableParagraph"/>
              <w:ind w:right="206"/>
              <w:rPr>
                <w:sz w:val="20"/>
              </w:rPr>
            </w:pPr>
            <w:r>
              <w:rPr>
                <w:sz w:val="20"/>
              </w:rPr>
              <w:t>$887,095</w:t>
            </w:r>
          </w:p>
        </w:tc>
        <w:tc>
          <w:tcPr>
            <w:tcW w:w="1428" w:type="dxa"/>
          </w:tcPr>
          <w:p>
            <w:pPr>
              <w:pStyle w:val="TableParagraph"/>
              <w:spacing w:before="8"/>
              <w:jc w:val="left"/>
              <w:rPr>
                <w:sz w:val="31"/>
              </w:rPr>
            </w:pPr>
          </w:p>
          <w:p>
            <w:pPr>
              <w:pStyle w:val="TableParagraph"/>
              <w:ind w:right="218"/>
              <w:rPr>
                <w:sz w:val="20"/>
              </w:rPr>
            </w:pPr>
            <w:r>
              <w:rPr>
                <w:sz w:val="20"/>
              </w:rPr>
              <w:t>$956,892</w:t>
            </w:r>
          </w:p>
        </w:tc>
        <w:tc>
          <w:tcPr>
            <w:tcW w:w="1394" w:type="dxa"/>
          </w:tcPr>
          <w:p>
            <w:pPr>
              <w:pStyle w:val="TableParagraph"/>
              <w:spacing w:before="8"/>
              <w:jc w:val="left"/>
              <w:rPr>
                <w:sz w:val="31"/>
              </w:rPr>
            </w:pPr>
          </w:p>
          <w:p>
            <w:pPr>
              <w:pStyle w:val="TableParagraph"/>
              <w:ind w:right="173"/>
              <w:rPr>
                <w:sz w:val="20"/>
              </w:rPr>
            </w:pPr>
            <w:r>
              <w:rPr>
                <w:sz w:val="20"/>
              </w:rPr>
              <w:t>$997,241</w:t>
            </w:r>
          </w:p>
        </w:tc>
        <w:tc>
          <w:tcPr>
            <w:tcW w:w="1224" w:type="dxa"/>
          </w:tcPr>
          <w:p>
            <w:pPr>
              <w:pStyle w:val="TableParagraph"/>
              <w:spacing w:before="8"/>
              <w:jc w:val="left"/>
              <w:rPr>
                <w:sz w:val="31"/>
              </w:rPr>
            </w:pPr>
          </w:p>
          <w:p>
            <w:pPr>
              <w:pStyle w:val="TableParagraph"/>
              <w:ind w:right="48"/>
              <w:rPr>
                <w:sz w:val="20"/>
              </w:rPr>
            </w:pPr>
            <w:r>
              <w:rPr>
                <w:sz w:val="20"/>
              </w:rPr>
              <w:t>$975,593</w:t>
            </w:r>
          </w:p>
        </w:tc>
      </w:tr>
      <w:tr>
        <w:trPr>
          <w:trHeight w:val="240" w:hRule="exact"/>
        </w:trPr>
        <w:tc>
          <w:tcPr>
            <w:tcW w:w="3556" w:type="dxa"/>
          </w:tcPr>
          <w:p>
            <w:pPr>
              <w:pStyle w:val="TableParagraph"/>
              <w:spacing w:before="2"/>
              <w:ind w:left="50"/>
              <w:jc w:val="left"/>
              <w:rPr>
                <w:sz w:val="20"/>
              </w:rPr>
            </w:pPr>
            <w:r>
              <w:rPr>
                <w:sz w:val="20"/>
              </w:rPr>
              <w:t>Operating income</w:t>
            </w:r>
          </w:p>
        </w:tc>
        <w:tc>
          <w:tcPr>
            <w:tcW w:w="1719" w:type="dxa"/>
          </w:tcPr>
          <w:p>
            <w:pPr>
              <w:pStyle w:val="TableParagraph"/>
              <w:spacing w:before="2"/>
              <w:ind w:right="206"/>
              <w:rPr>
                <w:sz w:val="20"/>
              </w:rPr>
            </w:pPr>
            <w:r>
              <w:rPr>
                <w:sz w:val="20"/>
              </w:rPr>
              <w:t>87,203</w:t>
            </w:r>
          </w:p>
        </w:tc>
        <w:tc>
          <w:tcPr>
            <w:tcW w:w="1428" w:type="dxa"/>
          </w:tcPr>
          <w:p>
            <w:pPr>
              <w:pStyle w:val="TableParagraph"/>
              <w:spacing w:before="2"/>
              <w:ind w:right="218"/>
              <w:rPr>
                <w:sz w:val="20"/>
              </w:rPr>
            </w:pPr>
            <w:r>
              <w:rPr>
                <w:sz w:val="20"/>
              </w:rPr>
              <w:t>156,407</w:t>
            </w:r>
          </w:p>
        </w:tc>
        <w:tc>
          <w:tcPr>
            <w:tcW w:w="1394" w:type="dxa"/>
          </w:tcPr>
          <w:p>
            <w:pPr>
              <w:pStyle w:val="TableParagraph"/>
              <w:spacing w:before="2"/>
              <w:ind w:right="174"/>
              <w:rPr>
                <w:sz w:val="20"/>
              </w:rPr>
            </w:pPr>
            <w:r>
              <w:rPr>
                <w:sz w:val="20"/>
              </w:rPr>
              <w:t>151,770</w:t>
            </w:r>
          </w:p>
        </w:tc>
        <w:tc>
          <w:tcPr>
            <w:tcW w:w="1224" w:type="dxa"/>
          </w:tcPr>
          <w:p>
            <w:pPr>
              <w:pStyle w:val="TableParagraph"/>
              <w:spacing w:before="2"/>
              <w:ind w:right="48"/>
              <w:rPr>
                <w:sz w:val="20"/>
              </w:rPr>
            </w:pPr>
            <w:r>
              <w:rPr>
                <w:sz w:val="20"/>
              </w:rPr>
              <w:t>128,856</w:t>
            </w:r>
          </w:p>
        </w:tc>
      </w:tr>
      <w:tr>
        <w:trPr>
          <w:trHeight w:val="240" w:hRule="exact"/>
        </w:trPr>
        <w:tc>
          <w:tcPr>
            <w:tcW w:w="3556" w:type="dxa"/>
          </w:tcPr>
          <w:p>
            <w:pPr>
              <w:pStyle w:val="TableParagraph"/>
              <w:spacing w:before="2"/>
              <w:ind w:left="50"/>
              <w:jc w:val="left"/>
              <w:rPr>
                <w:sz w:val="20"/>
              </w:rPr>
            </w:pPr>
            <w:r>
              <w:rPr>
                <w:sz w:val="20"/>
              </w:rPr>
              <w:t>Income before income taxes</w:t>
            </w:r>
          </w:p>
        </w:tc>
        <w:tc>
          <w:tcPr>
            <w:tcW w:w="1719" w:type="dxa"/>
          </w:tcPr>
          <w:p>
            <w:pPr>
              <w:pStyle w:val="TableParagraph"/>
              <w:spacing w:before="2"/>
              <w:ind w:right="206"/>
              <w:rPr>
                <w:sz w:val="20"/>
              </w:rPr>
            </w:pPr>
            <w:r>
              <w:rPr>
                <w:sz w:val="20"/>
              </w:rPr>
              <w:t>83,401</w:t>
            </w:r>
          </w:p>
        </w:tc>
        <w:tc>
          <w:tcPr>
            <w:tcW w:w="1428" w:type="dxa"/>
          </w:tcPr>
          <w:p>
            <w:pPr>
              <w:pStyle w:val="TableParagraph"/>
              <w:spacing w:before="2"/>
              <w:ind w:right="218"/>
              <w:rPr>
                <w:sz w:val="20"/>
              </w:rPr>
            </w:pPr>
            <w:r>
              <w:rPr>
                <w:sz w:val="20"/>
              </w:rPr>
              <w:t>153,823</w:t>
            </w:r>
          </w:p>
        </w:tc>
        <w:tc>
          <w:tcPr>
            <w:tcW w:w="1394" w:type="dxa"/>
          </w:tcPr>
          <w:p>
            <w:pPr>
              <w:pStyle w:val="TableParagraph"/>
              <w:spacing w:before="2"/>
              <w:ind w:right="174"/>
              <w:rPr>
                <w:sz w:val="20"/>
              </w:rPr>
            </w:pPr>
            <w:r>
              <w:rPr>
                <w:sz w:val="20"/>
              </w:rPr>
              <w:t>150,387</w:t>
            </w:r>
          </w:p>
        </w:tc>
        <w:tc>
          <w:tcPr>
            <w:tcW w:w="1224" w:type="dxa"/>
          </w:tcPr>
          <w:p>
            <w:pPr>
              <w:pStyle w:val="TableParagraph"/>
              <w:spacing w:before="2"/>
              <w:ind w:right="48"/>
              <w:rPr>
                <w:sz w:val="20"/>
              </w:rPr>
            </w:pPr>
            <w:r>
              <w:rPr>
                <w:sz w:val="20"/>
              </w:rPr>
              <w:t>129,345</w:t>
            </w:r>
          </w:p>
        </w:tc>
      </w:tr>
      <w:tr>
        <w:trPr>
          <w:trHeight w:val="240" w:hRule="exact"/>
        </w:trPr>
        <w:tc>
          <w:tcPr>
            <w:tcW w:w="3556" w:type="dxa"/>
          </w:tcPr>
          <w:p>
            <w:pPr>
              <w:pStyle w:val="TableParagraph"/>
              <w:spacing w:before="2"/>
              <w:ind w:left="50"/>
              <w:jc w:val="left"/>
              <w:rPr>
                <w:sz w:val="20"/>
              </w:rPr>
            </w:pPr>
            <w:r>
              <w:rPr>
                <w:sz w:val="20"/>
              </w:rPr>
              <w:t>Net income</w:t>
            </w:r>
          </w:p>
        </w:tc>
        <w:tc>
          <w:tcPr>
            <w:tcW w:w="1719" w:type="dxa"/>
          </w:tcPr>
          <w:p>
            <w:pPr>
              <w:pStyle w:val="TableParagraph"/>
              <w:spacing w:before="2"/>
              <w:ind w:right="206"/>
              <w:rPr>
                <w:sz w:val="20"/>
              </w:rPr>
            </w:pPr>
            <w:r>
              <w:rPr>
                <w:sz w:val="20"/>
              </w:rPr>
              <w:t>50,874</w:t>
            </w:r>
          </w:p>
        </w:tc>
        <w:tc>
          <w:tcPr>
            <w:tcW w:w="1428" w:type="dxa"/>
          </w:tcPr>
          <w:p>
            <w:pPr>
              <w:pStyle w:val="TableParagraph"/>
              <w:spacing w:before="2"/>
              <w:ind w:right="218"/>
              <w:rPr>
                <w:sz w:val="20"/>
              </w:rPr>
            </w:pPr>
            <w:r>
              <w:rPr>
                <w:sz w:val="20"/>
              </w:rPr>
              <w:t>93,832</w:t>
            </w:r>
          </w:p>
        </w:tc>
        <w:tc>
          <w:tcPr>
            <w:tcW w:w="1394" w:type="dxa"/>
          </w:tcPr>
          <w:p>
            <w:pPr>
              <w:pStyle w:val="TableParagraph"/>
              <w:spacing w:before="2"/>
              <w:ind w:right="173"/>
              <w:rPr>
                <w:sz w:val="20"/>
              </w:rPr>
            </w:pPr>
            <w:r>
              <w:rPr>
                <w:sz w:val="20"/>
              </w:rPr>
              <w:t>92,511</w:t>
            </w:r>
          </w:p>
        </w:tc>
        <w:tc>
          <w:tcPr>
            <w:tcW w:w="1224" w:type="dxa"/>
          </w:tcPr>
          <w:p>
            <w:pPr>
              <w:pStyle w:val="TableParagraph"/>
              <w:spacing w:before="2"/>
              <w:ind w:right="48"/>
              <w:rPr>
                <w:sz w:val="20"/>
              </w:rPr>
            </w:pPr>
            <w:r>
              <w:rPr>
                <w:sz w:val="20"/>
              </w:rPr>
              <w:t>80,555</w:t>
            </w:r>
          </w:p>
        </w:tc>
      </w:tr>
      <w:tr>
        <w:trPr>
          <w:trHeight w:val="240" w:hRule="exact"/>
        </w:trPr>
        <w:tc>
          <w:tcPr>
            <w:tcW w:w="3556" w:type="dxa"/>
          </w:tcPr>
          <w:p>
            <w:pPr>
              <w:pStyle w:val="TableParagraph"/>
              <w:spacing w:before="2"/>
              <w:ind w:left="50"/>
              <w:jc w:val="left"/>
              <w:rPr>
                <w:sz w:val="20"/>
              </w:rPr>
            </w:pPr>
            <w:r>
              <w:rPr>
                <w:sz w:val="20"/>
              </w:rPr>
              <w:t>Net income per share, basic</w:t>
            </w:r>
          </w:p>
        </w:tc>
        <w:tc>
          <w:tcPr>
            <w:tcW w:w="1719" w:type="dxa"/>
          </w:tcPr>
          <w:p>
            <w:pPr>
              <w:pStyle w:val="TableParagraph"/>
              <w:spacing w:before="2"/>
              <w:ind w:right="207"/>
              <w:rPr>
                <w:sz w:val="20"/>
              </w:rPr>
            </w:pPr>
            <w:r>
              <w:rPr>
                <w:sz w:val="20"/>
              </w:rPr>
              <w:t>.16</w:t>
            </w:r>
          </w:p>
        </w:tc>
        <w:tc>
          <w:tcPr>
            <w:tcW w:w="1428" w:type="dxa"/>
          </w:tcPr>
          <w:p>
            <w:pPr>
              <w:pStyle w:val="TableParagraph"/>
              <w:spacing w:before="2"/>
              <w:ind w:right="219"/>
              <w:rPr>
                <w:sz w:val="20"/>
              </w:rPr>
            </w:pPr>
            <w:r>
              <w:rPr>
                <w:sz w:val="20"/>
              </w:rPr>
              <w:t>.29</w:t>
            </w:r>
          </w:p>
        </w:tc>
        <w:tc>
          <w:tcPr>
            <w:tcW w:w="1394" w:type="dxa"/>
          </w:tcPr>
          <w:p>
            <w:pPr>
              <w:pStyle w:val="TableParagraph"/>
              <w:spacing w:before="2"/>
              <w:ind w:right="174"/>
              <w:rPr>
                <w:sz w:val="20"/>
              </w:rPr>
            </w:pPr>
            <w:r>
              <w:rPr>
                <w:sz w:val="20"/>
              </w:rPr>
              <w:t>.28</w:t>
            </w:r>
          </w:p>
        </w:tc>
        <w:tc>
          <w:tcPr>
            <w:tcW w:w="1224" w:type="dxa"/>
          </w:tcPr>
          <w:p>
            <w:pPr>
              <w:pStyle w:val="TableParagraph"/>
              <w:spacing w:before="2"/>
              <w:ind w:right="49"/>
              <w:rPr>
                <w:sz w:val="20"/>
              </w:rPr>
            </w:pPr>
            <w:r>
              <w:rPr>
                <w:sz w:val="20"/>
              </w:rPr>
              <w:t>.24</w:t>
            </w:r>
          </w:p>
        </w:tc>
      </w:tr>
      <w:tr>
        <w:trPr>
          <w:trHeight w:val="233" w:hRule="exact"/>
        </w:trPr>
        <w:tc>
          <w:tcPr>
            <w:tcW w:w="3556" w:type="dxa"/>
          </w:tcPr>
          <w:p>
            <w:pPr>
              <w:pStyle w:val="TableParagraph"/>
              <w:spacing w:before="2"/>
              <w:ind w:left="50"/>
              <w:jc w:val="left"/>
              <w:rPr>
                <w:sz w:val="20"/>
              </w:rPr>
            </w:pPr>
            <w:r>
              <w:rPr>
                <w:sz w:val="20"/>
              </w:rPr>
              <w:t>Net income per share, diluted</w:t>
            </w:r>
          </w:p>
        </w:tc>
        <w:tc>
          <w:tcPr>
            <w:tcW w:w="1719" w:type="dxa"/>
          </w:tcPr>
          <w:p>
            <w:pPr>
              <w:pStyle w:val="TableParagraph"/>
              <w:spacing w:before="2"/>
              <w:ind w:right="207"/>
              <w:rPr>
                <w:sz w:val="20"/>
              </w:rPr>
            </w:pPr>
            <w:r>
              <w:rPr>
                <w:sz w:val="20"/>
              </w:rPr>
              <w:t>.15</w:t>
            </w:r>
          </w:p>
        </w:tc>
        <w:tc>
          <w:tcPr>
            <w:tcW w:w="1428" w:type="dxa"/>
          </w:tcPr>
          <w:p>
            <w:pPr>
              <w:pStyle w:val="TableParagraph"/>
              <w:spacing w:before="2"/>
              <w:ind w:right="219"/>
              <w:rPr>
                <w:sz w:val="20"/>
              </w:rPr>
            </w:pPr>
            <w:r>
              <w:rPr>
                <w:sz w:val="20"/>
              </w:rPr>
              <w:t>.28</w:t>
            </w:r>
          </w:p>
        </w:tc>
        <w:tc>
          <w:tcPr>
            <w:tcW w:w="1394" w:type="dxa"/>
          </w:tcPr>
          <w:p>
            <w:pPr>
              <w:pStyle w:val="TableParagraph"/>
              <w:spacing w:before="2"/>
              <w:ind w:right="174"/>
              <w:rPr>
                <w:sz w:val="20"/>
              </w:rPr>
            </w:pPr>
            <w:r>
              <w:rPr>
                <w:sz w:val="20"/>
              </w:rPr>
              <w:t>.27</w:t>
            </w:r>
          </w:p>
        </w:tc>
        <w:tc>
          <w:tcPr>
            <w:tcW w:w="1224" w:type="dxa"/>
          </w:tcPr>
          <w:p>
            <w:pPr>
              <w:pStyle w:val="TableParagraph"/>
              <w:spacing w:before="2"/>
              <w:ind w:right="49"/>
              <w:rPr>
                <w:sz w:val="20"/>
              </w:rPr>
            </w:pPr>
            <w:r>
              <w:rPr>
                <w:sz w:val="20"/>
              </w:rPr>
              <w:t>.23</w:t>
            </w:r>
          </w:p>
        </w:tc>
      </w:tr>
    </w:tbl>
    <w:p>
      <w:pPr>
        <w:pStyle w:val="BodyText"/>
        <w:rPr>
          <w:sz w:val="22"/>
        </w:rPr>
      </w:pPr>
    </w:p>
    <w:p>
      <w:pPr>
        <w:pStyle w:val="Heading4"/>
        <w:spacing w:before="184"/>
        <w:ind w:left="159"/>
      </w:pPr>
      <w:bookmarkStart w:name="_TOC_250001" w:id="2"/>
      <w:bookmarkEnd w:id="2"/>
      <w:r>
        <w:rPr>
          <w:color w:val="808080"/>
        </w:rPr>
        <w:t>COMMON STOCK PRICE RANGES AND DIVIDENDS</w:t>
      </w:r>
    </w:p>
    <w:p>
      <w:pPr>
        <w:pStyle w:val="BodyText"/>
        <w:spacing w:line="312" w:lineRule="auto" w:before="88"/>
        <w:ind w:left="159" w:right="118" w:firstLine="187"/>
        <w:jc w:val="both"/>
      </w:pPr>
      <w:r>
        <w:rPr/>
        <w:t>Southwest’s common stock is listed on the New York Stock Exchange and is traded under the symbol LUV. The high and low sales prices of the common stock on the Composite Tape and the quarterly dividends per share, as adjusted for the November 1997 and July 1998 three-for-two stock splits, were:</w:t>
      </w:r>
    </w:p>
    <w:p>
      <w:pPr>
        <w:pStyle w:val="BodyText"/>
        <w:spacing w:before="8"/>
        <w:rPr>
          <w:sz w:val="25"/>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36"/>
        <w:gridCol w:w="3592"/>
        <w:gridCol w:w="1661"/>
        <w:gridCol w:w="1166"/>
      </w:tblGrid>
      <w:tr>
        <w:trPr>
          <w:trHeight w:val="230" w:hRule="exact"/>
        </w:trPr>
        <w:tc>
          <w:tcPr>
            <w:tcW w:w="2936" w:type="dxa"/>
          </w:tcPr>
          <w:p>
            <w:pPr>
              <w:pStyle w:val="TableParagraph"/>
              <w:spacing w:line="225" w:lineRule="exact"/>
              <w:ind w:left="50"/>
              <w:jc w:val="left"/>
              <w:rPr>
                <w:sz w:val="20"/>
              </w:rPr>
            </w:pPr>
            <w:r>
              <w:rPr>
                <w:sz w:val="20"/>
              </w:rPr>
              <w:t>PERIOD</w:t>
            </w:r>
          </w:p>
        </w:tc>
        <w:tc>
          <w:tcPr>
            <w:tcW w:w="3592" w:type="dxa"/>
          </w:tcPr>
          <w:p>
            <w:pPr>
              <w:pStyle w:val="TableParagraph"/>
              <w:spacing w:line="225" w:lineRule="exact"/>
              <w:ind w:left="1745"/>
              <w:jc w:val="left"/>
              <w:rPr>
                <w:sz w:val="20"/>
              </w:rPr>
            </w:pPr>
            <w:r>
              <w:rPr>
                <w:sz w:val="20"/>
              </w:rPr>
              <w:t>DIVIDENDS</w:t>
            </w:r>
          </w:p>
        </w:tc>
        <w:tc>
          <w:tcPr>
            <w:tcW w:w="1661" w:type="dxa"/>
          </w:tcPr>
          <w:p>
            <w:pPr>
              <w:pStyle w:val="TableParagraph"/>
              <w:spacing w:line="225" w:lineRule="exact"/>
              <w:ind w:left="522" w:right="381"/>
              <w:jc w:val="center"/>
              <w:rPr>
                <w:sz w:val="20"/>
              </w:rPr>
            </w:pPr>
            <w:r>
              <w:rPr>
                <w:sz w:val="20"/>
              </w:rPr>
              <w:t>HIGH</w:t>
            </w:r>
          </w:p>
        </w:tc>
        <w:tc>
          <w:tcPr>
            <w:tcW w:w="1166" w:type="dxa"/>
          </w:tcPr>
          <w:p>
            <w:pPr>
              <w:pStyle w:val="TableParagraph"/>
              <w:spacing w:line="225" w:lineRule="exact"/>
              <w:ind w:right="59"/>
              <w:rPr>
                <w:sz w:val="20"/>
              </w:rPr>
            </w:pPr>
            <w:r>
              <w:rPr>
                <w:sz w:val="20"/>
              </w:rPr>
              <w:t>LOW</w:t>
            </w:r>
          </w:p>
        </w:tc>
      </w:tr>
      <w:tr>
        <w:trPr>
          <w:trHeight w:val="478" w:hRule="exact"/>
        </w:trPr>
        <w:tc>
          <w:tcPr>
            <w:tcW w:w="2936" w:type="dxa"/>
          </w:tcPr>
          <w:p>
            <w:pPr>
              <w:pStyle w:val="TableParagraph"/>
              <w:ind w:left="50"/>
              <w:jc w:val="left"/>
              <w:rPr>
                <w:b/>
                <w:sz w:val="20"/>
              </w:rPr>
            </w:pPr>
            <w:r>
              <w:rPr>
                <w:b/>
                <w:color w:val="000080"/>
                <w:sz w:val="20"/>
              </w:rPr>
              <w:t>1998</w:t>
            </w:r>
          </w:p>
          <w:p>
            <w:pPr>
              <w:pStyle w:val="TableParagraph"/>
              <w:spacing w:before="10"/>
              <w:ind w:left="50"/>
              <w:jc w:val="left"/>
              <w:rPr>
                <w:b/>
                <w:sz w:val="20"/>
              </w:rPr>
            </w:pPr>
            <w:r>
              <w:rPr>
                <w:b/>
                <w:color w:val="000080"/>
                <w:sz w:val="20"/>
              </w:rPr>
              <w:t>1st Quarter</w:t>
            </w:r>
          </w:p>
        </w:tc>
        <w:tc>
          <w:tcPr>
            <w:tcW w:w="3592" w:type="dxa"/>
          </w:tcPr>
          <w:p>
            <w:pPr>
              <w:pStyle w:val="TableParagraph"/>
              <w:spacing w:before="9"/>
              <w:jc w:val="left"/>
              <w:rPr>
                <w:sz w:val="20"/>
              </w:rPr>
            </w:pPr>
          </w:p>
          <w:p>
            <w:pPr>
              <w:pStyle w:val="TableParagraph"/>
              <w:spacing w:before="1"/>
              <w:ind w:right="545"/>
              <w:rPr>
                <w:b/>
                <w:sz w:val="20"/>
              </w:rPr>
            </w:pPr>
            <w:r>
              <w:rPr>
                <w:b/>
                <w:color w:val="000080"/>
                <w:sz w:val="20"/>
              </w:rPr>
              <w:t>$.00667</w:t>
            </w:r>
          </w:p>
        </w:tc>
        <w:tc>
          <w:tcPr>
            <w:tcW w:w="1661" w:type="dxa"/>
          </w:tcPr>
          <w:p>
            <w:pPr>
              <w:pStyle w:val="TableParagraph"/>
              <w:spacing w:before="9"/>
              <w:jc w:val="left"/>
              <w:rPr>
                <w:sz w:val="20"/>
              </w:rPr>
            </w:pPr>
          </w:p>
          <w:p>
            <w:pPr>
              <w:pStyle w:val="TableParagraph"/>
              <w:spacing w:before="1"/>
              <w:ind w:left="521" w:right="485"/>
              <w:jc w:val="center"/>
              <w:rPr>
                <w:b/>
                <w:sz w:val="20"/>
              </w:rPr>
            </w:pPr>
            <w:r>
              <w:rPr>
                <w:b/>
                <w:color w:val="000080"/>
                <w:sz w:val="20"/>
              </w:rPr>
              <w:t>$21.42</w:t>
            </w:r>
          </w:p>
        </w:tc>
        <w:tc>
          <w:tcPr>
            <w:tcW w:w="1166" w:type="dxa"/>
          </w:tcPr>
          <w:p>
            <w:pPr>
              <w:pStyle w:val="TableParagraph"/>
              <w:spacing w:before="9"/>
              <w:jc w:val="left"/>
              <w:rPr>
                <w:sz w:val="20"/>
              </w:rPr>
            </w:pPr>
          </w:p>
          <w:p>
            <w:pPr>
              <w:pStyle w:val="TableParagraph"/>
              <w:spacing w:before="1"/>
              <w:ind w:right="50"/>
              <w:rPr>
                <w:b/>
                <w:sz w:val="20"/>
              </w:rPr>
            </w:pPr>
            <w:r>
              <w:rPr>
                <w:b/>
                <w:color w:val="000080"/>
                <w:sz w:val="20"/>
              </w:rPr>
              <w:t>$15.33</w:t>
            </w:r>
          </w:p>
        </w:tc>
      </w:tr>
      <w:tr>
        <w:trPr>
          <w:trHeight w:val="240" w:hRule="exact"/>
        </w:trPr>
        <w:tc>
          <w:tcPr>
            <w:tcW w:w="2936" w:type="dxa"/>
          </w:tcPr>
          <w:p>
            <w:pPr>
              <w:pStyle w:val="TableParagraph"/>
              <w:spacing w:before="2"/>
              <w:ind w:left="50"/>
              <w:jc w:val="left"/>
              <w:rPr>
                <w:b/>
                <w:sz w:val="20"/>
              </w:rPr>
            </w:pPr>
            <w:r>
              <w:rPr>
                <w:b/>
                <w:color w:val="000080"/>
                <w:sz w:val="20"/>
              </w:rPr>
              <w:t>2nd Quarter</w:t>
            </w:r>
          </w:p>
        </w:tc>
        <w:tc>
          <w:tcPr>
            <w:tcW w:w="3592" w:type="dxa"/>
          </w:tcPr>
          <w:p>
            <w:pPr>
              <w:pStyle w:val="TableParagraph"/>
              <w:spacing w:before="2"/>
              <w:ind w:right="546"/>
              <w:rPr>
                <w:b/>
                <w:sz w:val="20"/>
              </w:rPr>
            </w:pPr>
            <w:r>
              <w:rPr>
                <w:b/>
                <w:color w:val="000080"/>
                <w:sz w:val="20"/>
              </w:rPr>
              <w:t>.00667</w:t>
            </w:r>
          </w:p>
        </w:tc>
        <w:tc>
          <w:tcPr>
            <w:tcW w:w="1661" w:type="dxa"/>
          </w:tcPr>
          <w:p>
            <w:pPr>
              <w:pStyle w:val="TableParagraph"/>
              <w:spacing w:before="2"/>
              <w:ind w:left="522" w:right="376"/>
              <w:jc w:val="center"/>
              <w:rPr>
                <w:b/>
                <w:sz w:val="20"/>
              </w:rPr>
            </w:pPr>
            <w:r>
              <w:rPr>
                <w:b/>
                <w:color w:val="000080"/>
                <w:sz w:val="20"/>
              </w:rPr>
              <w:t>20.71</w:t>
            </w:r>
          </w:p>
        </w:tc>
        <w:tc>
          <w:tcPr>
            <w:tcW w:w="1166" w:type="dxa"/>
          </w:tcPr>
          <w:p>
            <w:pPr>
              <w:pStyle w:val="TableParagraph"/>
              <w:spacing w:before="2"/>
              <w:ind w:right="50"/>
              <w:rPr>
                <w:b/>
                <w:sz w:val="20"/>
              </w:rPr>
            </w:pPr>
            <w:r>
              <w:rPr>
                <w:b/>
                <w:color w:val="000080"/>
                <w:sz w:val="20"/>
              </w:rPr>
              <w:t>16.83</w:t>
            </w:r>
          </w:p>
        </w:tc>
      </w:tr>
      <w:tr>
        <w:trPr>
          <w:trHeight w:val="240" w:hRule="exact"/>
        </w:trPr>
        <w:tc>
          <w:tcPr>
            <w:tcW w:w="2936" w:type="dxa"/>
          </w:tcPr>
          <w:p>
            <w:pPr>
              <w:pStyle w:val="TableParagraph"/>
              <w:spacing w:before="2"/>
              <w:ind w:left="50"/>
              <w:jc w:val="left"/>
              <w:rPr>
                <w:b/>
                <w:sz w:val="20"/>
              </w:rPr>
            </w:pPr>
            <w:r>
              <w:rPr>
                <w:b/>
                <w:color w:val="000080"/>
                <w:sz w:val="20"/>
              </w:rPr>
              <w:t>3rd Quarter</w:t>
            </w:r>
          </w:p>
        </w:tc>
        <w:tc>
          <w:tcPr>
            <w:tcW w:w="3592" w:type="dxa"/>
          </w:tcPr>
          <w:p>
            <w:pPr>
              <w:pStyle w:val="TableParagraph"/>
              <w:spacing w:before="2"/>
              <w:ind w:right="546"/>
              <w:rPr>
                <w:b/>
                <w:sz w:val="20"/>
              </w:rPr>
            </w:pPr>
            <w:r>
              <w:rPr>
                <w:b/>
                <w:color w:val="000080"/>
                <w:sz w:val="20"/>
              </w:rPr>
              <w:t>.00750</w:t>
            </w:r>
          </w:p>
        </w:tc>
        <w:tc>
          <w:tcPr>
            <w:tcW w:w="1661" w:type="dxa"/>
          </w:tcPr>
          <w:p>
            <w:pPr>
              <w:pStyle w:val="TableParagraph"/>
              <w:spacing w:before="2"/>
              <w:ind w:left="522" w:right="376"/>
              <w:jc w:val="center"/>
              <w:rPr>
                <w:b/>
                <w:sz w:val="20"/>
              </w:rPr>
            </w:pPr>
            <w:r>
              <w:rPr>
                <w:b/>
                <w:color w:val="000080"/>
                <w:sz w:val="20"/>
              </w:rPr>
              <w:t>23.38</w:t>
            </w:r>
          </w:p>
        </w:tc>
        <w:tc>
          <w:tcPr>
            <w:tcW w:w="1166" w:type="dxa"/>
          </w:tcPr>
          <w:p>
            <w:pPr>
              <w:pStyle w:val="TableParagraph"/>
              <w:spacing w:before="2"/>
              <w:ind w:right="50"/>
              <w:rPr>
                <w:b/>
                <w:sz w:val="20"/>
              </w:rPr>
            </w:pPr>
            <w:r>
              <w:rPr>
                <w:b/>
                <w:color w:val="000080"/>
                <w:sz w:val="20"/>
              </w:rPr>
              <w:t>17.19</w:t>
            </w:r>
          </w:p>
        </w:tc>
      </w:tr>
      <w:tr>
        <w:trPr>
          <w:trHeight w:val="362" w:hRule="exact"/>
        </w:trPr>
        <w:tc>
          <w:tcPr>
            <w:tcW w:w="2936" w:type="dxa"/>
          </w:tcPr>
          <w:p>
            <w:pPr>
              <w:pStyle w:val="TableParagraph"/>
              <w:spacing w:before="2"/>
              <w:ind w:left="50"/>
              <w:jc w:val="left"/>
              <w:rPr>
                <w:b/>
                <w:sz w:val="20"/>
              </w:rPr>
            </w:pPr>
            <w:r>
              <w:rPr>
                <w:b/>
                <w:color w:val="000080"/>
                <w:sz w:val="20"/>
              </w:rPr>
              <w:t>4th Quarter</w:t>
            </w:r>
          </w:p>
        </w:tc>
        <w:tc>
          <w:tcPr>
            <w:tcW w:w="3592" w:type="dxa"/>
          </w:tcPr>
          <w:p>
            <w:pPr>
              <w:pStyle w:val="TableParagraph"/>
              <w:spacing w:before="2"/>
              <w:ind w:right="546"/>
              <w:rPr>
                <w:b/>
                <w:sz w:val="20"/>
              </w:rPr>
            </w:pPr>
            <w:r>
              <w:rPr>
                <w:b/>
                <w:color w:val="000080"/>
                <w:sz w:val="20"/>
              </w:rPr>
              <w:t>.00750</w:t>
            </w:r>
          </w:p>
        </w:tc>
        <w:tc>
          <w:tcPr>
            <w:tcW w:w="1661" w:type="dxa"/>
          </w:tcPr>
          <w:p>
            <w:pPr>
              <w:pStyle w:val="TableParagraph"/>
              <w:spacing w:before="2"/>
              <w:ind w:left="522" w:right="376"/>
              <w:jc w:val="center"/>
              <w:rPr>
                <w:b/>
                <w:sz w:val="20"/>
              </w:rPr>
            </w:pPr>
            <w:r>
              <w:rPr>
                <w:b/>
                <w:color w:val="000080"/>
                <w:sz w:val="20"/>
              </w:rPr>
              <w:t>23.75</w:t>
            </w:r>
          </w:p>
        </w:tc>
        <w:tc>
          <w:tcPr>
            <w:tcW w:w="1166" w:type="dxa"/>
          </w:tcPr>
          <w:p>
            <w:pPr>
              <w:pStyle w:val="TableParagraph"/>
              <w:spacing w:before="2"/>
              <w:ind w:right="50"/>
              <w:rPr>
                <w:b/>
                <w:sz w:val="20"/>
              </w:rPr>
            </w:pPr>
            <w:r>
              <w:rPr>
                <w:b/>
                <w:color w:val="000080"/>
                <w:sz w:val="20"/>
              </w:rPr>
              <w:t>15.31</w:t>
            </w:r>
          </w:p>
        </w:tc>
      </w:tr>
      <w:tr>
        <w:trPr>
          <w:trHeight w:val="602" w:hRule="exact"/>
        </w:trPr>
        <w:tc>
          <w:tcPr>
            <w:tcW w:w="2936" w:type="dxa"/>
          </w:tcPr>
          <w:p>
            <w:pPr>
              <w:pStyle w:val="TableParagraph"/>
              <w:spacing w:before="124"/>
              <w:ind w:left="50"/>
              <w:jc w:val="left"/>
              <w:rPr>
                <w:sz w:val="20"/>
              </w:rPr>
            </w:pPr>
            <w:r>
              <w:rPr>
                <w:sz w:val="20"/>
              </w:rPr>
              <w:t>1997</w:t>
            </w:r>
          </w:p>
          <w:p>
            <w:pPr>
              <w:pStyle w:val="TableParagraph"/>
              <w:spacing w:before="9"/>
              <w:ind w:left="50"/>
              <w:jc w:val="left"/>
              <w:rPr>
                <w:sz w:val="20"/>
              </w:rPr>
            </w:pPr>
            <w:r>
              <w:rPr>
                <w:sz w:val="20"/>
              </w:rPr>
              <w:t>1st Quarter</w:t>
            </w:r>
          </w:p>
        </w:tc>
        <w:tc>
          <w:tcPr>
            <w:tcW w:w="3592" w:type="dxa"/>
          </w:tcPr>
          <w:p>
            <w:pPr>
              <w:pStyle w:val="TableParagraph"/>
              <w:spacing w:before="8"/>
              <w:jc w:val="left"/>
              <w:rPr>
                <w:sz w:val="31"/>
              </w:rPr>
            </w:pPr>
          </w:p>
          <w:p>
            <w:pPr>
              <w:pStyle w:val="TableParagraph"/>
              <w:ind w:right="542"/>
              <w:rPr>
                <w:sz w:val="20"/>
              </w:rPr>
            </w:pPr>
            <w:r>
              <w:rPr>
                <w:sz w:val="20"/>
              </w:rPr>
              <w:t>$.00513</w:t>
            </w:r>
          </w:p>
        </w:tc>
        <w:tc>
          <w:tcPr>
            <w:tcW w:w="1661" w:type="dxa"/>
          </w:tcPr>
          <w:p>
            <w:pPr>
              <w:pStyle w:val="TableParagraph"/>
              <w:spacing w:before="8"/>
              <w:jc w:val="left"/>
              <w:rPr>
                <w:sz w:val="31"/>
              </w:rPr>
            </w:pPr>
          </w:p>
          <w:p>
            <w:pPr>
              <w:pStyle w:val="TableParagraph"/>
              <w:ind w:left="522" w:right="484"/>
              <w:jc w:val="center"/>
              <w:rPr>
                <w:sz w:val="20"/>
              </w:rPr>
            </w:pPr>
            <w:r>
              <w:rPr>
                <w:sz w:val="20"/>
              </w:rPr>
              <w:t>$11.11</w:t>
            </w:r>
          </w:p>
        </w:tc>
        <w:tc>
          <w:tcPr>
            <w:tcW w:w="1166" w:type="dxa"/>
          </w:tcPr>
          <w:p>
            <w:pPr>
              <w:pStyle w:val="TableParagraph"/>
              <w:spacing w:before="8"/>
              <w:jc w:val="left"/>
              <w:rPr>
                <w:sz w:val="31"/>
              </w:rPr>
            </w:pPr>
          </w:p>
          <w:p>
            <w:pPr>
              <w:pStyle w:val="TableParagraph"/>
              <w:ind w:right="48"/>
              <w:rPr>
                <w:sz w:val="20"/>
              </w:rPr>
            </w:pPr>
            <w:r>
              <w:rPr>
                <w:sz w:val="20"/>
              </w:rPr>
              <w:t>$9.45</w:t>
            </w:r>
          </w:p>
        </w:tc>
      </w:tr>
      <w:tr>
        <w:trPr>
          <w:trHeight w:val="240" w:hRule="exact"/>
        </w:trPr>
        <w:tc>
          <w:tcPr>
            <w:tcW w:w="2936" w:type="dxa"/>
          </w:tcPr>
          <w:p>
            <w:pPr>
              <w:pStyle w:val="TableParagraph"/>
              <w:spacing w:before="2"/>
              <w:ind w:left="50"/>
              <w:jc w:val="left"/>
              <w:rPr>
                <w:sz w:val="20"/>
              </w:rPr>
            </w:pPr>
            <w:r>
              <w:rPr>
                <w:sz w:val="20"/>
              </w:rPr>
              <w:t>2nd Quarter</w:t>
            </w:r>
          </w:p>
        </w:tc>
        <w:tc>
          <w:tcPr>
            <w:tcW w:w="3592" w:type="dxa"/>
          </w:tcPr>
          <w:p>
            <w:pPr>
              <w:pStyle w:val="TableParagraph"/>
              <w:spacing w:before="2"/>
              <w:ind w:right="545"/>
              <w:rPr>
                <w:sz w:val="20"/>
              </w:rPr>
            </w:pPr>
            <w:r>
              <w:rPr>
                <w:sz w:val="20"/>
              </w:rPr>
              <w:t>.00513</w:t>
            </w:r>
          </w:p>
        </w:tc>
        <w:tc>
          <w:tcPr>
            <w:tcW w:w="1661" w:type="dxa"/>
          </w:tcPr>
          <w:p>
            <w:pPr>
              <w:pStyle w:val="TableParagraph"/>
              <w:spacing w:before="2"/>
              <w:ind w:left="522" w:right="374"/>
              <w:jc w:val="center"/>
              <w:rPr>
                <w:sz w:val="20"/>
              </w:rPr>
            </w:pPr>
            <w:r>
              <w:rPr>
                <w:sz w:val="20"/>
              </w:rPr>
              <w:t>12.45</w:t>
            </w:r>
          </w:p>
        </w:tc>
        <w:tc>
          <w:tcPr>
            <w:tcW w:w="1166" w:type="dxa"/>
          </w:tcPr>
          <w:p>
            <w:pPr>
              <w:pStyle w:val="TableParagraph"/>
              <w:spacing w:before="2"/>
              <w:ind w:right="48"/>
              <w:rPr>
                <w:sz w:val="20"/>
              </w:rPr>
            </w:pPr>
            <w:r>
              <w:rPr>
                <w:sz w:val="20"/>
              </w:rPr>
              <w:t>9.55</w:t>
            </w:r>
          </w:p>
        </w:tc>
      </w:tr>
      <w:tr>
        <w:trPr>
          <w:trHeight w:val="240" w:hRule="exact"/>
        </w:trPr>
        <w:tc>
          <w:tcPr>
            <w:tcW w:w="2936" w:type="dxa"/>
          </w:tcPr>
          <w:p>
            <w:pPr>
              <w:pStyle w:val="TableParagraph"/>
              <w:spacing w:before="2"/>
              <w:ind w:left="50"/>
              <w:jc w:val="left"/>
              <w:rPr>
                <w:sz w:val="20"/>
              </w:rPr>
            </w:pPr>
            <w:r>
              <w:rPr>
                <w:sz w:val="20"/>
              </w:rPr>
              <w:t>3rd Quarter</w:t>
            </w:r>
          </w:p>
        </w:tc>
        <w:tc>
          <w:tcPr>
            <w:tcW w:w="3592" w:type="dxa"/>
          </w:tcPr>
          <w:p>
            <w:pPr>
              <w:pStyle w:val="TableParagraph"/>
              <w:spacing w:before="2"/>
              <w:ind w:right="545"/>
              <w:rPr>
                <w:sz w:val="20"/>
              </w:rPr>
            </w:pPr>
            <w:r>
              <w:rPr>
                <w:sz w:val="20"/>
              </w:rPr>
              <w:t>.00513</w:t>
            </w:r>
          </w:p>
        </w:tc>
        <w:tc>
          <w:tcPr>
            <w:tcW w:w="1661" w:type="dxa"/>
          </w:tcPr>
          <w:p>
            <w:pPr>
              <w:pStyle w:val="TableParagraph"/>
              <w:spacing w:before="2"/>
              <w:ind w:left="522" w:right="374"/>
              <w:jc w:val="center"/>
              <w:rPr>
                <w:sz w:val="20"/>
              </w:rPr>
            </w:pPr>
            <w:r>
              <w:rPr>
                <w:sz w:val="20"/>
              </w:rPr>
              <w:t>14.75</w:t>
            </w:r>
          </w:p>
        </w:tc>
        <w:tc>
          <w:tcPr>
            <w:tcW w:w="1166" w:type="dxa"/>
          </w:tcPr>
          <w:p>
            <w:pPr>
              <w:pStyle w:val="TableParagraph"/>
              <w:spacing w:before="2"/>
              <w:ind w:right="48"/>
              <w:rPr>
                <w:sz w:val="20"/>
              </w:rPr>
            </w:pPr>
            <w:r>
              <w:rPr>
                <w:sz w:val="20"/>
              </w:rPr>
              <w:t>11.55</w:t>
            </w:r>
          </w:p>
        </w:tc>
      </w:tr>
      <w:tr>
        <w:trPr>
          <w:trHeight w:val="233" w:hRule="exact"/>
        </w:trPr>
        <w:tc>
          <w:tcPr>
            <w:tcW w:w="2936" w:type="dxa"/>
          </w:tcPr>
          <w:p>
            <w:pPr>
              <w:pStyle w:val="TableParagraph"/>
              <w:spacing w:before="2"/>
              <w:ind w:left="50"/>
              <w:jc w:val="left"/>
              <w:rPr>
                <w:sz w:val="20"/>
              </w:rPr>
            </w:pPr>
            <w:r>
              <w:rPr>
                <w:sz w:val="20"/>
              </w:rPr>
              <w:t>4th Quarter</w:t>
            </w:r>
          </w:p>
        </w:tc>
        <w:tc>
          <w:tcPr>
            <w:tcW w:w="3592" w:type="dxa"/>
          </w:tcPr>
          <w:p>
            <w:pPr>
              <w:pStyle w:val="TableParagraph"/>
              <w:spacing w:before="2"/>
              <w:ind w:right="545"/>
              <w:rPr>
                <w:sz w:val="20"/>
              </w:rPr>
            </w:pPr>
            <w:r>
              <w:rPr>
                <w:sz w:val="20"/>
              </w:rPr>
              <w:t>.00667</w:t>
            </w:r>
          </w:p>
        </w:tc>
        <w:tc>
          <w:tcPr>
            <w:tcW w:w="1661" w:type="dxa"/>
          </w:tcPr>
          <w:p>
            <w:pPr>
              <w:pStyle w:val="TableParagraph"/>
              <w:spacing w:before="2"/>
              <w:ind w:left="522" w:right="374"/>
              <w:jc w:val="center"/>
              <w:rPr>
                <w:sz w:val="20"/>
              </w:rPr>
            </w:pPr>
            <w:r>
              <w:rPr>
                <w:sz w:val="20"/>
              </w:rPr>
              <w:t>17.50</w:t>
            </w:r>
          </w:p>
        </w:tc>
        <w:tc>
          <w:tcPr>
            <w:tcW w:w="1166" w:type="dxa"/>
          </w:tcPr>
          <w:p>
            <w:pPr>
              <w:pStyle w:val="TableParagraph"/>
              <w:spacing w:before="2"/>
              <w:ind w:right="48"/>
              <w:rPr>
                <w:sz w:val="20"/>
              </w:rPr>
            </w:pPr>
            <w:r>
              <w:rPr>
                <w:sz w:val="20"/>
              </w:rPr>
              <w:t>12.55</w:t>
            </w:r>
          </w:p>
        </w:tc>
      </w:tr>
    </w:tbl>
    <w:p>
      <w:pPr>
        <w:spacing w:after="0"/>
        <w:rPr>
          <w:sz w:val="20"/>
        </w:rPr>
        <w:sectPr>
          <w:type w:val="continuous"/>
          <w:pgSz w:w="12240" w:h="15840"/>
          <w:pgMar w:top="1680" w:bottom="540" w:left="1280" w:right="1320"/>
        </w:sectPr>
      </w:pPr>
    </w:p>
    <w:p>
      <w:pPr>
        <w:pStyle w:val="BodyText"/>
        <w:rPr>
          <w:rFonts w:ascii="Times New Roman"/>
          <w:sz w:val="20"/>
        </w:rPr>
      </w:pPr>
    </w:p>
    <w:p>
      <w:pPr>
        <w:pStyle w:val="BodyText"/>
        <w:spacing w:before="3"/>
        <w:rPr>
          <w:rFonts w:ascii="Times New Roman"/>
          <w:sz w:val="19"/>
        </w:rPr>
      </w:pPr>
    </w:p>
    <w:tbl>
      <w:tblPr>
        <w:tblW w:w="0" w:type="auto"/>
        <w:jc w:val="left"/>
        <w:tblInd w:w="11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73"/>
        <w:gridCol w:w="1339"/>
        <w:gridCol w:w="1240"/>
        <w:gridCol w:w="1265"/>
        <w:gridCol w:w="1136"/>
      </w:tblGrid>
      <w:tr>
        <w:trPr>
          <w:trHeight w:val="528" w:hRule="exact"/>
        </w:trPr>
        <w:tc>
          <w:tcPr>
            <w:tcW w:w="4373" w:type="dxa"/>
          </w:tcPr>
          <w:p>
            <w:pPr>
              <w:pStyle w:val="TableParagraph"/>
              <w:spacing w:line="268" w:lineRule="exact"/>
              <w:ind w:left="50"/>
              <w:jc w:val="left"/>
              <w:rPr>
                <w:b/>
                <w:sz w:val="24"/>
              </w:rPr>
            </w:pPr>
            <w:r>
              <w:rPr>
                <w:b/>
                <w:color w:val="808080"/>
                <w:sz w:val="24"/>
              </w:rPr>
              <w:t>TEN-YEAR SUMMARY</w:t>
            </w:r>
          </w:p>
          <w:p>
            <w:pPr>
              <w:pStyle w:val="TableParagraph"/>
              <w:spacing w:before="34"/>
              <w:ind w:left="50"/>
              <w:jc w:val="left"/>
              <w:rPr>
                <w:b/>
                <w:sz w:val="18"/>
              </w:rPr>
            </w:pPr>
            <w:r>
              <w:rPr>
                <w:b/>
                <w:color w:val="000080"/>
                <w:sz w:val="18"/>
              </w:rPr>
              <w:t>SELECTED CONSOLIDATED FINANCIAL DATA</w:t>
            </w:r>
          </w:p>
        </w:tc>
        <w:tc>
          <w:tcPr>
            <w:tcW w:w="4980" w:type="dxa"/>
            <w:gridSpan w:val="4"/>
          </w:tcPr>
          <w:p>
            <w:pPr/>
          </w:p>
        </w:tc>
      </w:tr>
      <w:tr>
        <w:trPr>
          <w:trHeight w:val="480" w:hRule="exact"/>
        </w:trPr>
        <w:tc>
          <w:tcPr>
            <w:tcW w:w="4373" w:type="dxa"/>
          </w:tcPr>
          <w:p>
            <w:pPr>
              <w:pStyle w:val="TableParagraph"/>
              <w:spacing w:before="14"/>
              <w:ind w:left="50"/>
              <w:jc w:val="left"/>
              <w:rPr>
                <w:b/>
                <w:sz w:val="18"/>
              </w:rPr>
            </w:pPr>
            <w:r>
              <w:rPr>
                <w:b/>
                <w:color w:val="000080"/>
                <w:sz w:val="18"/>
              </w:rPr>
              <w:t>(1)</w:t>
            </w:r>
          </w:p>
          <w:p>
            <w:pPr>
              <w:pStyle w:val="TableParagraph"/>
              <w:spacing w:before="32"/>
              <w:ind w:left="50"/>
              <w:jc w:val="left"/>
              <w:rPr>
                <w:sz w:val="18"/>
              </w:rPr>
            </w:pPr>
            <w:r>
              <w:rPr>
                <w:sz w:val="18"/>
              </w:rPr>
              <w:t>(In thousands except per share amounts)</w:t>
            </w:r>
          </w:p>
        </w:tc>
        <w:tc>
          <w:tcPr>
            <w:tcW w:w="1339" w:type="dxa"/>
          </w:tcPr>
          <w:p>
            <w:pPr>
              <w:pStyle w:val="TableParagraph"/>
              <w:spacing w:before="1"/>
              <w:jc w:val="left"/>
              <w:rPr>
                <w:rFonts w:ascii="Times New Roman"/>
                <w:sz w:val="22"/>
              </w:rPr>
            </w:pPr>
          </w:p>
          <w:p>
            <w:pPr>
              <w:pStyle w:val="TableParagraph"/>
              <w:ind w:left="491"/>
              <w:jc w:val="left"/>
              <w:rPr>
                <w:b/>
                <w:sz w:val="18"/>
              </w:rPr>
            </w:pPr>
            <w:r>
              <w:rPr>
                <w:b/>
                <w:color w:val="000080"/>
                <w:sz w:val="18"/>
              </w:rPr>
              <w:t>1998</w:t>
            </w:r>
          </w:p>
        </w:tc>
        <w:tc>
          <w:tcPr>
            <w:tcW w:w="1240" w:type="dxa"/>
          </w:tcPr>
          <w:p>
            <w:pPr>
              <w:pStyle w:val="TableParagraph"/>
              <w:spacing w:before="1"/>
              <w:jc w:val="left"/>
              <w:rPr>
                <w:rFonts w:ascii="Times New Roman"/>
                <w:sz w:val="22"/>
              </w:rPr>
            </w:pPr>
          </w:p>
          <w:p>
            <w:pPr>
              <w:pStyle w:val="TableParagraph"/>
              <w:ind w:left="362"/>
              <w:jc w:val="left"/>
              <w:rPr>
                <w:sz w:val="18"/>
              </w:rPr>
            </w:pPr>
            <w:r>
              <w:rPr>
                <w:sz w:val="18"/>
              </w:rPr>
              <w:t>1997</w:t>
            </w:r>
          </w:p>
        </w:tc>
        <w:tc>
          <w:tcPr>
            <w:tcW w:w="1265" w:type="dxa"/>
          </w:tcPr>
          <w:p>
            <w:pPr>
              <w:pStyle w:val="TableParagraph"/>
              <w:spacing w:before="1"/>
              <w:jc w:val="left"/>
              <w:rPr>
                <w:rFonts w:ascii="Times New Roman"/>
                <w:sz w:val="22"/>
              </w:rPr>
            </w:pPr>
          </w:p>
          <w:p>
            <w:pPr>
              <w:pStyle w:val="TableParagraph"/>
              <w:ind w:left="361"/>
              <w:jc w:val="left"/>
              <w:rPr>
                <w:sz w:val="18"/>
              </w:rPr>
            </w:pPr>
            <w:r>
              <w:rPr>
                <w:sz w:val="18"/>
              </w:rPr>
              <w:t>1996</w:t>
            </w:r>
          </w:p>
        </w:tc>
        <w:tc>
          <w:tcPr>
            <w:tcW w:w="1136" w:type="dxa"/>
          </w:tcPr>
          <w:p>
            <w:pPr>
              <w:pStyle w:val="TableParagraph"/>
              <w:spacing w:before="1"/>
              <w:jc w:val="left"/>
              <w:rPr>
                <w:rFonts w:ascii="Times New Roman"/>
                <w:sz w:val="22"/>
              </w:rPr>
            </w:pPr>
          </w:p>
          <w:p>
            <w:pPr>
              <w:pStyle w:val="TableParagraph"/>
              <w:ind w:left="358"/>
              <w:jc w:val="left"/>
              <w:rPr>
                <w:sz w:val="18"/>
              </w:rPr>
            </w:pPr>
            <w:r>
              <w:rPr>
                <w:sz w:val="18"/>
              </w:rPr>
              <w:t>1995</w:t>
            </w:r>
          </w:p>
        </w:tc>
      </w:tr>
      <w:tr>
        <w:trPr>
          <w:trHeight w:val="480" w:hRule="exact"/>
        </w:trPr>
        <w:tc>
          <w:tcPr>
            <w:tcW w:w="4373" w:type="dxa"/>
          </w:tcPr>
          <w:p>
            <w:pPr>
              <w:pStyle w:val="TableParagraph"/>
              <w:spacing w:line="278" w:lineRule="auto" w:before="14"/>
              <w:ind w:left="232" w:right="1852" w:hanging="183"/>
              <w:jc w:val="left"/>
              <w:rPr>
                <w:sz w:val="18"/>
              </w:rPr>
            </w:pPr>
            <w:r>
              <w:rPr>
                <w:sz w:val="18"/>
              </w:rPr>
              <w:t>Operating revenues: Passenger</w:t>
            </w:r>
          </w:p>
        </w:tc>
        <w:tc>
          <w:tcPr>
            <w:tcW w:w="1339" w:type="dxa"/>
          </w:tcPr>
          <w:p>
            <w:pPr>
              <w:pStyle w:val="TableParagraph"/>
              <w:spacing w:before="1"/>
              <w:jc w:val="left"/>
              <w:rPr>
                <w:rFonts w:ascii="Times New Roman"/>
                <w:sz w:val="22"/>
              </w:rPr>
            </w:pPr>
          </w:p>
          <w:p>
            <w:pPr>
              <w:pStyle w:val="TableParagraph"/>
              <w:ind w:right="147"/>
              <w:rPr>
                <w:b/>
                <w:sz w:val="18"/>
              </w:rPr>
            </w:pPr>
            <w:r>
              <w:rPr>
                <w:b/>
                <w:color w:val="000080"/>
                <w:sz w:val="18"/>
              </w:rPr>
              <w:t>$3,963,781</w:t>
            </w:r>
          </w:p>
        </w:tc>
        <w:tc>
          <w:tcPr>
            <w:tcW w:w="1240" w:type="dxa"/>
          </w:tcPr>
          <w:p>
            <w:pPr>
              <w:pStyle w:val="TableParagraph"/>
              <w:spacing w:before="1"/>
              <w:jc w:val="left"/>
              <w:rPr>
                <w:rFonts w:ascii="Times New Roman"/>
                <w:sz w:val="22"/>
              </w:rPr>
            </w:pPr>
          </w:p>
          <w:p>
            <w:pPr>
              <w:pStyle w:val="TableParagraph"/>
              <w:ind w:right="178"/>
              <w:rPr>
                <w:sz w:val="18"/>
              </w:rPr>
            </w:pPr>
            <w:r>
              <w:rPr>
                <w:sz w:val="18"/>
              </w:rPr>
              <w:t>$3,639,193</w:t>
            </w:r>
          </w:p>
        </w:tc>
        <w:tc>
          <w:tcPr>
            <w:tcW w:w="1265" w:type="dxa"/>
          </w:tcPr>
          <w:p>
            <w:pPr>
              <w:pStyle w:val="TableParagraph"/>
              <w:spacing w:before="1"/>
              <w:jc w:val="left"/>
              <w:rPr>
                <w:rFonts w:ascii="Times New Roman"/>
                <w:sz w:val="22"/>
              </w:rPr>
            </w:pPr>
          </w:p>
          <w:p>
            <w:pPr>
              <w:pStyle w:val="TableParagraph"/>
              <w:ind w:right="171"/>
              <w:rPr>
                <w:sz w:val="18"/>
              </w:rPr>
            </w:pPr>
            <w:r>
              <w:rPr>
                <w:sz w:val="18"/>
              </w:rPr>
              <w:t>$3,269,238</w:t>
            </w:r>
          </w:p>
        </w:tc>
        <w:tc>
          <w:tcPr>
            <w:tcW w:w="1136" w:type="dxa"/>
          </w:tcPr>
          <w:p>
            <w:pPr>
              <w:pStyle w:val="TableParagraph"/>
              <w:spacing w:before="1"/>
              <w:jc w:val="left"/>
              <w:rPr>
                <w:rFonts w:ascii="Times New Roman"/>
                <w:sz w:val="22"/>
              </w:rPr>
            </w:pPr>
          </w:p>
          <w:p>
            <w:pPr>
              <w:pStyle w:val="TableParagraph"/>
              <w:ind w:right="50"/>
              <w:rPr>
                <w:sz w:val="18"/>
              </w:rPr>
            </w:pPr>
            <w:r>
              <w:rPr>
                <w:sz w:val="18"/>
              </w:rPr>
              <w:t>$2,760,756</w:t>
            </w:r>
          </w:p>
        </w:tc>
      </w:tr>
      <w:tr>
        <w:trPr>
          <w:trHeight w:val="240" w:hRule="exact"/>
        </w:trPr>
        <w:tc>
          <w:tcPr>
            <w:tcW w:w="4373" w:type="dxa"/>
          </w:tcPr>
          <w:p>
            <w:pPr>
              <w:pStyle w:val="TableParagraph"/>
              <w:spacing w:before="14"/>
              <w:ind w:left="232"/>
              <w:jc w:val="left"/>
              <w:rPr>
                <w:sz w:val="18"/>
              </w:rPr>
            </w:pPr>
            <w:r>
              <w:rPr>
                <w:sz w:val="18"/>
              </w:rPr>
              <w:t>Freight</w:t>
            </w:r>
          </w:p>
        </w:tc>
        <w:tc>
          <w:tcPr>
            <w:tcW w:w="1339" w:type="dxa"/>
          </w:tcPr>
          <w:p>
            <w:pPr>
              <w:pStyle w:val="TableParagraph"/>
              <w:spacing w:before="14"/>
              <w:ind w:right="145"/>
              <w:rPr>
                <w:b/>
                <w:sz w:val="18"/>
              </w:rPr>
            </w:pPr>
            <w:r>
              <w:rPr>
                <w:b/>
                <w:color w:val="000080"/>
                <w:sz w:val="18"/>
              </w:rPr>
              <w:t>98,500</w:t>
            </w:r>
          </w:p>
        </w:tc>
        <w:tc>
          <w:tcPr>
            <w:tcW w:w="1240" w:type="dxa"/>
          </w:tcPr>
          <w:p>
            <w:pPr>
              <w:pStyle w:val="TableParagraph"/>
              <w:spacing w:before="14"/>
              <w:ind w:right="179"/>
              <w:rPr>
                <w:sz w:val="18"/>
              </w:rPr>
            </w:pPr>
            <w:r>
              <w:rPr>
                <w:sz w:val="18"/>
              </w:rPr>
              <w:t>94,758</w:t>
            </w:r>
          </w:p>
        </w:tc>
        <w:tc>
          <w:tcPr>
            <w:tcW w:w="1265" w:type="dxa"/>
          </w:tcPr>
          <w:p>
            <w:pPr>
              <w:pStyle w:val="TableParagraph"/>
              <w:spacing w:before="14"/>
              <w:ind w:right="171"/>
              <w:rPr>
                <w:sz w:val="18"/>
              </w:rPr>
            </w:pPr>
            <w:r>
              <w:rPr>
                <w:sz w:val="18"/>
              </w:rPr>
              <w:t>80,005</w:t>
            </w:r>
          </w:p>
        </w:tc>
        <w:tc>
          <w:tcPr>
            <w:tcW w:w="1136" w:type="dxa"/>
          </w:tcPr>
          <w:p>
            <w:pPr>
              <w:pStyle w:val="TableParagraph"/>
              <w:spacing w:before="14"/>
              <w:ind w:right="50"/>
              <w:rPr>
                <w:sz w:val="18"/>
              </w:rPr>
            </w:pPr>
            <w:r>
              <w:rPr>
                <w:sz w:val="18"/>
              </w:rPr>
              <w:t>65,825</w:t>
            </w:r>
          </w:p>
        </w:tc>
      </w:tr>
      <w:tr>
        <w:trPr>
          <w:trHeight w:val="240" w:hRule="exact"/>
        </w:trPr>
        <w:tc>
          <w:tcPr>
            <w:tcW w:w="4373" w:type="dxa"/>
          </w:tcPr>
          <w:p>
            <w:pPr>
              <w:pStyle w:val="TableParagraph"/>
              <w:spacing w:before="14"/>
              <w:ind w:left="232"/>
              <w:jc w:val="left"/>
              <w:rPr>
                <w:sz w:val="18"/>
              </w:rPr>
            </w:pPr>
            <w:r>
              <w:rPr>
                <w:sz w:val="18"/>
              </w:rPr>
              <w:t>Other</w:t>
            </w:r>
          </w:p>
        </w:tc>
        <w:tc>
          <w:tcPr>
            <w:tcW w:w="1339" w:type="dxa"/>
          </w:tcPr>
          <w:p>
            <w:pPr>
              <w:pStyle w:val="TableParagraph"/>
              <w:spacing w:before="14"/>
              <w:ind w:right="146"/>
              <w:rPr>
                <w:b/>
                <w:sz w:val="18"/>
              </w:rPr>
            </w:pPr>
            <w:r>
              <w:rPr>
                <w:b/>
                <w:color w:val="000080"/>
                <w:sz w:val="18"/>
                <w:u w:val="single" w:color="000080"/>
              </w:rPr>
              <w:t>101,699</w:t>
            </w:r>
          </w:p>
        </w:tc>
        <w:tc>
          <w:tcPr>
            <w:tcW w:w="1240" w:type="dxa"/>
          </w:tcPr>
          <w:p>
            <w:pPr>
              <w:pStyle w:val="TableParagraph"/>
              <w:spacing w:before="14"/>
              <w:ind w:right="179"/>
              <w:rPr>
                <w:sz w:val="18"/>
              </w:rPr>
            </w:pPr>
            <w:r>
              <w:rPr>
                <w:sz w:val="18"/>
                <w:u w:val="single"/>
              </w:rPr>
              <w:t>82,870</w:t>
            </w:r>
          </w:p>
        </w:tc>
        <w:tc>
          <w:tcPr>
            <w:tcW w:w="1265" w:type="dxa"/>
          </w:tcPr>
          <w:p>
            <w:pPr>
              <w:pStyle w:val="TableParagraph"/>
              <w:spacing w:before="14"/>
              <w:ind w:right="171"/>
              <w:rPr>
                <w:sz w:val="18"/>
              </w:rPr>
            </w:pPr>
            <w:r>
              <w:rPr>
                <w:sz w:val="18"/>
                <w:u w:val="single"/>
              </w:rPr>
              <w:t>56,927</w:t>
            </w:r>
          </w:p>
        </w:tc>
        <w:tc>
          <w:tcPr>
            <w:tcW w:w="1136" w:type="dxa"/>
          </w:tcPr>
          <w:p>
            <w:pPr>
              <w:pStyle w:val="TableParagraph"/>
              <w:spacing w:before="14"/>
              <w:ind w:right="50"/>
              <w:rPr>
                <w:sz w:val="18"/>
              </w:rPr>
            </w:pPr>
            <w:r>
              <w:rPr>
                <w:w w:val="101"/>
                <w:sz w:val="18"/>
                <w:u w:val="single"/>
              </w:rPr>
              <w:t> </w:t>
            </w:r>
            <w:r>
              <w:rPr>
                <w:sz w:val="18"/>
                <w:u w:val="single"/>
              </w:rPr>
              <w:t>46,170</w:t>
            </w:r>
          </w:p>
        </w:tc>
      </w:tr>
      <w:tr>
        <w:trPr>
          <w:trHeight w:val="240" w:hRule="exact"/>
        </w:trPr>
        <w:tc>
          <w:tcPr>
            <w:tcW w:w="4373" w:type="dxa"/>
          </w:tcPr>
          <w:p>
            <w:pPr>
              <w:pStyle w:val="TableParagraph"/>
              <w:spacing w:before="14"/>
              <w:ind w:left="50"/>
              <w:jc w:val="left"/>
              <w:rPr>
                <w:sz w:val="18"/>
              </w:rPr>
            </w:pPr>
            <w:r>
              <w:rPr>
                <w:sz w:val="18"/>
              </w:rPr>
              <w:t>Total operating revenues</w:t>
            </w:r>
          </w:p>
        </w:tc>
        <w:tc>
          <w:tcPr>
            <w:tcW w:w="1339" w:type="dxa"/>
          </w:tcPr>
          <w:p>
            <w:pPr>
              <w:pStyle w:val="TableParagraph"/>
              <w:spacing w:before="14"/>
              <w:ind w:right="146"/>
              <w:rPr>
                <w:b/>
                <w:sz w:val="18"/>
              </w:rPr>
            </w:pPr>
            <w:r>
              <w:rPr>
                <w:b/>
                <w:color w:val="000080"/>
                <w:sz w:val="18"/>
              </w:rPr>
              <w:t>4,163,980</w:t>
            </w:r>
          </w:p>
        </w:tc>
        <w:tc>
          <w:tcPr>
            <w:tcW w:w="1240" w:type="dxa"/>
          </w:tcPr>
          <w:p>
            <w:pPr>
              <w:pStyle w:val="TableParagraph"/>
              <w:spacing w:before="14"/>
              <w:ind w:right="178"/>
              <w:rPr>
                <w:sz w:val="18"/>
              </w:rPr>
            </w:pPr>
            <w:r>
              <w:rPr>
                <w:sz w:val="18"/>
              </w:rPr>
              <w:t>3,816,821</w:t>
            </w:r>
          </w:p>
        </w:tc>
        <w:tc>
          <w:tcPr>
            <w:tcW w:w="1265" w:type="dxa"/>
          </w:tcPr>
          <w:p>
            <w:pPr>
              <w:pStyle w:val="TableParagraph"/>
              <w:spacing w:before="14"/>
              <w:ind w:right="171"/>
              <w:rPr>
                <w:sz w:val="18"/>
              </w:rPr>
            </w:pPr>
            <w:r>
              <w:rPr>
                <w:sz w:val="18"/>
              </w:rPr>
              <w:t>3,406,170</w:t>
            </w:r>
          </w:p>
        </w:tc>
        <w:tc>
          <w:tcPr>
            <w:tcW w:w="1136" w:type="dxa"/>
          </w:tcPr>
          <w:p>
            <w:pPr>
              <w:pStyle w:val="TableParagraph"/>
              <w:spacing w:before="14"/>
              <w:ind w:right="50"/>
              <w:rPr>
                <w:sz w:val="18"/>
              </w:rPr>
            </w:pPr>
            <w:r>
              <w:rPr>
                <w:sz w:val="18"/>
              </w:rPr>
              <w:t>2,872,751</w:t>
            </w:r>
          </w:p>
        </w:tc>
      </w:tr>
      <w:tr>
        <w:trPr>
          <w:trHeight w:val="240" w:hRule="exact"/>
        </w:trPr>
        <w:tc>
          <w:tcPr>
            <w:tcW w:w="4373" w:type="dxa"/>
          </w:tcPr>
          <w:p>
            <w:pPr>
              <w:pStyle w:val="TableParagraph"/>
              <w:spacing w:before="14"/>
              <w:ind w:left="50"/>
              <w:jc w:val="left"/>
              <w:rPr>
                <w:sz w:val="18"/>
              </w:rPr>
            </w:pPr>
            <w:r>
              <w:rPr>
                <w:sz w:val="18"/>
              </w:rPr>
              <w:t>Operating expenses</w:t>
            </w:r>
          </w:p>
        </w:tc>
        <w:tc>
          <w:tcPr>
            <w:tcW w:w="1339" w:type="dxa"/>
          </w:tcPr>
          <w:p>
            <w:pPr>
              <w:pStyle w:val="TableParagraph"/>
              <w:spacing w:before="14"/>
              <w:ind w:right="146"/>
              <w:rPr>
                <w:b/>
                <w:sz w:val="18"/>
              </w:rPr>
            </w:pPr>
            <w:r>
              <w:rPr>
                <w:b/>
                <w:color w:val="000080"/>
                <w:sz w:val="18"/>
                <w:u w:val="single" w:color="000080"/>
              </w:rPr>
              <w:t>3,480,369</w:t>
            </w:r>
          </w:p>
        </w:tc>
        <w:tc>
          <w:tcPr>
            <w:tcW w:w="1240" w:type="dxa"/>
          </w:tcPr>
          <w:p>
            <w:pPr>
              <w:pStyle w:val="TableParagraph"/>
              <w:spacing w:before="14"/>
              <w:ind w:right="178"/>
              <w:rPr>
                <w:sz w:val="18"/>
              </w:rPr>
            </w:pPr>
            <w:r>
              <w:rPr>
                <w:sz w:val="18"/>
                <w:u w:val="single"/>
              </w:rPr>
              <w:t>3,292,585</w:t>
            </w:r>
          </w:p>
        </w:tc>
        <w:tc>
          <w:tcPr>
            <w:tcW w:w="1265" w:type="dxa"/>
          </w:tcPr>
          <w:p>
            <w:pPr>
              <w:pStyle w:val="TableParagraph"/>
              <w:spacing w:before="14"/>
              <w:ind w:right="171"/>
              <w:rPr>
                <w:sz w:val="18"/>
              </w:rPr>
            </w:pPr>
            <w:r>
              <w:rPr>
                <w:sz w:val="18"/>
                <w:u w:val="single"/>
              </w:rPr>
              <w:t>3,055,335</w:t>
            </w:r>
          </w:p>
        </w:tc>
        <w:tc>
          <w:tcPr>
            <w:tcW w:w="1136" w:type="dxa"/>
          </w:tcPr>
          <w:p>
            <w:pPr>
              <w:pStyle w:val="TableParagraph"/>
              <w:spacing w:before="14"/>
              <w:ind w:right="50"/>
              <w:rPr>
                <w:sz w:val="18"/>
              </w:rPr>
            </w:pPr>
            <w:r>
              <w:rPr>
                <w:sz w:val="18"/>
                <w:u w:val="single"/>
              </w:rPr>
              <w:t>2,559,220</w:t>
            </w:r>
          </w:p>
        </w:tc>
      </w:tr>
      <w:tr>
        <w:trPr>
          <w:trHeight w:val="240" w:hRule="exact"/>
        </w:trPr>
        <w:tc>
          <w:tcPr>
            <w:tcW w:w="4373" w:type="dxa"/>
          </w:tcPr>
          <w:p>
            <w:pPr>
              <w:pStyle w:val="TableParagraph"/>
              <w:spacing w:before="14"/>
              <w:ind w:left="50"/>
              <w:jc w:val="left"/>
              <w:rPr>
                <w:sz w:val="18"/>
              </w:rPr>
            </w:pPr>
            <w:r>
              <w:rPr>
                <w:sz w:val="18"/>
              </w:rPr>
              <w:t>Operating income</w:t>
            </w:r>
          </w:p>
        </w:tc>
        <w:tc>
          <w:tcPr>
            <w:tcW w:w="1339" w:type="dxa"/>
          </w:tcPr>
          <w:p>
            <w:pPr>
              <w:pStyle w:val="TableParagraph"/>
              <w:spacing w:before="14"/>
              <w:ind w:right="146"/>
              <w:rPr>
                <w:b/>
                <w:sz w:val="18"/>
              </w:rPr>
            </w:pPr>
            <w:r>
              <w:rPr>
                <w:b/>
                <w:color w:val="000080"/>
                <w:sz w:val="18"/>
              </w:rPr>
              <w:t>683,611</w:t>
            </w:r>
          </w:p>
        </w:tc>
        <w:tc>
          <w:tcPr>
            <w:tcW w:w="1240" w:type="dxa"/>
          </w:tcPr>
          <w:p>
            <w:pPr>
              <w:pStyle w:val="TableParagraph"/>
              <w:spacing w:before="14"/>
              <w:ind w:right="179"/>
              <w:rPr>
                <w:sz w:val="18"/>
              </w:rPr>
            </w:pPr>
            <w:r>
              <w:rPr>
                <w:sz w:val="18"/>
              </w:rPr>
              <w:t>524,236</w:t>
            </w:r>
          </w:p>
        </w:tc>
        <w:tc>
          <w:tcPr>
            <w:tcW w:w="1265" w:type="dxa"/>
          </w:tcPr>
          <w:p>
            <w:pPr>
              <w:pStyle w:val="TableParagraph"/>
              <w:spacing w:before="14"/>
              <w:ind w:right="171"/>
              <w:rPr>
                <w:sz w:val="18"/>
              </w:rPr>
            </w:pPr>
            <w:r>
              <w:rPr>
                <w:sz w:val="18"/>
              </w:rPr>
              <w:t>350,835</w:t>
            </w:r>
          </w:p>
        </w:tc>
        <w:tc>
          <w:tcPr>
            <w:tcW w:w="1136" w:type="dxa"/>
          </w:tcPr>
          <w:p>
            <w:pPr>
              <w:pStyle w:val="TableParagraph"/>
              <w:spacing w:before="14"/>
              <w:ind w:right="50"/>
              <w:rPr>
                <w:sz w:val="18"/>
              </w:rPr>
            </w:pPr>
            <w:r>
              <w:rPr>
                <w:sz w:val="18"/>
              </w:rPr>
              <w:t>313,531</w:t>
            </w:r>
          </w:p>
        </w:tc>
      </w:tr>
      <w:tr>
        <w:trPr>
          <w:trHeight w:val="240" w:hRule="exact"/>
        </w:trPr>
        <w:tc>
          <w:tcPr>
            <w:tcW w:w="4373" w:type="dxa"/>
          </w:tcPr>
          <w:p>
            <w:pPr>
              <w:pStyle w:val="TableParagraph"/>
              <w:spacing w:before="14"/>
              <w:ind w:left="50"/>
              <w:jc w:val="left"/>
              <w:rPr>
                <w:sz w:val="18"/>
              </w:rPr>
            </w:pPr>
            <w:r>
              <w:rPr>
                <w:sz w:val="18"/>
              </w:rPr>
              <w:t>Other expenses (income), net</w:t>
            </w:r>
          </w:p>
        </w:tc>
        <w:tc>
          <w:tcPr>
            <w:tcW w:w="1339" w:type="dxa"/>
          </w:tcPr>
          <w:p>
            <w:pPr>
              <w:pStyle w:val="TableParagraph"/>
              <w:spacing w:before="14"/>
              <w:ind w:right="145"/>
              <w:rPr>
                <w:b/>
                <w:sz w:val="18"/>
              </w:rPr>
            </w:pPr>
            <w:r>
              <w:rPr>
                <w:b/>
                <w:color w:val="000080"/>
                <w:sz w:val="18"/>
                <w:u w:val="single" w:color="000080"/>
              </w:rPr>
              <w:t>(21,501)</w:t>
            </w:r>
          </w:p>
        </w:tc>
        <w:tc>
          <w:tcPr>
            <w:tcW w:w="1240" w:type="dxa"/>
          </w:tcPr>
          <w:p>
            <w:pPr>
              <w:pStyle w:val="TableParagraph"/>
              <w:spacing w:before="14"/>
              <w:ind w:right="179"/>
              <w:rPr>
                <w:sz w:val="18"/>
              </w:rPr>
            </w:pPr>
            <w:r>
              <w:rPr>
                <w:sz w:val="18"/>
                <w:u w:val="single"/>
              </w:rPr>
              <w:t>7,280</w:t>
            </w:r>
          </w:p>
        </w:tc>
        <w:tc>
          <w:tcPr>
            <w:tcW w:w="1265" w:type="dxa"/>
          </w:tcPr>
          <w:p>
            <w:pPr>
              <w:pStyle w:val="TableParagraph"/>
              <w:spacing w:before="14"/>
              <w:ind w:right="171"/>
              <w:rPr>
                <w:sz w:val="18"/>
              </w:rPr>
            </w:pPr>
            <w:r>
              <w:rPr>
                <w:sz w:val="18"/>
                <w:u w:val="single"/>
              </w:rPr>
              <w:t>9,473</w:t>
            </w:r>
          </w:p>
        </w:tc>
        <w:tc>
          <w:tcPr>
            <w:tcW w:w="1136" w:type="dxa"/>
          </w:tcPr>
          <w:p>
            <w:pPr>
              <w:pStyle w:val="TableParagraph"/>
              <w:spacing w:before="14"/>
              <w:ind w:right="50"/>
              <w:rPr>
                <w:sz w:val="18"/>
              </w:rPr>
            </w:pPr>
            <w:r>
              <w:rPr>
                <w:w w:val="101"/>
                <w:sz w:val="18"/>
                <w:u w:val="single"/>
              </w:rPr>
              <w:t> </w:t>
            </w:r>
            <w:r>
              <w:rPr>
                <w:sz w:val="18"/>
                <w:u w:val="single"/>
              </w:rPr>
              <w:t>8,391</w:t>
            </w:r>
          </w:p>
        </w:tc>
      </w:tr>
      <w:tr>
        <w:trPr>
          <w:trHeight w:val="240" w:hRule="exact"/>
        </w:trPr>
        <w:tc>
          <w:tcPr>
            <w:tcW w:w="4373" w:type="dxa"/>
          </w:tcPr>
          <w:p>
            <w:pPr>
              <w:pStyle w:val="TableParagraph"/>
              <w:spacing w:before="14"/>
              <w:ind w:left="50"/>
              <w:jc w:val="left"/>
              <w:rPr>
                <w:sz w:val="18"/>
              </w:rPr>
            </w:pPr>
            <w:r>
              <w:rPr>
                <w:sz w:val="18"/>
              </w:rPr>
              <w:t>Income before income taxes</w:t>
            </w:r>
          </w:p>
        </w:tc>
        <w:tc>
          <w:tcPr>
            <w:tcW w:w="1339" w:type="dxa"/>
          </w:tcPr>
          <w:p>
            <w:pPr>
              <w:pStyle w:val="TableParagraph"/>
              <w:spacing w:before="14"/>
              <w:ind w:right="146"/>
              <w:rPr>
                <w:b/>
                <w:sz w:val="18"/>
              </w:rPr>
            </w:pPr>
            <w:r>
              <w:rPr>
                <w:b/>
                <w:color w:val="000080"/>
                <w:sz w:val="18"/>
              </w:rPr>
              <w:t>705,112</w:t>
            </w:r>
          </w:p>
        </w:tc>
        <w:tc>
          <w:tcPr>
            <w:tcW w:w="1240" w:type="dxa"/>
          </w:tcPr>
          <w:p>
            <w:pPr>
              <w:pStyle w:val="TableParagraph"/>
              <w:spacing w:before="14"/>
              <w:ind w:right="179"/>
              <w:rPr>
                <w:sz w:val="18"/>
              </w:rPr>
            </w:pPr>
            <w:r>
              <w:rPr>
                <w:sz w:val="18"/>
              </w:rPr>
              <w:t>516,956</w:t>
            </w:r>
          </w:p>
        </w:tc>
        <w:tc>
          <w:tcPr>
            <w:tcW w:w="1265" w:type="dxa"/>
          </w:tcPr>
          <w:p>
            <w:pPr>
              <w:pStyle w:val="TableParagraph"/>
              <w:spacing w:before="14"/>
              <w:ind w:right="171"/>
              <w:rPr>
                <w:sz w:val="18"/>
              </w:rPr>
            </w:pPr>
            <w:r>
              <w:rPr>
                <w:sz w:val="18"/>
              </w:rPr>
              <w:t>341,362</w:t>
            </w:r>
          </w:p>
        </w:tc>
        <w:tc>
          <w:tcPr>
            <w:tcW w:w="1136" w:type="dxa"/>
          </w:tcPr>
          <w:p>
            <w:pPr>
              <w:pStyle w:val="TableParagraph"/>
              <w:spacing w:before="14"/>
              <w:ind w:right="50"/>
              <w:rPr>
                <w:sz w:val="18"/>
              </w:rPr>
            </w:pPr>
            <w:r>
              <w:rPr>
                <w:sz w:val="18"/>
              </w:rPr>
              <w:t>305,140</w:t>
            </w:r>
          </w:p>
        </w:tc>
      </w:tr>
      <w:tr>
        <w:trPr>
          <w:trHeight w:val="240" w:hRule="exact"/>
        </w:trPr>
        <w:tc>
          <w:tcPr>
            <w:tcW w:w="4373" w:type="dxa"/>
          </w:tcPr>
          <w:p>
            <w:pPr>
              <w:pStyle w:val="TableParagraph"/>
              <w:spacing w:before="14"/>
              <w:ind w:left="50"/>
              <w:jc w:val="left"/>
              <w:rPr>
                <w:sz w:val="18"/>
              </w:rPr>
            </w:pPr>
            <w:r>
              <w:rPr>
                <w:sz w:val="18"/>
              </w:rPr>
              <w:t>Provision for income taxes (3)</w:t>
            </w:r>
          </w:p>
        </w:tc>
        <w:tc>
          <w:tcPr>
            <w:tcW w:w="1339" w:type="dxa"/>
          </w:tcPr>
          <w:p>
            <w:pPr>
              <w:pStyle w:val="TableParagraph"/>
              <w:spacing w:before="14"/>
              <w:ind w:right="146"/>
              <w:rPr>
                <w:b/>
                <w:sz w:val="18"/>
              </w:rPr>
            </w:pPr>
            <w:r>
              <w:rPr>
                <w:b/>
                <w:color w:val="000080"/>
                <w:sz w:val="18"/>
                <w:u w:val="single" w:color="000080"/>
              </w:rPr>
              <w:t>271,681</w:t>
            </w:r>
          </w:p>
        </w:tc>
        <w:tc>
          <w:tcPr>
            <w:tcW w:w="1240" w:type="dxa"/>
          </w:tcPr>
          <w:p>
            <w:pPr>
              <w:pStyle w:val="TableParagraph"/>
              <w:spacing w:before="14"/>
              <w:ind w:right="179"/>
              <w:rPr>
                <w:sz w:val="18"/>
              </w:rPr>
            </w:pPr>
            <w:r>
              <w:rPr>
                <w:sz w:val="18"/>
                <w:u w:val="single"/>
              </w:rPr>
              <w:t>199,184</w:t>
            </w:r>
          </w:p>
        </w:tc>
        <w:tc>
          <w:tcPr>
            <w:tcW w:w="1265" w:type="dxa"/>
          </w:tcPr>
          <w:p>
            <w:pPr>
              <w:pStyle w:val="TableParagraph"/>
              <w:spacing w:before="14"/>
              <w:ind w:right="171"/>
              <w:rPr>
                <w:sz w:val="18"/>
              </w:rPr>
            </w:pPr>
            <w:r>
              <w:rPr>
                <w:w w:val="101"/>
                <w:sz w:val="18"/>
                <w:u w:val="single"/>
              </w:rPr>
              <w:t> </w:t>
            </w:r>
            <w:r>
              <w:rPr>
                <w:sz w:val="18"/>
                <w:u w:val="single"/>
              </w:rPr>
              <w:t>134,025</w:t>
            </w:r>
          </w:p>
        </w:tc>
        <w:tc>
          <w:tcPr>
            <w:tcW w:w="1136" w:type="dxa"/>
          </w:tcPr>
          <w:p>
            <w:pPr>
              <w:pStyle w:val="TableParagraph"/>
              <w:spacing w:before="14"/>
              <w:ind w:right="50"/>
              <w:rPr>
                <w:sz w:val="18"/>
              </w:rPr>
            </w:pPr>
            <w:r>
              <w:rPr>
                <w:sz w:val="18"/>
                <w:u w:val="single"/>
              </w:rPr>
              <w:t>122,514</w:t>
            </w:r>
          </w:p>
        </w:tc>
      </w:tr>
      <w:tr>
        <w:trPr>
          <w:trHeight w:val="240" w:hRule="exact"/>
        </w:trPr>
        <w:tc>
          <w:tcPr>
            <w:tcW w:w="4373" w:type="dxa"/>
          </w:tcPr>
          <w:p>
            <w:pPr>
              <w:pStyle w:val="TableParagraph"/>
              <w:spacing w:before="14"/>
              <w:ind w:left="232"/>
              <w:jc w:val="left"/>
              <w:rPr>
                <w:sz w:val="18"/>
              </w:rPr>
            </w:pPr>
            <w:r>
              <w:rPr>
                <w:sz w:val="18"/>
              </w:rPr>
              <w:t>Net income (3)</w:t>
            </w:r>
          </w:p>
        </w:tc>
        <w:tc>
          <w:tcPr>
            <w:tcW w:w="1339" w:type="dxa"/>
          </w:tcPr>
          <w:p>
            <w:pPr>
              <w:pStyle w:val="TableParagraph"/>
              <w:spacing w:before="14"/>
              <w:ind w:right="146"/>
              <w:rPr>
                <w:b/>
                <w:sz w:val="18"/>
              </w:rPr>
            </w:pPr>
            <w:r>
              <w:rPr>
                <w:b/>
                <w:color w:val="000080"/>
                <w:sz w:val="18"/>
                <w:u w:val="thick" w:color="000080"/>
              </w:rPr>
              <w:t>$433,431</w:t>
            </w:r>
          </w:p>
        </w:tc>
        <w:tc>
          <w:tcPr>
            <w:tcW w:w="1240" w:type="dxa"/>
          </w:tcPr>
          <w:p>
            <w:pPr>
              <w:pStyle w:val="TableParagraph"/>
              <w:spacing w:before="14"/>
              <w:ind w:right="179"/>
              <w:rPr>
                <w:sz w:val="18"/>
              </w:rPr>
            </w:pPr>
            <w:r>
              <w:rPr>
                <w:sz w:val="18"/>
                <w:u w:val="thick"/>
              </w:rPr>
              <w:t>$317,772</w:t>
            </w:r>
          </w:p>
        </w:tc>
        <w:tc>
          <w:tcPr>
            <w:tcW w:w="1265" w:type="dxa"/>
          </w:tcPr>
          <w:p>
            <w:pPr>
              <w:pStyle w:val="TableParagraph"/>
              <w:spacing w:before="14"/>
              <w:ind w:right="171"/>
              <w:rPr>
                <w:sz w:val="18"/>
              </w:rPr>
            </w:pPr>
            <w:r>
              <w:rPr>
                <w:sz w:val="18"/>
                <w:u w:val="thick"/>
              </w:rPr>
              <w:t>$207,337</w:t>
            </w:r>
          </w:p>
        </w:tc>
        <w:tc>
          <w:tcPr>
            <w:tcW w:w="1136" w:type="dxa"/>
          </w:tcPr>
          <w:p>
            <w:pPr>
              <w:pStyle w:val="TableParagraph"/>
              <w:spacing w:before="14"/>
              <w:ind w:right="50"/>
              <w:rPr>
                <w:sz w:val="18"/>
              </w:rPr>
            </w:pPr>
            <w:r>
              <w:rPr>
                <w:sz w:val="18"/>
                <w:u w:val="thick"/>
              </w:rPr>
              <w:t>$182,626</w:t>
            </w:r>
          </w:p>
        </w:tc>
      </w:tr>
      <w:tr>
        <w:trPr>
          <w:trHeight w:val="240" w:hRule="exact"/>
        </w:trPr>
        <w:tc>
          <w:tcPr>
            <w:tcW w:w="4373" w:type="dxa"/>
          </w:tcPr>
          <w:p>
            <w:pPr>
              <w:pStyle w:val="TableParagraph"/>
              <w:spacing w:before="14"/>
              <w:ind w:left="50"/>
              <w:jc w:val="left"/>
              <w:rPr>
                <w:sz w:val="18"/>
              </w:rPr>
            </w:pPr>
            <w:r>
              <w:rPr>
                <w:sz w:val="18"/>
              </w:rPr>
              <w:t>Net income per share, basic (3)</w:t>
            </w:r>
          </w:p>
        </w:tc>
        <w:tc>
          <w:tcPr>
            <w:tcW w:w="1339" w:type="dxa"/>
          </w:tcPr>
          <w:p>
            <w:pPr>
              <w:pStyle w:val="TableParagraph"/>
              <w:spacing w:before="14"/>
              <w:ind w:right="145"/>
              <w:rPr>
                <w:b/>
                <w:sz w:val="18"/>
              </w:rPr>
            </w:pPr>
            <w:r>
              <w:rPr>
                <w:b/>
                <w:color w:val="000080"/>
                <w:sz w:val="18"/>
              </w:rPr>
              <w:t>$1.30</w:t>
            </w:r>
          </w:p>
        </w:tc>
        <w:tc>
          <w:tcPr>
            <w:tcW w:w="1240" w:type="dxa"/>
          </w:tcPr>
          <w:p>
            <w:pPr>
              <w:pStyle w:val="TableParagraph"/>
              <w:spacing w:before="14"/>
              <w:ind w:right="179"/>
              <w:rPr>
                <w:sz w:val="18"/>
              </w:rPr>
            </w:pPr>
            <w:r>
              <w:rPr>
                <w:sz w:val="18"/>
              </w:rPr>
              <w:t>$.97</w:t>
            </w:r>
          </w:p>
        </w:tc>
        <w:tc>
          <w:tcPr>
            <w:tcW w:w="1265" w:type="dxa"/>
          </w:tcPr>
          <w:p>
            <w:pPr>
              <w:pStyle w:val="TableParagraph"/>
              <w:spacing w:before="14"/>
              <w:ind w:right="171"/>
              <w:rPr>
                <w:sz w:val="18"/>
              </w:rPr>
            </w:pPr>
            <w:r>
              <w:rPr>
                <w:sz w:val="18"/>
              </w:rPr>
              <w:t>$.64</w:t>
            </w:r>
          </w:p>
        </w:tc>
        <w:tc>
          <w:tcPr>
            <w:tcW w:w="1136" w:type="dxa"/>
          </w:tcPr>
          <w:p>
            <w:pPr>
              <w:pStyle w:val="TableParagraph"/>
              <w:spacing w:before="14"/>
              <w:ind w:right="50"/>
              <w:rPr>
                <w:sz w:val="18"/>
              </w:rPr>
            </w:pPr>
            <w:r>
              <w:rPr>
                <w:sz w:val="18"/>
              </w:rPr>
              <w:t>$.56</w:t>
            </w:r>
          </w:p>
        </w:tc>
      </w:tr>
      <w:tr>
        <w:trPr>
          <w:trHeight w:val="240" w:hRule="exact"/>
        </w:trPr>
        <w:tc>
          <w:tcPr>
            <w:tcW w:w="4373" w:type="dxa"/>
          </w:tcPr>
          <w:p>
            <w:pPr>
              <w:pStyle w:val="TableParagraph"/>
              <w:spacing w:before="14"/>
              <w:ind w:left="50"/>
              <w:jc w:val="left"/>
              <w:rPr>
                <w:sz w:val="18"/>
              </w:rPr>
            </w:pPr>
            <w:r>
              <w:rPr>
                <w:sz w:val="18"/>
              </w:rPr>
              <w:t>Net income per share, diluted (3)</w:t>
            </w:r>
          </w:p>
        </w:tc>
        <w:tc>
          <w:tcPr>
            <w:tcW w:w="1339" w:type="dxa"/>
          </w:tcPr>
          <w:p>
            <w:pPr>
              <w:pStyle w:val="TableParagraph"/>
              <w:spacing w:before="14"/>
              <w:ind w:right="145"/>
              <w:rPr>
                <w:b/>
                <w:sz w:val="18"/>
              </w:rPr>
            </w:pPr>
            <w:r>
              <w:rPr>
                <w:b/>
                <w:color w:val="000080"/>
                <w:sz w:val="18"/>
              </w:rPr>
              <w:t>$1.23</w:t>
            </w:r>
          </w:p>
        </w:tc>
        <w:tc>
          <w:tcPr>
            <w:tcW w:w="1240" w:type="dxa"/>
          </w:tcPr>
          <w:p>
            <w:pPr>
              <w:pStyle w:val="TableParagraph"/>
              <w:spacing w:before="14"/>
              <w:ind w:right="179"/>
              <w:rPr>
                <w:sz w:val="18"/>
              </w:rPr>
            </w:pPr>
            <w:r>
              <w:rPr>
                <w:sz w:val="18"/>
              </w:rPr>
              <w:t>$.93</w:t>
            </w:r>
          </w:p>
        </w:tc>
        <w:tc>
          <w:tcPr>
            <w:tcW w:w="1265" w:type="dxa"/>
          </w:tcPr>
          <w:p>
            <w:pPr>
              <w:pStyle w:val="TableParagraph"/>
              <w:spacing w:before="14"/>
              <w:ind w:right="171"/>
              <w:rPr>
                <w:sz w:val="18"/>
              </w:rPr>
            </w:pPr>
            <w:r>
              <w:rPr>
                <w:sz w:val="18"/>
              </w:rPr>
              <w:t>$.61</w:t>
            </w:r>
          </w:p>
        </w:tc>
        <w:tc>
          <w:tcPr>
            <w:tcW w:w="1136" w:type="dxa"/>
          </w:tcPr>
          <w:p>
            <w:pPr>
              <w:pStyle w:val="TableParagraph"/>
              <w:spacing w:before="14"/>
              <w:ind w:right="50"/>
              <w:rPr>
                <w:sz w:val="18"/>
              </w:rPr>
            </w:pPr>
            <w:r>
              <w:rPr>
                <w:sz w:val="18"/>
              </w:rPr>
              <w:t>$.55</w:t>
            </w:r>
          </w:p>
        </w:tc>
      </w:tr>
      <w:tr>
        <w:trPr>
          <w:trHeight w:val="240" w:hRule="exact"/>
        </w:trPr>
        <w:tc>
          <w:tcPr>
            <w:tcW w:w="4373" w:type="dxa"/>
          </w:tcPr>
          <w:p>
            <w:pPr>
              <w:pStyle w:val="TableParagraph"/>
              <w:spacing w:before="14"/>
              <w:ind w:left="50"/>
              <w:jc w:val="left"/>
              <w:rPr>
                <w:sz w:val="18"/>
              </w:rPr>
            </w:pPr>
            <w:r>
              <w:rPr>
                <w:sz w:val="18"/>
              </w:rPr>
              <w:t>Cash dividends per common share</w:t>
            </w:r>
          </w:p>
        </w:tc>
        <w:tc>
          <w:tcPr>
            <w:tcW w:w="1339" w:type="dxa"/>
          </w:tcPr>
          <w:p>
            <w:pPr>
              <w:pStyle w:val="TableParagraph"/>
              <w:spacing w:before="14"/>
              <w:ind w:right="146"/>
              <w:rPr>
                <w:b/>
                <w:sz w:val="18"/>
              </w:rPr>
            </w:pPr>
            <w:r>
              <w:rPr>
                <w:b/>
                <w:color w:val="000080"/>
                <w:sz w:val="18"/>
              </w:rPr>
              <w:t>$.02834</w:t>
            </w:r>
          </w:p>
        </w:tc>
        <w:tc>
          <w:tcPr>
            <w:tcW w:w="1240" w:type="dxa"/>
          </w:tcPr>
          <w:p>
            <w:pPr>
              <w:pStyle w:val="TableParagraph"/>
              <w:spacing w:before="14"/>
              <w:ind w:right="179"/>
              <w:rPr>
                <w:sz w:val="18"/>
              </w:rPr>
            </w:pPr>
            <w:r>
              <w:rPr>
                <w:sz w:val="18"/>
              </w:rPr>
              <w:t>$.02206</w:t>
            </w:r>
          </w:p>
        </w:tc>
        <w:tc>
          <w:tcPr>
            <w:tcW w:w="1265" w:type="dxa"/>
          </w:tcPr>
          <w:p>
            <w:pPr>
              <w:pStyle w:val="TableParagraph"/>
              <w:spacing w:before="14"/>
              <w:ind w:right="171"/>
              <w:rPr>
                <w:sz w:val="18"/>
              </w:rPr>
            </w:pPr>
            <w:r>
              <w:rPr>
                <w:sz w:val="18"/>
              </w:rPr>
              <w:t>$.01955</w:t>
            </w:r>
          </w:p>
        </w:tc>
        <w:tc>
          <w:tcPr>
            <w:tcW w:w="1136" w:type="dxa"/>
          </w:tcPr>
          <w:p>
            <w:pPr>
              <w:pStyle w:val="TableParagraph"/>
              <w:spacing w:before="14"/>
              <w:ind w:right="50"/>
              <w:rPr>
                <w:sz w:val="18"/>
              </w:rPr>
            </w:pPr>
            <w:r>
              <w:rPr>
                <w:sz w:val="18"/>
              </w:rPr>
              <w:t>$.01778</w:t>
            </w:r>
          </w:p>
        </w:tc>
      </w:tr>
      <w:tr>
        <w:trPr>
          <w:trHeight w:val="240" w:hRule="exact"/>
        </w:trPr>
        <w:tc>
          <w:tcPr>
            <w:tcW w:w="4373" w:type="dxa"/>
          </w:tcPr>
          <w:p>
            <w:pPr>
              <w:pStyle w:val="TableParagraph"/>
              <w:spacing w:before="14"/>
              <w:ind w:left="50"/>
              <w:jc w:val="left"/>
              <w:rPr>
                <w:sz w:val="18"/>
              </w:rPr>
            </w:pPr>
            <w:r>
              <w:rPr>
                <w:sz w:val="18"/>
              </w:rPr>
              <w:t>Total assets</w:t>
            </w:r>
          </w:p>
        </w:tc>
        <w:tc>
          <w:tcPr>
            <w:tcW w:w="1339" w:type="dxa"/>
          </w:tcPr>
          <w:p>
            <w:pPr>
              <w:pStyle w:val="TableParagraph"/>
              <w:spacing w:before="14"/>
              <w:ind w:right="147"/>
              <w:rPr>
                <w:b/>
                <w:sz w:val="18"/>
              </w:rPr>
            </w:pPr>
            <w:r>
              <w:rPr>
                <w:b/>
                <w:color w:val="000080"/>
                <w:sz w:val="18"/>
              </w:rPr>
              <w:t>$4,715,996</w:t>
            </w:r>
          </w:p>
        </w:tc>
        <w:tc>
          <w:tcPr>
            <w:tcW w:w="1240" w:type="dxa"/>
          </w:tcPr>
          <w:p>
            <w:pPr>
              <w:pStyle w:val="TableParagraph"/>
              <w:spacing w:before="14"/>
              <w:ind w:right="178"/>
              <w:rPr>
                <w:sz w:val="18"/>
              </w:rPr>
            </w:pPr>
            <w:r>
              <w:rPr>
                <w:sz w:val="18"/>
              </w:rPr>
              <w:t>$4,246,160</w:t>
            </w:r>
          </w:p>
        </w:tc>
        <w:tc>
          <w:tcPr>
            <w:tcW w:w="1265" w:type="dxa"/>
          </w:tcPr>
          <w:p>
            <w:pPr>
              <w:pStyle w:val="TableParagraph"/>
              <w:spacing w:before="14"/>
              <w:ind w:right="171"/>
              <w:rPr>
                <w:sz w:val="18"/>
              </w:rPr>
            </w:pPr>
            <w:r>
              <w:rPr>
                <w:sz w:val="18"/>
              </w:rPr>
              <w:t>$3,723,479</w:t>
            </w:r>
          </w:p>
        </w:tc>
        <w:tc>
          <w:tcPr>
            <w:tcW w:w="1136" w:type="dxa"/>
          </w:tcPr>
          <w:p>
            <w:pPr>
              <w:pStyle w:val="TableParagraph"/>
              <w:spacing w:before="14"/>
              <w:ind w:right="50"/>
              <w:rPr>
                <w:sz w:val="18"/>
              </w:rPr>
            </w:pPr>
            <w:r>
              <w:rPr>
                <w:sz w:val="18"/>
              </w:rPr>
              <w:t>$3,256,122</w:t>
            </w:r>
          </w:p>
        </w:tc>
      </w:tr>
      <w:tr>
        <w:trPr>
          <w:trHeight w:val="240" w:hRule="exact"/>
        </w:trPr>
        <w:tc>
          <w:tcPr>
            <w:tcW w:w="4373" w:type="dxa"/>
          </w:tcPr>
          <w:p>
            <w:pPr>
              <w:pStyle w:val="TableParagraph"/>
              <w:spacing w:before="14"/>
              <w:ind w:left="50"/>
              <w:jc w:val="left"/>
              <w:rPr>
                <w:sz w:val="18"/>
              </w:rPr>
            </w:pPr>
            <w:r>
              <w:rPr>
                <w:sz w:val="18"/>
              </w:rPr>
              <w:t>Long-term debt</w:t>
            </w:r>
          </w:p>
        </w:tc>
        <w:tc>
          <w:tcPr>
            <w:tcW w:w="1339" w:type="dxa"/>
          </w:tcPr>
          <w:p>
            <w:pPr>
              <w:pStyle w:val="TableParagraph"/>
              <w:spacing w:before="14"/>
              <w:ind w:right="146"/>
              <w:rPr>
                <w:b/>
                <w:sz w:val="18"/>
              </w:rPr>
            </w:pPr>
            <w:r>
              <w:rPr>
                <w:b/>
                <w:color w:val="000080"/>
                <w:sz w:val="18"/>
              </w:rPr>
              <w:t>$623,309</w:t>
            </w:r>
          </w:p>
        </w:tc>
        <w:tc>
          <w:tcPr>
            <w:tcW w:w="1240" w:type="dxa"/>
          </w:tcPr>
          <w:p>
            <w:pPr>
              <w:pStyle w:val="TableParagraph"/>
              <w:spacing w:before="14"/>
              <w:ind w:right="179"/>
              <w:rPr>
                <w:sz w:val="18"/>
              </w:rPr>
            </w:pPr>
            <w:r>
              <w:rPr>
                <w:sz w:val="18"/>
              </w:rPr>
              <w:t>$628,106</w:t>
            </w:r>
          </w:p>
        </w:tc>
        <w:tc>
          <w:tcPr>
            <w:tcW w:w="1265" w:type="dxa"/>
          </w:tcPr>
          <w:p>
            <w:pPr>
              <w:pStyle w:val="TableParagraph"/>
              <w:spacing w:before="14"/>
              <w:ind w:right="171"/>
              <w:rPr>
                <w:sz w:val="18"/>
              </w:rPr>
            </w:pPr>
            <w:r>
              <w:rPr>
                <w:sz w:val="18"/>
              </w:rPr>
              <w:t>$650,226</w:t>
            </w:r>
          </w:p>
        </w:tc>
        <w:tc>
          <w:tcPr>
            <w:tcW w:w="1136" w:type="dxa"/>
          </w:tcPr>
          <w:p>
            <w:pPr>
              <w:pStyle w:val="TableParagraph"/>
              <w:spacing w:before="14"/>
              <w:ind w:right="50"/>
              <w:rPr>
                <w:sz w:val="18"/>
              </w:rPr>
            </w:pPr>
            <w:r>
              <w:rPr>
                <w:sz w:val="18"/>
              </w:rPr>
              <w:t>$661,010</w:t>
            </w:r>
          </w:p>
        </w:tc>
      </w:tr>
      <w:tr>
        <w:trPr>
          <w:trHeight w:val="360" w:hRule="exact"/>
        </w:trPr>
        <w:tc>
          <w:tcPr>
            <w:tcW w:w="4373" w:type="dxa"/>
          </w:tcPr>
          <w:p>
            <w:pPr>
              <w:pStyle w:val="TableParagraph"/>
              <w:spacing w:before="14"/>
              <w:ind w:left="50"/>
              <w:jc w:val="left"/>
              <w:rPr>
                <w:sz w:val="18"/>
              </w:rPr>
            </w:pPr>
            <w:r>
              <w:rPr>
                <w:sz w:val="18"/>
              </w:rPr>
              <w:t>Stockholders’ equity</w:t>
            </w:r>
          </w:p>
        </w:tc>
        <w:tc>
          <w:tcPr>
            <w:tcW w:w="1339" w:type="dxa"/>
          </w:tcPr>
          <w:p>
            <w:pPr>
              <w:pStyle w:val="TableParagraph"/>
              <w:spacing w:before="14"/>
              <w:ind w:right="147"/>
              <w:rPr>
                <w:b/>
                <w:sz w:val="18"/>
              </w:rPr>
            </w:pPr>
            <w:r>
              <w:rPr>
                <w:b/>
                <w:color w:val="000080"/>
                <w:sz w:val="18"/>
              </w:rPr>
              <w:t>$2,397,918</w:t>
            </w:r>
          </w:p>
        </w:tc>
        <w:tc>
          <w:tcPr>
            <w:tcW w:w="1240" w:type="dxa"/>
          </w:tcPr>
          <w:p>
            <w:pPr>
              <w:pStyle w:val="TableParagraph"/>
              <w:spacing w:before="14"/>
              <w:ind w:right="178"/>
              <w:rPr>
                <w:sz w:val="18"/>
              </w:rPr>
            </w:pPr>
            <w:r>
              <w:rPr>
                <w:sz w:val="18"/>
              </w:rPr>
              <w:t>$2,009,018</w:t>
            </w:r>
          </w:p>
        </w:tc>
        <w:tc>
          <w:tcPr>
            <w:tcW w:w="1265" w:type="dxa"/>
          </w:tcPr>
          <w:p>
            <w:pPr>
              <w:pStyle w:val="TableParagraph"/>
              <w:spacing w:before="14"/>
              <w:ind w:right="171"/>
              <w:rPr>
                <w:sz w:val="18"/>
              </w:rPr>
            </w:pPr>
            <w:r>
              <w:rPr>
                <w:sz w:val="18"/>
              </w:rPr>
              <w:t>$1,648,312</w:t>
            </w:r>
          </w:p>
        </w:tc>
        <w:tc>
          <w:tcPr>
            <w:tcW w:w="1136" w:type="dxa"/>
          </w:tcPr>
          <w:p>
            <w:pPr>
              <w:pStyle w:val="TableParagraph"/>
              <w:spacing w:before="14"/>
              <w:ind w:right="50"/>
              <w:rPr>
                <w:sz w:val="18"/>
              </w:rPr>
            </w:pPr>
            <w:r>
              <w:rPr>
                <w:sz w:val="18"/>
              </w:rPr>
              <w:t>$1,427,318</w:t>
            </w:r>
          </w:p>
        </w:tc>
      </w:tr>
      <w:tr>
        <w:trPr>
          <w:trHeight w:val="600" w:hRule="exact"/>
        </w:trPr>
        <w:tc>
          <w:tcPr>
            <w:tcW w:w="4373" w:type="dxa"/>
          </w:tcPr>
          <w:p>
            <w:pPr>
              <w:pStyle w:val="TableParagraph"/>
              <w:spacing w:before="134"/>
              <w:ind w:left="50"/>
              <w:jc w:val="left"/>
              <w:rPr>
                <w:b/>
                <w:sz w:val="18"/>
              </w:rPr>
            </w:pPr>
            <w:r>
              <w:rPr>
                <w:b/>
                <w:color w:val="000080"/>
                <w:sz w:val="18"/>
              </w:rPr>
              <w:t>CONSOLIDATED FINANCIAL RATIOS (1)</w:t>
            </w:r>
          </w:p>
          <w:p>
            <w:pPr>
              <w:pStyle w:val="TableParagraph"/>
              <w:spacing w:before="32"/>
              <w:ind w:left="50"/>
              <w:jc w:val="left"/>
              <w:rPr>
                <w:sz w:val="18"/>
              </w:rPr>
            </w:pPr>
            <w:r>
              <w:rPr>
                <w:sz w:val="18"/>
              </w:rPr>
              <w:t>Return on average total assets</w:t>
            </w:r>
          </w:p>
        </w:tc>
        <w:tc>
          <w:tcPr>
            <w:tcW w:w="1339" w:type="dxa"/>
          </w:tcPr>
          <w:p>
            <w:pPr>
              <w:pStyle w:val="TableParagraph"/>
              <w:jc w:val="left"/>
              <w:rPr>
                <w:rFonts w:ascii="Times New Roman"/>
                <w:sz w:val="20"/>
              </w:rPr>
            </w:pPr>
          </w:p>
          <w:p>
            <w:pPr>
              <w:pStyle w:val="TableParagraph"/>
              <w:spacing w:before="144"/>
              <w:ind w:right="145"/>
              <w:rPr>
                <w:b/>
                <w:sz w:val="18"/>
              </w:rPr>
            </w:pPr>
            <w:r>
              <w:rPr>
                <w:b/>
                <w:color w:val="000080"/>
                <w:sz w:val="18"/>
              </w:rPr>
              <w:t>9.7 %</w:t>
            </w:r>
          </w:p>
        </w:tc>
        <w:tc>
          <w:tcPr>
            <w:tcW w:w="1240" w:type="dxa"/>
          </w:tcPr>
          <w:p>
            <w:pPr>
              <w:pStyle w:val="TableParagraph"/>
              <w:jc w:val="left"/>
              <w:rPr>
                <w:rFonts w:ascii="Times New Roman"/>
                <w:sz w:val="20"/>
              </w:rPr>
            </w:pPr>
          </w:p>
          <w:p>
            <w:pPr>
              <w:pStyle w:val="TableParagraph"/>
              <w:spacing w:before="144"/>
              <w:ind w:right="178"/>
              <w:rPr>
                <w:sz w:val="18"/>
              </w:rPr>
            </w:pPr>
            <w:r>
              <w:rPr>
                <w:sz w:val="18"/>
              </w:rPr>
              <w:t>8.0 %</w:t>
            </w:r>
          </w:p>
        </w:tc>
        <w:tc>
          <w:tcPr>
            <w:tcW w:w="1265" w:type="dxa"/>
          </w:tcPr>
          <w:p>
            <w:pPr>
              <w:pStyle w:val="TableParagraph"/>
              <w:jc w:val="left"/>
              <w:rPr>
                <w:rFonts w:ascii="Times New Roman"/>
                <w:sz w:val="20"/>
              </w:rPr>
            </w:pPr>
          </w:p>
          <w:p>
            <w:pPr>
              <w:pStyle w:val="TableParagraph"/>
              <w:spacing w:before="144"/>
              <w:ind w:right="170"/>
              <w:rPr>
                <w:sz w:val="18"/>
              </w:rPr>
            </w:pPr>
            <w:r>
              <w:rPr>
                <w:sz w:val="18"/>
              </w:rPr>
              <w:t>5.9 %</w:t>
            </w:r>
          </w:p>
        </w:tc>
        <w:tc>
          <w:tcPr>
            <w:tcW w:w="1136" w:type="dxa"/>
          </w:tcPr>
          <w:p>
            <w:pPr>
              <w:pStyle w:val="TableParagraph"/>
              <w:jc w:val="left"/>
              <w:rPr>
                <w:rFonts w:ascii="Times New Roman"/>
                <w:sz w:val="20"/>
              </w:rPr>
            </w:pPr>
          </w:p>
          <w:p>
            <w:pPr>
              <w:pStyle w:val="TableParagraph"/>
              <w:spacing w:before="144"/>
              <w:ind w:right="49"/>
              <w:rPr>
                <w:sz w:val="18"/>
              </w:rPr>
            </w:pPr>
            <w:r>
              <w:rPr>
                <w:sz w:val="18"/>
              </w:rPr>
              <w:t>6.0 %</w:t>
            </w:r>
          </w:p>
        </w:tc>
      </w:tr>
      <w:tr>
        <w:trPr>
          <w:trHeight w:val="360" w:hRule="exact"/>
        </w:trPr>
        <w:tc>
          <w:tcPr>
            <w:tcW w:w="4373" w:type="dxa"/>
          </w:tcPr>
          <w:p>
            <w:pPr>
              <w:pStyle w:val="TableParagraph"/>
              <w:spacing w:before="14"/>
              <w:ind w:left="50"/>
              <w:jc w:val="left"/>
              <w:rPr>
                <w:sz w:val="18"/>
              </w:rPr>
            </w:pPr>
            <w:r>
              <w:rPr>
                <w:sz w:val="18"/>
              </w:rPr>
              <w:t>Return on average stockholders’ equity</w:t>
            </w:r>
          </w:p>
        </w:tc>
        <w:tc>
          <w:tcPr>
            <w:tcW w:w="1339" w:type="dxa"/>
          </w:tcPr>
          <w:p>
            <w:pPr>
              <w:pStyle w:val="TableParagraph"/>
              <w:spacing w:before="14"/>
              <w:ind w:right="144"/>
              <w:rPr>
                <w:b/>
                <w:sz w:val="18"/>
              </w:rPr>
            </w:pPr>
            <w:r>
              <w:rPr>
                <w:b/>
                <w:color w:val="000080"/>
                <w:sz w:val="18"/>
              </w:rPr>
              <w:t>19.7 %</w:t>
            </w:r>
          </w:p>
        </w:tc>
        <w:tc>
          <w:tcPr>
            <w:tcW w:w="1240" w:type="dxa"/>
          </w:tcPr>
          <w:p>
            <w:pPr>
              <w:pStyle w:val="TableParagraph"/>
              <w:spacing w:before="14"/>
              <w:ind w:right="177"/>
              <w:rPr>
                <w:sz w:val="18"/>
              </w:rPr>
            </w:pPr>
            <w:r>
              <w:rPr>
                <w:sz w:val="18"/>
              </w:rPr>
              <w:t>17.4 %</w:t>
            </w:r>
          </w:p>
        </w:tc>
        <w:tc>
          <w:tcPr>
            <w:tcW w:w="1265" w:type="dxa"/>
          </w:tcPr>
          <w:p>
            <w:pPr>
              <w:pStyle w:val="TableParagraph"/>
              <w:spacing w:before="14"/>
              <w:ind w:right="170"/>
              <w:rPr>
                <w:sz w:val="18"/>
              </w:rPr>
            </w:pPr>
            <w:r>
              <w:rPr>
                <w:sz w:val="18"/>
              </w:rPr>
              <w:t>13.5 %</w:t>
            </w:r>
          </w:p>
        </w:tc>
        <w:tc>
          <w:tcPr>
            <w:tcW w:w="1136" w:type="dxa"/>
          </w:tcPr>
          <w:p>
            <w:pPr>
              <w:pStyle w:val="TableParagraph"/>
              <w:spacing w:before="14"/>
              <w:ind w:right="49"/>
              <w:rPr>
                <w:sz w:val="18"/>
              </w:rPr>
            </w:pPr>
            <w:r>
              <w:rPr>
                <w:sz w:val="18"/>
              </w:rPr>
              <w:t>13.7 %</w:t>
            </w:r>
          </w:p>
        </w:tc>
      </w:tr>
      <w:tr>
        <w:trPr>
          <w:trHeight w:val="600" w:hRule="exact"/>
        </w:trPr>
        <w:tc>
          <w:tcPr>
            <w:tcW w:w="4373" w:type="dxa"/>
          </w:tcPr>
          <w:p>
            <w:pPr>
              <w:pStyle w:val="TableParagraph"/>
              <w:spacing w:before="134"/>
              <w:ind w:left="50"/>
              <w:jc w:val="left"/>
              <w:rPr>
                <w:b/>
                <w:sz w:val="18"/>
              </w:rPr>
            </w:pPr>
            <w:r>
              <w:rPr>
                <w:b/>
                <w:color w:val="000080"/>
                <w:sz w:val="18"/>
              </w:rPr>
              <w:t>CONSOLIDATED OPERATING STATISTICS (2)</w:t>
            </w:r>
          </w:p>
          <w:p>
            <w:pPr>
              <w:pStyle w:val="TableParagraph"/>
              <w:spacing w:before="32"/>
              <w:ind w:left="50"/>
              <w:jc w:val="left"/>
              <w:rPr>
                <w:sz w:val="18"/>
              </w:rPr>
            </w:pPr>
            <w:r>
              <w:rPr>
                <w:sz w:val="18"/>
              </w:rPr>
              <w:t>Revenue passengers carried</w:t>
            </w:r>
          </w:p>
        </w:tc>
        <w:tc>
          <w:tcPr>
            <w:tcW w:w="1339" w:type="dxa"/>
          </w:tcPr>
          <w:p>
            <w:pPr>
              <w:pStyle w:val="TableParagraph"/>
              <w:jc w:val="left"/>
              <w:rPr>
                <w:rFonts w:ascii="Times New Roman"/>
                <w:sz w:val="20"/>
              </w:rPr>
            </w:pPr>
          </w:p>
          <w:p>
            <w:pPr>
              <w:pStyle w:val="TableParagraph"/>
              <w:spacing w:before="144"/>
              <w:ind w:right="147"/>
              <w:rPr>
                <w:b/>
                <w:sz w:val="18"/>
              </w:rPr>
            </w:pPr>
            <w:r>
              <w:rPr>
                <w:b/>
                <w:color w:val="000080"/>
                <w:sz w:val="18"/>
              </w:rPr>
              <w:t>52,586,400</w:t>
            </w:r>
          </w:p>
        </w:tc>
        <w:tc>
          <w:tcPr>
            <w:tcW w:w="1240" w:type="dxa"/>
          </w:tcPr>
          <w:p>
            <w:pPr>
              <w:pStyle w:val="TableParagraph"/>
              <w:jc w:val="left"/>
              <w:rPr>
                <w:rFonts w:ascii="Times New Roman"/>
                <w:sz w:val="20"/>
              </w:rPr>
            </w:pPr>
          </w:p>
          <w:p>
            <w:pPr>
              <w:pStyle w:val="TableParagraph"/>
              <w:spacing w:before="144"/>
              <w:ind w:right="178"/>
              <w:rPr>
                <w:sz w:val="18"/>
              </w:rPr>
            </w:pPr>
            <w:r>
              <w:rPr>
                <w:sz w:val="18"/>
              </w:rPr>
              <w:t>50,399,960</w:t>
            </w:r>
          </w:p>
        </w:tc>
        <w:tc>
          <w:tcPr>
            <w:tcW w:w="1265" w:type="dxa"/>
          </w:tcPr>
          <w:p>
            <w:pPr>
              <w:pStyle w:val="TableParagraph"/>
              <w:jc w:val="left"/>
              <w:rPr>
                <w:rFonts w:ascii="Times New Roman"/>
                <w:sz w:val="20"/>
              </w:rPr>
            </w:pPr>
          </w:p>
          <w:p>
            <w:pPr>
              <w:pStyle w:val="TableParagraph"/>
              <w:spacing w:before="144"/>
              <w:ind w:right="171"/>
              <w:rPr>
                <w:sz w:val="18"/>
              </w:rPr>
            </w:pPr>
            <w:r>
              <w:rPr>
                <w:sz w:val="18"/>
              </w:rPr>
              <w:t>49,621,504</w:t>
            </w:r>
          </w:p>
        </w:tc>
        <w:tc>
          <w:tcPr>
            <w:tcW w:w="1136" w:type="dxa"/>
          </w:tcPr>
          <w:p>
            <w:pPr>
              <w:pStyle w:val="TableParagraph"/>
              <w:jc w:val="left"/>
              <w:rPr>
                <w:rFonts w:ascii="Times New Roman"/>
                <w:sz w:val="20"/>
              </w:rPr>
            </w:pPr>
          </w:p>
          <w:p>
            <w:pPr>
              <w:pStyle w:val="TableParagraph"/>
              <w:spacing w:before="144"/>
              <w:ind w:right="50"/>
              <w:rPr>
                <w:sz w:val="18"/>
              </w:rPr>
            </w:pPr>
            <w:r>
              <w:rPr>
                <w:sz w:val="18"/>
              </w:rPr>
              <w:t>44,785,573</w:t>
            </w:r>
          </w:p>
        </w:tc>
      </w:tr>
      <w:tr>
        <w:trPr>
          <w:trHeight w:val="240" w:hRule="exact"/>
        </w:trPr>
        <w:tc>
          <w:tcPr>
            <w:tcW w:w="4373" w:type="dxa"/>
          </w:tcPr>
          <w:p>
            <w:pPr>
              <w:pStyle w:val="TableParagraph"/>
              <w:spacing w:before="14"/>
              <w:ind w:left="50"/>
              <w:jc w:val="left"/>
              <w:rPr>
                <w:sz w:val="18"/>
              </w:rPr>
            </w:pPr>
            <w:r>
              <w:rPr>
                <w:sz w:val="18"/>
              </w:rPr>
              <w:t>RPMs (000s)</w:t>
            </w:r>
          </w:p>
        </w:tc>
        <w:tc>
          <w:tcPr>
            <w:tcW w:w="1339" w:type="dxa"/>
          </w:tcPr>
          <w:p>
            <w:pPr>
              <w:pStyle w:val="TableParagraph"/>
              <w:spacing w:before="14"/>
              <w:ind w:right="147"/>
              <w:rPr>
                <w:b/>
                <w:sz w:val="18"/>
              </w:rPr>
            </w:pPr>
            <w:r>
              <w:rPr>
                <w:b/>
                <w:color w:val="000080"/>
                <w:sz w:val="18"/>
              </w:rPr>
              <w:t>31,419,110</w:t>
            </w:r>
          </w:p>
        </w:tc>
        <w:tc>
          <w:tcPr>
            <w:tcW w:w="1240" w:type="dxa"/>
          </w:tcPr>
          <w:p>
            <w:pPr>
              <w:pStyle w:val="TableParagraph"/>
              <w:spacing w:before="14"/>
              <w:ind w:right="178"/>
              <w:rPr>
                <w:sz w:val="18"/>
              </w:rPr>
            </w:pPr>
            <w:r>
              <w:rPr>
                <w:sz w:val="18"/>
              </w:rPr>
              <w:t>28,355,169</w:t>
            </w:r>
          </w:p>
        </w:tc>
        <w:tc>
          <w:tcPr>
            <w:tcW w:w="1265" w:type="dxa"/>
          </w:tcPr>
          <w:p>
            <w:pPr>
              <w:pStyle w:val="TableParagraph"/>
              <w:spacing w:before="14"/>
              <w:ind w:right="171"/>
              <w:rPr>
                <w:sz w:val="18"/>
              </w:rPr>
            </w:pPr>
            <w:r>
              <w:rPr>
                <w:sz w:val="18"/>
              </w:rPr>
              <w:t>27,083,483</w:t>
            </w:r>
          </w:p>
        </w:tc>
        <w:tc>
          <w:tcPr>
            <w:tcW w:w="1136" w:type="dxa"/>
          </w:tcPr>
          <w:p>
            <w:pPr>
              <w:pStyle w:val="TableParagraph"/>
              <w:spacing w:before="14"/>
              <w:ind w:right="50"/>
              <w:rPr>
                <w:sz w:val="18"/>
              </w:rPr>
            </w:pPr>
            <w:r>
              <w:rPr>
                <w:sz w:val="18"/>
              </w:rPr>
              <w:t>23,327,804</w:t>
            </w:r>
          </w:p>
        </w:tc>
      </w:tr>
      <w:tr>
        <w:trPr>
          <w:trHeight w:val="240" w:hRule="exact"/>
        </w:trPr>
        <w:tc>
          <w:tcPr>
            <w:tcW w:w="4373" w:type="dxa"/>
          </w:tcPr>
          <w:p>
            <w:pPr>
              <w:pStyle w:val="TableParagraph"/>
              <w:spacing w:before="14"/>
              <w:ind w:left="50"/>
              <w:jc w:val="left"/>
              <w:rPr>
                <w:sz w:val="18"/>
              </w:rPr>
            </w:pPr>
            <w:r>
              <w:rPr>
                <w:sz w:val="18"/>
              </w:rPr>
              <w:t>ASMs (000s)</w:t>
            </w:r>
          </w:p>
        </w:tc>
        <w:tc>
          <w:tcPr>
            <w:tcW w:w="1339" w:type="dxa"/>
          </w:tcPr>
          <w:p>
            <w:pPr>
              <w:pStyle w:val="TableParagraph"/>
              <w:spacing w:before="14"/>
              <w:ind w:right="147"/>
              <w:rPr>
                <w:b/>
                <w:sz w:val="18"/>
              </w:rPr>
            </w:pPr>
            <w:r>
              <w:rPr>
                <w:b/>
                <w:color w:val="000080"/>
                <w:sz w:val="18"/>
              </w:rPr>
              <w:t>47,543,515</w:t>
            </w:r>
          </w:p>
        </w:tc>
        <w:tc>
          <w:tcPr>
            <w:tcW w:w="1240" w:type="dxa"/>
          </w:tcPr>
          <w:p>
            <w:pPr>
              <w:pStyle w:val="TableParagraph"/>
              <w:spacing w:before="14"/>
              <w:ind w:right="178"/>
              <w:rPr>
                <w:sz w:val="18"/>
              </w:rPr>
            </w:pPr>
            <w:r>
              <w:rPr>
                <w:sz w:val="18"/>
              </w:rPr>
              <w:t>44,487,496</w:t>
            </w:r>
          </w:p>
        </w:tc>
        <w:tc>
          <w:tcPr>
            <w:tcW w:w="1265" w:type="dxa"/>
          </w:tcPr>
          <w:p>
            <w:pPr>
              <w:pStyle w:val="TableParagraph"/>
              <w:spacing w:before="14"/>
              <w:ind w:right="171"/>
              <w:rPr>
                <w:sz w:val="18"/>
              </w:rPr>
            </w:pPr>
            <w:r>
              <w:rPr>
                <w:sz w:val="18"/>
              </w:rPr>
              <w:t>40,727,495</w:t>
            </w:r>
          </w:p>
        </w:tc>
        <w:tc>
          <w:tcPr>
            <w:tcW w:w="1136" w:type="dxa"/>
          </w:tcPr>
          <w:p>
            <w:pPr>
              <w:pStyle w:val="TableParagraph"/>
              <w:spacing w:before="14"/>
              <w:ind w:right="50"/>
              <w:rPr>
                <w:sz w:val="18"/>
              </w:rPr>
            </w:pPr>
            <w:r>
              <w:rPr>
                <w:sz w:val="18"/>
              </w:rPr>
              <w:t>36,180,001</w:t>
            </w:r>
          </w:p>
        </w:tc>
      </w:tr>
      <w:tr>
        <w:trPr>
          <w:trHeight w:val="240" w:hRule="exact"/>
        </w:trPr>
        <w:tc>
          <w:tcPr>
            <w:tcW w:w="4373" w:type="dxa"/>
          </w:tcPr>
          <w:p>
            <w:pPr>
              <w:pStyle w:val="TableParagraph"/>
              <w:spacing w:before="14"/>
              <w:ind w:left="50"/>
              <w:jc w:val="left"/>
              <w:rPr>
                <w:sz w:val="18"/>
              </w:rPr>
            </w:pPr>
            <w:r>
              <w:rPr>
                <w:sz w:val="18"/>
              </w:rPr>
              <w:t>Passenger  load factor</w:t>
            </w:r>
          </w:p>
        </w:tc>
        <w:tc>
          <w:tcPr>
            <w:tcW w:w="1339" w:type="dxa"/>
          </w:tcPr>
          <w:p>
            <w:pPr>
              <w:pStyle w:val="TableParagraph"/>
              <w:spacing w:before="14"/>
              <w:ind w:right="144"/>
              <w:rPr>
                <w:b/>
                <w:sz w:val="18"/>
              </w:rPr>
            </w:pPr>
            <w:r>
              <w:rPr>
                <w:b/>
                <w:color w:val="000080"/>
                <w:sz w:val="18"/>
              </w:rPr>
              <w:t>66.1%</w:t>
            </w:r>
          </w:p>
        </w:tc>
        <w:tc>
          <w:tcPr>
            <w:tcW w:w="1240" w:type="dxa"/>
          </w:tcPr>
          <w:p>
            <w:pPr>
              <w:pStyle w:val="TableParagraph"/>
              <w:spacing w:before="14"/>
              <w:ind w:right="176"/>
              <w:rPr>
                <w:sz w:val="18"/>
              </w:rPr>
            </w:pPr>
            <w:r>
              <w:rPr>
                <w:sz w:val="18"/>
              </w:rPr>
              <w:t>63.7%</w:t>
            </w:r>
          </w:p>
        </w:tc>
        <w:tc>
          <w:tcPr>
            <w:tcW w:w="1265" w:type="dxa"/>
          </w:tcPr>
          <w:p>
            <w:pPr>
              <w:pStyle w:val="TableParagraph"/>
              <w:spacing w:before="14"/>
              <w:ind w:right="169"/>
              <w:rPr>
                <w:sz w:val="18"/>
              </w:rPr>
            </w:pPr>
            <w:r>
              <w:rPr>
                <w:sz w:val="18"/>
              </w:rPr>
              <w:t>66.5%</w:t>
            </w:r>
          </w:p>
        </w:tc>
        <w:tc>
          <w:tcPr>
            <w:tcW w:w="1136" w:type="dxa"/>
          </w:tcPr>
          <w:p>
            <w:pPr>
              <w:pStyle w:val="TableParagraph"/>
              <w:spacing w:before="14"/>
              <w:ind w:right="48"/>
              <w:rPr>
                <w:sz w:val="18"/>
              </w:rPr>
            </w:pPr>
            <w:r>
              <w:rPr>
                <w:sz w:val="18"/>
              </w:rPr>
              <w:t>64.5%</w:t>
            </w:r>
          </w:p>
        </w:tc>
      </w:tr>
      <w:tr>
        <w:trPr>
          <w:trHeight w:val="240" w:hRule="exact"/>
        </w:trPr>
        <w:tc>
          <w:tcPr>
            <w:tcW w:w="4373" w:type="dxa"/>
          </w:tcPr>
          <w:p>
            <w:pPr>
              <w:pStyle w:val="TableParagraph"/>
              <w:spacing w:before="14"/>
              <w:ind w:left="50"/>
              <w:jc w:val="left"/>
              <w:rPr>
                <w:sz w:val="18"/>
              </w:rPr>
            </w:pPr>
            <w:r>
              <w:rPr>
                <w:sz w:val="18"/>
              </w:rPr>
              <w:t>Average  length of passenger haul</w:t>
            </w:r>
          </w:p>
        </w:tc>
        <w:tc>
          <w:tcPr>
            <w:tcW w:w="1339" w:type="dxa"/>
          </w:tcPr>
          <w:p>
            <w:pPr>
              <w:pStyle w:val="TableParagraph"/>
              <w:spacing w:before="14"/>
              <w:ind w:right="145"/>
              <w:rPr>
                <w:b/>
                <w:sz w:val="18"/>
              </w:rPr>
            </w:pPr>
            <w:r>
              <w:rPr>
                <w:b/>
                <w:color w:val="000080"/>
                <w:sz w:val="18"/>
              </w:rPr>
              <w:t>597</w:t>
            </w:r>
          </w:p>
        </w:tc>
        <w:tc>
          <w:tcPr>
            <w:tcW w:w="1240" w:type="dxa"/>
          </w:tcPr>
          <w:p>
            <w:pPr>
              <w:pStyle w:val="TableParagraph"/>
              <w:spacing w:before="14"/>
              <w:ind w:right="179"/>
              <w:rPr>
                <w:sz w:val="18"/>
              </w:rPr>
            </w:pPr>
            <w:r>
              <w:rPr>
                <w:sz w:val="18"/>
              </w:rPr>
              <w:t>563</w:t>
            </w:r>
          </w:p>
        </w:tc>
        <w:tc>
          <w:tcPr>
            <w:tcW w:w="1265" w:type="dxa"/>
          </w:tcPr>
          <w:p>
            <w:pPr>
              <w:pStyle w:val="TableParagraph"/>
              <w:spacing w:before="14"/>
              <w:ind w:right="172"/>
              <w:rPr>
                <w:sz w:val="18"/>
              </w:rPr>
            </w:pPr>
            <w:r>
              <w:rPr>
                <w:sz w:val="18"/>
              </w:rPr>
              <w:t>546</w:t>
            </w:r>
          </w:p>
        </w:tc>
        <w:tc>
          <w:tcPr>
            <w:tcW w:w="1136" w:type="dxa"/>
          </w:tcPr>
          <w:p>
            <w:pPr>
              <w:pStyle w:val="TableParagraph"/>
              <w:spacing w:before="14"/>
              <w:ind w:right="50"/>
              <w:rPr>
                <w:sz w:val="18"/>
              </w:rPr>
            </w:pPr>
            <w:r>
              <w:rPr>
                <w:sz w:val="18"/>
              </w:rPr>
              <w:t>521</w:t>
            </w:r>
          </w:p>
        </w:tc>
      </w:tr>
      <w:tr>
        <w:trPr>
          <w:trHeight w:val="240" w:hRule="exact"/>
        </w:trPr>
        <w:tc>
          <w:tcPr>
            <w:tcW w:w="4373" w:type="dxa"/>
          </w:tcPr>
          <w:p>
            <w:pPr>
              <w:pStyle w:val="TableParagraph"/>
              <w:spacing w:before="14"/>
              <w:ind w:left="50"/>
              <w:jc w:val="left"/>
              <w:rPr>
                <w:sz w:val="18"/>
              </w:rPr>
            </w:pPr>
            <w:r>
              <w:rPr>
                <w:sz w:val="18"/>
              </w:rPr>
              <w:t>Trips flown</w:t>
            </w:r>
          </w:p>
        </w:tc>
        <w:tc>
          <w:tcPr>
            <w:tcW w:w="1339" w:type="dxa"/>
          </w:tcPr>
          <w:p>
            <w:pPr>
              <w:pStyle w:val="TableParagraph"/>
              <w:spacing w:before="14"/>
              <w:ind w:right="146"/>
              <w:rPr>
                <w:b/>
                <w:sz w:val="18"/>
              </w:rPr>
            </w:pPr>
            <w:r>
              <w:rPr>
                <w:b/>
                <w:color w:val="000080"/>
                <w:sz w:val="18"/>
              </w:rPr>
              <w:t>806,822</w:t>
            </w:r>
          </w:p>
        </w:tc>
        <w:tc>
          <w:tcPr>
            <w:tcW w:w="1240" w:type="dxa"/>
          </w:tcPr>
          <w:p>
            <w:pPr>
              <w:pStyle w:val="TableParagraph"/>
              <w:spacing w:before="14"/>
              <w:ind w:right="179"/>
              <w:rPr>
                <w:sz w:val="18"/>
              </w:rPr>
            </w:pPr>
            <w:r>
              <w:rPr>
                <w:sz w:val="18"/>
              </w:rPr>
              <w:t>786,288</w:t>
            </w:r>
          </w:p>
        </w:tc>
        <w:tc>
          <w:tcPr>
            <w:tcW w:w="1265" w:type="dxa"/>
          </w:tcPr>
          <w:p>
            <w:pPr>
              <w:pStyle w:val="TableParagraph"/>
              <w:spacing w:before="14"/>
              <w:ind w:right="171"/>
              <w:rPr>
                <w:sz w:val="18"/>
              </w:rPr>
            </w:pPr>
            <w:r>
              <w:rPr>
                <w:sz w:val="18"/>
              </w:rPr>
              <w:t>748,634</w:t>
            </w:r>
          </w:p>
        </w:tc>
        <w:tc>
          <w:tcPr>
            <w:tcW w:w="1136" w:type="dxa"/>
          </w:tcPr>
          <w:p>
            <w:pPr>
              <w:pStyle w:val="TableParagraph"/>
              <w:spacing w:before="14"/>
              <w:ind w:right="50"/>
              <w:rPr>
                <w:sz w:val="18"/>
              </w:rPr>
            </w:pPr>
            <w:r>
              <w:rPr>
                <w:sz w:val="18"/>
              </w:rPr>
              <w:t>685,524</w:t>
            </w:r>
          </w:p>
        </w:tc>
      </w:tr>
      <w:tr>
        <w:trPr>
          <w:trHeight w:val="240" w:hRule="exact"/>
        </w:trPr>
        <w:tc>
          <w:tcPr>
            <w:tcW w:w="4373" w:type="dxa"/>
          </w:tcPr>
          <w:p>
            <w:pPr>
              <w:pStyle w:val="TableParagraph"/>
              <w:spacing w:before="14"/>
              <w:ind w:left="50"/>
              <w:jc w:val="left"/>
              <w:rPr>
                <w:sz w:val="18"/>
              </w:rPr>
            </w:pPr>
            <w:r>
              <w:rPr>
                <w:sz w:val="18"/>
              </w:rPr>
              <w:t>Average  passenger fare</w:t>
            </w:r>
          </w:p>
        </w:tc>
        <w:tc>
          <w:tcPr>
            <w:tcW w:w="1339" w:type="dxa"/>
          </w:tcPr>
          <w:p>
            <w:pPr>
              <w:pStyle w:val="TableParagraph"/>
              <w:spacing w:before="14"/>
              <w:ind w:right="145"/>
              <w:rPr>
                <w:b/>
                <w:sz w:val="18"/>
              </w:rPr>
            </w:pPr>
            <w:r>
              <w:rPr>
                <w:b/>
                <w:color w:val="000080"/>
                <w:sz w:val="18"/>
              </w:rPr>
              <w:t>$75.38</w:t>
            </w:r>
          </w:p>
        </w:tc>
        <w:tc>
          <w:tcPr>
            <w:tcW w:w="1240" w:type="dxa"/>
          </w:tcPr>
          <w:p>
            <w:pPr>
              <w:pStyle w:val="TableParagraph"/>
              <w:spacing w:before="14"/>
              <w:ind w:right="179"/>
              <w:rPr>
                <w:sz w:val="18"/>
              </w:rPr>
            </w:pPr>
            <w:r>
              <w:rPr>
                <w:sz w:val="18"/>
              </w:rPr>
              <w:t>$72.21</w:t>
            </w:r>
          </w:p>
        </w:tc>
        <w:tc>
          <w:tcPr>
            <w:tcW w:w="1265" w:type="dxa"/>
          </w:tcPr>
          <w:p>
            <w:pPr>
              <w:pStyle w:val="TableParagraph"/>
              <w:spacing w:before="14"/>
              <w:ind w:right="171"/>
              <w:rPr>
                <w:sz w:val="18"/>
              </w:rPr>
            </w:pPr>
            <w:r>
              <w:rPr>
                <w:sz w:val="18"/>
              </w:rPr>
              <w:t>$65.88</w:t>
            </w:r>
          </w:p>
        </w:tc>
        <w:tc>
          <w:tcPr>
            <w:tcW w:w="1136" w:type="dxa"/>
          </w:tcPr>
          <w:p>
            <w:pPr>
              <w:pStyle w:val="TableParagraph"/>
              <w:spacing w:before="14"/>
              <w:ind w:right="50"/>
              <w:rPr>
                <w:sz w:val="18"/>
              </w:rPr>
            </w:pPr>
            <w:r>
              <w:rPr>
                <w:sz w:val="18"/>
              </w:rPr>
              <w:t>$61.64</w:t>
            </w:r>
          </w:p>
        </w:tc>
      </w:tr>
      <w:tr>
        <w:trPr>
          <w:trHeight w:val="240" w:hRule="exact"/>
        </w:trPr>
        <w:tc>
          <w:tcPr>
            <w:tcW w:w="4373" w:type="dxa"/>
          </w:tcPr>
          <w:p>
            <w:pPr>
              <w:pStyle w:val="TableParagraph"/>
              <w:spacing w:before="14"/>
              <w:ind w:left="50"/>
              <w:jc w:val="left"/>
              <w:rPr>
                <w:sz w:val="18"/>
              </w:rPr>
            </w:pPr>
            <w:r>
              <w:rPr>
                <w:sz w:val="18"/>
              </w:rPr>
              <w:t>Passenger  revenue yield per RPM</w:t>
            </w:r>
          </w:p>
        </w:tc>
        <w:tc>
          <w:tcPr>
            <w:tcW w:w="1339" w:type="dxa"/>
          </w:tcPr>
          <w:p>
            <w:pPr>
              <w:pStyle w:val="TableParagraph"/>
              <w:spacing w:before="14"/>
              <w:ind w:right="145"/>
              <w:rPr>
                <w:b/>
                <w:sz w:val="18"/>
              </w:rPr>
            </w:pPr>
            <w:r>
              <w:rPr>
                <w:b/>
                <w:color w:val="000080"/>
                <w:sz w:val="18"/>
              </w:rPr>
              <w:t>12.62¢</w:t>
            </w:r>
          </w:p>
        </w:tc>
        <w:tc>
          <w:tcPr>
            <w:tcW w:w="1240" w:type="dxa"/>
          </w:tcPr>
          <w:p>
            <w:pPr>
              <w:pStyle w:val="TableParagraph"/>
              <w:spacing w:before="14"/>
              <w:ind w:right="179"/>
              <w:rPr>
                <w:sz w:val="18"/>
              </w:rPr>
            </w:pPr>
            <w:r>
              <w:rPr>
                <w:sz w:val="18"/>
              </w:rPr>
              <w:t>12.84¢</w:t>
            </w:r>
          </w:p>
        </w:tc>
        <w:tc>
          <w:tcPr>
            <w:tcW w:w="1265" w:type="dxa"/>
          </w:tcPr>
          <w:p>
            <w:pPr>
              <w:pStyle w:val="TableParagraph"/>
              <w:spacing w:before="14"/>
              <w:ind w:right="171"/>
              <w:rPr>
                <w:sz w:val="18"/>
              </w:rPr>
            </w:pPr>
            <w:r>
              <w:rPr>
                <w:sz w:val="18"/>
              </w:rPr>
              <w:t>12.07¢</w:t>
            </w:r>
          </w:p>
        </w:tc>
        <w:tc>
          <w:tcPr>
            <w:tcW w:w="1136" w:type="dxa"/>
          </w:tcPr>
          <w:p>
            <w:pPr>
              <w:pStyle w:val="TableParagraph"/>
              <w:spacing w:before="14"/>
              <w:ind w:right="50"/>
              <w:rPr>
                <w:sz w:val="18"/>
              </w:rPr>
            </w:pPr>
            <w:r>
              <w:rPr>
                <w:sz w:val="18"/>
              </w:rPr>
              <w:t>11.83¢</w:t>
            </w:r>
          </w:p>
        </w:tc>
      </w:tr>
      <w:tr>
        <w:trPr>
          <w:trHeight w:val="240" w:hRule="exact"/>
        </w:trPr>
        <w:tc>
          <w:tcPr>
            <w:tcW w:w="4373" w:type="dxa"/>
          </w:tcPr>
          <w:p>
            <w:pPr>
              <w:pStyle w:val="TableParagraph"/>
              <w:spacing w:before="14"/>
              <w:ind w:left="50"/>
              <w:jc w:val="left"/>
              <w:rPr>
                <w:sz w:val="18"/>
              </w:rPr>
            </w:pPr>
            <w:r>
              <w:rPr>
                <w:sz w:val="18"/>
              </w:rPr>
              <w:t>Operating revenue yield per ASM</w:t>
            </w:r>
          </w:p>
        </w:tc>
        <w:tc>
          <w:tcPr>
            <w:tcW w:w="1339" w:type="dxa"/>
          </w:tcPr>
          <w:p>
            <w:pPr>
              <w:pStyle w:val="TableParagraph"/>
              <w:spacing w:before="14"/>
              <w:ind w:right="145"/>
              <w:rPr>
                <w:b/>
                <w:sz w:val="18"/>
              </w:rPr>
            </w:pPr>
            <w:r>
              <w:rPr>
                <w:b/>
                <w:color w:val="000080"/>
                <w:sz w:val="18"/>
              </w:rPr>
              <w:t>8.76¢</w:t>
            </w:r>
          </w:p>
        </w:tc>
        <w:tc>
          <w:tcPr>
            <w:tcW w:w="1240" w:type="dxa"/>
          </w:tcPr>
          <w:p>
            <w:pPr>
              <w:pStyle w:val="TableParagraph"/>
              <w:spacing w:before="14"/>
              <w:ind w:right="179"/>
              <w:rPr>
                <w:sz w:val="18"/>
              </w:rPr>
            </w:pPr>
            <w:r>
              <w:rPr>
                <w:sz w:val="18"/>
              </w:rPr>
              <w:t>8.58¢</w:t>
            </w:r>
          </w:p>
        </w:tc>
        <w:tc>
          <w:tcPr>
            <w:tcW w:w="1265" w:type="dxa"/>
          </w:tcPr>
          <w:p>
            <w:pPr>
              <w:pStyle w:val="TableParagraph"/>
              <w:spacing w:before="14"/>
              <w:ind w:right="171"/>
              <w:rPr>
                <w:sz w:val="18"/>
              </w:rPr>
            </w:pPr>
            <w:r>
              <w:rPr>
                <w:sz w:val="18"/>
              </w:rPr>
              <w:t>8.36¢</w:t>
            </w:r>
          </w:p>
        </w:tc>
        <w:tc>
          <w:tcPr>
            <w:tcW w:w="1136" w:type="dxa"/>
          </w:tcPr>
          <w:p>
            <w:pPr>
              <w:pStyle w:val="TableParagraph"/>
              <w:spacing w:before="14"/>
              <w:ind w:right="50"/>
              <w:rPr>
                <w:sz w:val="18"/>
              </w:rPr>
            </w:pPr>
            <w:r>
              <w:rPr>
                <w:sz w:val="18"/>
              </w:rPr>
              <w:t>7.94¢</w:t>
            </w:r>
          </w:p>
        </w:tc>
      </w:tr>
      <w:tr>
        <w:trPr>
          <w:trHeight w:val="240" w:hRule="exact"/>
        </w:trPr>
        <w:tc>
          <w:tcPr>
            <w:tcW w:w="4373" w:type="dxa"/>
          </w:tcPr>
          <w:p>
            <w:pPr>
              <w:pStyle w:val="TableParagraph"/>
              <w:spacing w:before="14"/>
              <w:ind w:left="50"/>
              <w:jc w:val="left"/>
              <w:rPr>
                <w:sz w:val="18"/>
              </w:rPr>
            </w:pPr>
            <w:r>
              <w:rPr>
                <w:sz w:val="18"/>
              </w:rPr>
              <w:t>Operating expenses per ASM</w:t>
            </w:r>
          </w:p>
        </w:tc>
        <w:tc>
          <w:tcPr>
            <w:tcW w:w="1339" w:type="dxa"/>
          </w:tcPr>
          <w:p>
            <w:pPr>
              <w:pStyle w:val="TableParagraph"/>
              <w:spacing w:before="14"/>
              <w:ind w:right="145"/>
              <w:rPr>
                <w:b/>
                <w:sz w:val="18"/>
              </w:rPr>
            </w:pPr>
            <w:r>
              <w:rPr>
                <w:b/>
                <w:color w:val="000080"/>
                <w:sz w:val="18"/>
              </w:rPr>
              <w:t>7.32¢</w:t>
            </w:r>
          </w:p>
        </w:tc>
        <w:tc>
          <w:tcPr>
            <w:tcW w:w="1240" w:type="dxa"/>
          </w:tcPr>
          <w:p>
            <w:pPr>
              <w:pStyle w:val="TableParagraph"/>
              <w:spacing w:before="14"/>
              <w:ind w:right="179"/>
              <w:rPr>
                <w:sz w:val="18"/>
              </w:rPr>
            </w:pPr>
            <w:r>
              <w:rPr>
                <w:sz w:val="18"/>
              </w:rPr>
              <w:t>7.40¢</w:t>
            </w:r>
          </w:p>
        </w:tc>
        <w:tc>
          <w:tcPr>
            <w:tcW w:w="1265" w:type="dxa"/>
          </w:tcPr>
          <w:p>
            <w:pPr>
              <w:pStyle w:val="TableParagraph"/>
              <w:spacing w:before="14"/>
              <w:ind w:right="171"/>
              <w:rPr>
                <w:sz w:val="18"/>
              </w:rPr>
            </w:pPr>
            <w:r>
              <w:rPr>
                <w:sz w:val="18"/>
              </w:rPr>
              <w:t>7.50¢</w:t>
            </w:r>
          </w:p>
        </w:tc>
        <w:tc>
          <w:tcPr>
            <w:tcW w:w="1136" w:type="dxa"/>
          </w:tcPr>
          <w:p>
            <w:pPr>
              <w:pStyle w:val="TableParagraph"/>
              <w:spacing w:before="14"/>
              <w:ind w:right="50"/>
              <w:rPr>
                <w:sz w:val="18"/>
              </w:rPr>
            </w:pPr>
            <w:r>
              <w:rPr>
                <w:sz w:val="18"/>
              </w:rPr>
              <w:t>7.07¢</w:t>
            </w:r>
          </w:p>
        </w:tc>
      </w:tr>
      <w:tr>
        <w:trPr>
          <w:trHeight w:val="240" w:hRule="exact"/>
        </w:trPr>
        <w:tc>
          <w:tcPr>
            <w:tcW w:w="4373" w:type="dxa"/>
          </w:tcPr>
          <w:p>
            <w:pPr>
              <w:pStyle w:val="TableParagraph"/>
              <w:spacing w:before="14"/>
              <w:ind w:left="50"/>
              <w:jc w:val="left"/>
              <w:rPr>
                <w:sz w:val="18"/>
              </w:rPr>
            </w:pPr>
            <w:r>
              <w:rPr>
                <w:sz w:val="18"/>
              </w:rPr>
              <w:t>Fuel cost per gallon (average)</w:t>
            </w:r>
          </w:p>
        </w:tc>
        <w:tc>
          <w:tcPr>
            <w:tcW w:w="1339" w:type="dxa"/>
          </w:tcPr>
          <w:p>
            <w:pPr>
              <w:pStyle w:val="TableParagraph"/>
              <w:spacing w:before="14"/>
              <w:ind w:right="145"/>
              <w:rPr>
                <w:b/>
                <w:sz w:val="18"/>
              </w:rPr>
            </w:pPr>
            <w:r>
              <w:rPr>
                <w:b/>
                <w:color w:val="000080"/>
                <w:sz w:val="18"/>
              </w:rPr>
              <w:t>45.67¢</w:t>
            </w:r>
          </w:p>
        </w:tc>
        <w:tc>
          <w:tcPr>
            <w:tcW w:w="1240" w:type="dxa"/>
          </w:tcPr>
          <w:p>
            <w:pPr>
              <w:pStyle w:val="TableParagraph"/>
              <w:spacing w:before="14"/>
              <w:ind w:right="179"/>
              <w:rPr>
                <w:sz w:val="18"/>
              </w:rPr>
            </w:pPr>
            <w:r>
              <w:rPr>
                <w:sz w:val="18"/>
              </w:rPr>
              <w:t>62.46¢</w:t>
            </w:r>
          </w:p>
        </w:tc>
        <w:tc>
          <w:tcPr>
            <w:tcW w:w="1265" w:type="dxa"/>
          </w:tcPr>
          <w:p>
            <w:pPr>
              <w:pStyle w:val="TableParagraph"/>
              <w:spacing w:before="14"/>
              <w:ind w:right="171"/>
              <w:rPr>
                <w:sz w:val="18"/>
              </w:rPr>
            </w:pPr>
            <w:r>
              <w:rPr>
                <w:sz w:val="18"/>
              </w:rPr>
              <w:t>65.47¢</w:t>
            </w:r>
          </w:p>
        </w:tc>
        <w:tc>
          <w:tcPr>
            <w:tcW w:w="1136" w:type="dxa"/>
          </w:tcPr>
          <w:p>
            <w:pPr>
              <w:pStyle w:val="TableParagraph"/>
              <w:spacing w:before="14"/>
              <w:ind w:right="50"/>
              <w:rPr>
                <w:sz w:val="18"/>
              </w:rPr>
            </w:pPr>
            <w:r>
              <w:rPr>
                <w:sz w:val="18"/>
              </w:rPr>
              <w:t>55.22¢</w:t>
            </w:r>
          </w:p>
        </w:tc>
      </w:tr>
      <w:tr>
        <w:trPr>
          <w:trHeight w:val="240" w:hRule="exact"/>
        </w:trPr>
        <w:tc>
          <w:tcPr>
            <w:tcW w:w="4373" w:type="dxa"/>
          </w:tcPr>
          <w:p>
            <w:pPr>
              <w:pStyle w:val="TableParagraph"/>
              <w:spacing w:before="14"/>
              <w:ind w:left="50"/>
              <w:jc w:val="left"/>
              <w:rPr>
                <w:sz w:val="18"/>
              </w:rPr>
            </w:pPr>
            <w:r>
              <w:rPr>
                <w:sz w:val="18"/>
              </w:rPr>
              <w:t>Number of Employees at yearend</w:t>
            </w:r>
          </w:p>
        </w:tc>
        <w:tc>
          <w:tcPr>
            <w:tcW w:w="1339" w:type="dxa"/>
          </w:tcPr>
          <w:p>
            <w:pPr>
              <w:pStyle w:val="TableParagraph"/>
              <w:spacing w:before="14"/>
              <w:ind w:right="145"/>
              <w:rPr>
                <w:b/>
                <w:sz w:val="18"/>
              </w:rPr>
            </w:pPr>
            <w:r>
              <w:rPr>
                <w:b/>
                <w:color w:val="000080"/>
                <w:sz w:val="18"/>
              </w:rPr>
              <w:t>25,844</w:t>
            </w:r>
          </w:p>
        </w:tc>
        <w:tc>
          <w:tcPr>
            <w:tcW w:w="1240" w:type="dxa"/>
          </w:tcPr>
          <w:p>
            <w:pPr>
              <w:pStyle w:val="TableParagraph"/>
              <w:spacing w:before="14"/>
              <w:ind w:right="179"/>
              <w:rPr>
                <w:sz w:val="18"/>
              </w:rPr>
            </w:pPr>
            <w:r>
              <w:rPr>
                <w:sz w:val="18"/>
              </w:rPr>
              <w:t>23,974</w:t>
            </w:r>
          </w:p>
        </w:tc>
        <w:tc>
          <w:tcPr>
            <w:tcW w:w="1265" w:type="dxa"/>
          </w:tcPr>
          <w:p>
            <w:pPr>
              <w:pStyle w:val="TableParagraph"/>
              <w:spacing w:before="14"/>
              <w:ind w:right="171"/>
              <w:rPr>
                <w:sz w:val="18"/>
              </w:rPr>
            </w:pPr>
            <w:r>
              <w:rPr>
                <w:sz w:val="18"/>
              </w:rPr>
              <w:t>22,944</w:t>
            </w:r>
          </w:p>
        </w:tc>
        <w:tc>
          <w:tcPr>
            <w:tcW w:w="1136" w:type="dxa"/>
          </w:tcPr>
          <w:p>
            <w:pPr>
              <w:pStyle w:val="TableParagraph"/>
              <w:spacing w:before="14"/>
              <w:ind w:right="50"/>
              <w:rPr>
                <w:sz w:val="18"/>
              </w:rPr>
            </w:pPr>
            <w:r>
              <w:rPr>
                <w:sz w:val="18"/>
              </w:rPr>
              <w:t>19,933</w:t>
            </w:r>
          </w:p>
        </w:tc>
      </w:tr>
      <w:tr>
        <w:trPr>
          <w:trHeight w:val="222" w:hRule="exact"/>
        </w:trPr>
        <w:tc>
          <w:tcPr>
            <w:tcW w:w="4373" w:type="dxa"/>
          </w:tcPr>
          <w:p>
            <w:pPr>
              <w:pStyle w:val="TableParagraph"/>
              <w:spacing w:before="14"/>
              <w:ind w:left="50"/>
              <w:jc w:val="left"/>
              <w:rPr>
                <w:sz w:val="18"/>
              </w:rPr>
            </w:pPr>
            <w:r>
              <w:rPr>
                <w:sz w:val="18"/>
              </w:rPr>
              <w:t>Size of fleet at yearend (10)</w:t>
            </w:r>
          </w:p>
        </w:tc>
        <w:tc>
          <w:tcPr>
            <w:tcW w:w="1339" w:type="dxa"/>
          </w:tcPr>
          <w:p>
            <w:pPr>
              <w:pStyle w:val="TableParagraph"/>
              <w:spacing w:before="14"/>
              <w:ind w:right="145"/>
              <w:rPr>
                <w:b/>
                <w:sz w:val="18"/>
              </w:rPr>
            </w:pPr>
            <w:r>
              <w:rPr>
                <w:b/>
                <w:color w:val="000080"/>
                <w:sz w:val="18"/>
              </w:rPr>
              <w:t>280</w:t>
            </w:r>
          </w:p>
        </w:tc>
        <w:tc>
          <w:tcPr>
            <w:tcW w:w="1240" w:type="dxa"/>
          </w:tcPr>
          <w:p>
            <w:pPr>
              <w:pStyle w:val="TableParagraph"/>
              <w:spacing w:before="14"/>
              <w:ind w:right="179"/>
              <w:rPr>
                <w:sz w:val="18"/>
              </w:rPr>
            </w:pPr>
            <w:r>
              <w:rPr>
                <w:sz w:val="18"/>
              </w:rPr>
              <w:t>261</w:t>
            </w:r>
          </w:p>
        </w:tc>
        <w:tc>
          <w:tcPr>
            <w:tcW w:w="1265" w:type="dxa"/>
          </w:tcPr>
          <w:p>
            <w:pPr>
              <w:pStyle w:val="TableParagraph"/>
              <w:spacing w:before="14"/>
              <w:ind w:right="172"/>
              <w:rPr>
                <w:sz w:val="18"/>
              </w:rPr>
            </w:pPr>
            <w:r>
              <w:rPr>
                <w:sz w:val="18"/>
              </w:rPr>
              <w:t>243</w:t>
            </w:r>
          </w:p>
        </w:tc>
        <w:tc>
          <w:tcPr>
            <w:tcW w:w="1136" w:type="dxa"/>
          </w:tcPr>
          <w:p>
            <w:pPr>
              <w:pStyle w:val="TableParagraph"/>
              <w:spacing w:before="14"/>
              <w:ind w:right="50"/>
              <w:rPr>
                <w:sz w:val="18"/>
              </w:rPr>
            </w:pPr>
            <w:r>
              <w:rPr>
                <w:sz w:val="18"/>
              </w:rPr>
              <w:t>224</w:t>
            </w:r>
          </w:p>
        </w:tc>
      </w:tr>
    </w:tbl>
    <w:p>
      <w:pPr>
        <w:spacing w:after="0"/>
        <w:rPr>
          <w:sz w:val="18"/>
        </w:rPr>
        <w:sectPr>
          <w:pgSz w:w="12240" w:h="15840"/>
          <w:pgMar w:header="1448" w:footer="344" w:top="1700" w:bottom="540" w:left="1280" w:right="1320"/>
        </w:sectPr>
      </w:pPr>
    </w:p>
    <w:p>
      <w:pPr>
        <w:pStyle w:val="BodyText"/>
        <w:rPr>
          <w:rFonts w:ascii="Times New Roman"/>
          <w:sz w:val="20"/>
        </w:rPr>
      </w:pPr>
    </w:p>
    <w:p>
      <w:pPr>
        <w:pStyle w:val="BodyText"/>
        <w:spacing w:before="9"/>
        <w:rPr>
          <w:rFonts w:ascii="Times New Roman"/>
          <w:sz w:val="26"/>
        </w:rPr>
      </w:pPr>
    </w:p>
    <w:p>
      <w:pPr>
        <w:tabs>
          <w:tab w:pos="2068" w:val="left" w:leader="none"/>
          <w:tab w:pos="3662" w:val="left" w:leader="none"/>
          <w:tab w:pos="5260" w:val="left" w:leader="none"/>
          <w:tab w:pos="6854" w:val="left" w:leader="none"/>
          <w:tab w:pos="8452" w:val="left" w:leader="none"/>
        </w:tabs>
        <w:spacing w:before="96"/>
        <w:ind w:left="537" w:right="0" w:firstLine="0"/>
        <w:jc w:val="left"/>
        <w:rPr>
          <w:sz w:val="18"/>
        </w:rPr>
      </w:pPr>
      <w:r>
        <w:rPr>
          <w:sz w:val="18"/>
        </w:rPr>
        <w:t>1994</w:t>
        <w:tab/>
        <w:t>1993</w:t>
        <w:tab/>
        <w:t>1992</w:t>
        <w:tab/>
        <w:t>1991</w:t>
        <w:tab/>
        <w:t>1990</w:t>
        <w:tab/>
        <w:t>1989</w:t>
      </w:r>
    </w:p>
    <w:p>
      <w:pPr>
        <w:pStyle w:val="BodyText"/>
      </w:pPr>
    </w:p>
    <w:tbl>
      <w:tblPr>
        <w:tblW w:w="0" w:type="auto"/>
        <w:jc w:val="left"/>
        <w:tblInd w:w="14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18"/>
        <w:gridCol w:w="1709"/>
        <w:gridCol w:w="1622"/>
        <w:gridCol w:w="1483"/>
        <w:gridCol w:w="1699"/>
        <w:gridCol w:w="1466"/>
      </w:tblGrid>
      <w:tr>
        <w:trPr>
          <w:trHeight w:val="222" w:hRule="exact"/>
        </w:trPr>
        <w:tc>
          <w:tcPr>
            <w:tcW w:w="1318" w:type="dxa"/>
          </w:tcPr>
          <w:p>
            <w:pPr>
              <w:pStyle w:val="TableParagraph"/>
              <w:spacing w:line="203" w:lineRule="exact"/>
              <w:ind w:right="352"/>
              <w:rPr>
                <w:sz w:val="18"/>
              </w:rPr>
            </w:pPr>
            <w:r>
              <w:rPr>
                <w:sz w:val="18"/>
              </w:rPr>
              <w:t>$2,497,765</w:t>
            </w:r>
          </w:p>
        </w:tc>
        <w:tc>
          <w:tcPr>
            <w:tcW w:w="1709" w:type="dxa"/>
          </w:tcPr>
          <w:p>
            <w:pPr>
              <w:pStyle w:val="TableParagraph"/>
              <w:spacing w:line="203" w:lineRule="exact"/>
              <w:ind w:left="354"/>
              <w:jc w:val="left"/>
              <w:rPr>
                <w:sz w:val="18"/>
              </w:rPr>
            </w:pPr>
            <w:r>
              <w:rPr>
                <w:sz w:val="18"/>
              </w:rPr>
              <w:t>$2,216,342</w:t>
            </w:r>
          </w:p>
        </w:tc>
        <w:tc>
          <w:tcPr>
            <w:tcW w:w="1622" w:type="dxa"/>
          </w:tcPr>
          <w:p>
            <w:pPr>
              <w:pStyle w:val="TableParagraph"/>
              <w:spacing w:line="203" w:lineRule="exact"/>
              <w:ind w:left="172"/>
              <w:jc w:val="left"/>
              <w:rPr>
                <w:sz w:val="18"/>
              </w:rPr>
            </w:pPr>
            <w:r>
              <w:rPr>
                <w:sz w:val="18"/>
              </w:rPr>
              <w:t>$1,623,828</w:t>
            </w:r>
          </w:p>
        </w:tc>
        <w:tc>
          <w:tcPr>
            <w:tcW w:w="1483" w:type="dxa"/>
          </w:tcPr>
          <w:p>
            <w:pPr>
              <w:pStyle w:val="TableParagraph"/>
              <w:spacing w:line="203" w:lineRule="exact"/>
              <w:ind w:right="304"/>
              <w:rPr>
                <w:sz w:val="18"/>
              </w:rPr>
            </w:pPr>
            <w:r>
              <w:rPr>
                <w:sz w:val="18"/>
              </w:rPr>
              <w:t>$1,267,897</w:t>
            </w:r>
          </w:p>
        </w:tc>
        <w:tc>
          <w:tcPr>
            <w:tcW w:w="1699" w:type="dxa"/>
          </w:tcPr>
          <w:p>
            <w:pPr>
              <w:pStyle w:val="TableParagraph"/>
              <w:spacing w:line="203" w:lineRule="exact"/>
              <w:ind w:left="306"/>
              <w:jc w:val="left"/>
              <w:rPr>
                <w:sz w:val="18"/>
              </w:rPr>
            </w:pPr>
            <w:r>
              <w:rPr>
                <w:sz w:val="18"/>
              </w:rPr>
              <w:t>$1,144,421</w:t>
            </w:r>
          </w:p>
        </w:tc>
        <w:tc>
          <w:tcPr>
            <w:tcW w:w="1466" w:type="dxa"/>
          </w:tcPr>
          <w:p>
            <w:pPr>
              <w:pStyle w:val="TableParagraph"/>
              <w:spacing w:line="203" w:lineRule="exact"/>
              <w:ind w:left="383"/>
              <w:jc w:val="left"/>
              <w:rPr>
                <w:sz w:val="18"/>
              </w:rPr>
            </w:pPr>
            <w:r>
              <w:rPr>
                <w:sz w:val="18"/>
              </w:rPr>
              <w:t>$973,568</w:t>
            </w:r>
          </w:p>
        </w:tc>
      </w:tr>
      <w:tr>
        <w:trPr>
          <w:trHeight w:val="240" w:hRule="exact"/>
        </w:trPr>
        <w:tc>
          <w:tcPr>
            <w:tcW w:w="1318" w:type="dxa"/>
          </w:tcPr>
          <w:p>
            <w:pPr>
              <w:pStyle w:val="TableParagraph"/>
              <w:spacing w:before="14"/>
              <w:ind w:right="353"/>
              <w:rPr>
                <w:sz w:val="18"/>
              </w:rPr>
            </w:pPr>
            <w:r>
              <w:rPr>
                <w:sz w:val="18"/>
              </w:rPr>
              <w:t>54,419</w:t>
            </w:r>
          </w:p>
        </w:tc>
        <w:tc>
          <w:tcPr>
            <w:tcW w:w="1709" w:type="dxa"/>
          </w:tcPr>
          <w:p>
            <w:pPr>
              <w:pStyle w:val="TableParagraph"/>
              <w:spacing w:before="14"/>
              <w:ind w:left="710"/>
              <w:jc w:val="left"/>
              <w:rPr>
                <w:sz w:val="18"/>
              </w:rPr>
            </w:pPr>
            <w:r>
              <w:rPr>
                <w:sz w:val="18"/>
              </w:rPr>
              <w:t>42,897</w:t>
            </w:r>
          </w:p>
        </w:tc>
        <w:tc>
          <w:tcPr>
            <w:tcW w:w="1622" w:type="dxa"/>
          </w:tcPr>
          <w:p>
            <w:pPr>
              <w:pStyle w:val="TableParagraph"/>
              <w:spacing w:before="14"/>
              <w:ind w:left="527"/>
              <w:jc w:val="left"/>
              <w:rPr>
                <w:sz w:val="18"/>
              </w:rPr>
            </w:pPr>
            <w:r>
              <w:rPr>
                <w:sz w:val="18"/>
              </w:rPr>
              <w:t>33,088</w:t>
            </w:r>
          </w:p>
        </w:tc>
        <w:tc>
          <w:tcPr>
            <w:tcW w:w="1483" w:type="dxa"/>
          </w:tcPr>
          <w:p>
            <w:pPr>
              <w:pStyle w:val="TableParagraph"/>
              <w:spacing w:before="14"/>
              <w:ind w:right="305"/>
              <w:rPr>
                <w:sz w:val="18"/>
              </w:rPr>
            </w:pPr>
            <w:r>
              <w:rPr>
                <w:sz w:val="18"/>
              </w:rPr>
              <w:t>26,428</w:t>
            </w:r>
          </w:p>
        </w:tc>
        <w:tc>
          <w:tcPr>
            <w:tcW w:w="1699" w:type="dxa"/>
          </w:tcPr>
          <w:p>
            <w:pPr>
              <w:pStyle w:val="TableParagraph"/>
              <w:spacing w:before="14"/>
              <w:ind w:left="662"/>
              <w:jc w:val="left"/>
              <w:rPr>
                <w:sz w:val="18"/>
              </w:rPr>
            </w:pPr>
            <w:r>
              <w:rPr>
                <w:sz w:val="18"/>
              </w:rPr>
              <w:t>22,196</w:t>
            </w:r>
          </w:p>
        </w:tc>
        <w:tc>
          <w:tcPr>
            <w:tcW w:w="1466" w:type="dxa"/>
          </w:tcPr>
          <w:p>
            <w:pPr>
              <w:pStyle w:val="TableParagraph"/>
              <w:spacing w:before="14"/>
              <w:ind w:left="585"/>
              <w:jc w:val="left"/>
              <w:rPr>
                <w:sz w:val="18"/>
              </w:rPr>
            </w:pPr>
            <w:r>
              <w:rPr>
                <w:sz w:val="18"/>
              </w:rPr>
              <w:t>18,771</w:t>
            </w:r>
          </w:p>
        </w:tc>
      </w:tr>
      <w:tr>
        <w:trPr>
          <w:trHeight w:val="240" w:hRule="exact"/>
        </w:trPr>
        <w:tc>
          <w:tcPr>
            <w:tcW w:w="1318" w:type="dxa"/>
          </w:tcPr>
          <w:p>
            <w:pPr>
              <w:pStyle w:val="TableParagraph"/>
              <w:spacing w:before="14"/>
              <w:ind w:right="353"/>
              <w:rPr>
                <w:sz w:val="18"/>
              </w:rPr>
            </w:pPr>
            <w:r>
              <w:rPr>
                <w:sz w:val="18"/>
                <w:u w:val="single"/>
              </w:rPr>
              <w:t>39,749</w:t>
            </w:r>
          </w:p>
        </w:tc>
        <w:tc>
          <w:tcPr>
            <w:tcW w:w="1709" w:type="dxa"/>
          </w:tcPr>
          <w:p>
            <w:pPr>
              <w:pStyle w:val="TableParagraph"/>
              <w:spacing w:before="14"/>
              <w:ind w:left="710"/>
              <w:jc w:val="left"/>
              <w:rPr>
                <w:sz w:val="18"/>
              </w:rPr>
            </w:pPr>
            <w:r>
              <w:rPr>
                <w:sz w:val="18"/>
                <w:u w:val="single"/>
              </w:rPr>
              <w:t>37,434</w:t>
            </w:r>
          </w:p>
        </w:tc>
        <w:tc>
          <w:tcPr>
            <w:tcW w:w="1622" w:type="dxa"/>
          </w:tcPr>
          <w:p>
            <w:pPr>
              <w:pStyle w:val="TableParagraph"/>
              <w:spacing w:before="14"/>
              <w:ind w:left="426"/>
              <w:jc w:val="left"/>
              <w:rPr>
                <w:sz w:val="18"/>
              </w:rPr>
            </w:pPr>
            <w:r>
              <w:rPr>
                <w:sz w:val="18"/>
                <w:u w:val="single"/>
              </w:rPr>
              <w:t>146,063</w:t>
            </w:r>
          </w:p>
        </w:tc>
        <w:tc>
          <w:tcPr>
            <w:tcW w:w="1483" w:type="dxa"/>
          </w:tcPr>
          <w:p>
            <w:pPr>
              <w:pStyle w:val="TableParagraph"/>
              <w:spacing w:before="14"/>
              <w:ind w:right="305"/>
              <w:rPr>
                <w:sz w:val="18"/>
              </w:rPr>
            </w:pPr>
            <w:r>
              <w:rPr>
                <w:sz w:val="18"/>
                <w:u w:val="single"/>
              </w:rPr>
              <w:t>84,961</w:t>
            </w:r>
          </w:p>
        </w:tc>
        <w:tc>
          <w:tcPr>
            <w:tcW w:w="1699" w:type="dxa"/>
          </w:tcPr>
          <w:p>
            <w:pPr>
              <w:pStyle w:val="TableParagraph"/>
              <w:spacing w:before="14"/>
              <w:ind w:left="662"/>
              <w:jc w:val="left"/>
              <w:rPr>
                <w:sz w:val="18"/>
              </w:rPr>
            </w:pPr>
            <w:r>
              <w:rPr>
                <w:sz w:val="18"/>
                <w:u w:val="single"/>
              </w:rPr>
              <w:t>70,659</w:t>
            </w:r>
          </w:p>
        </w:tc>
        <w:tc>
          <w:tcPr>
            <w:tcW w:w="1466" w:type="dxa"/>
          </w:tcPr>
          <w:p>
            <w:pPr>
              <w:pStyle w:val="TableParagraph"/>
              <w:spacing w:before="14"/>
              <w:ind w:left="585"/>
              <w:jc w:val="left"/>
              <w:rPr>
                <w:sz w:val="18"/>
              </w:rPr>
            </w:pPr>
            <w:r>
              <w:rPr>
                <w:sz w:val="18"/>
                <w:u w:val="single"/>
              </w:rPr>
              <w:t>65,390</w:t>
            </w:r>
          </w:p>
        </w:tc>
      </w:tr>
      <w:tr>
        <w:trPr>
          <w:trHeight w:val="240" w:hRule="exact"/>
        </w:trPr>
        <w:tc>
          <w:tcPr>
            <w:tcW w:w="1318" w:type="dxa"/>
          </w:tcPr>
          <w:p>
            <w:pPr>
              <w:pStyle w:val="TableParagraph"/>
              <w:spacing w:before="14"/>
              <w:ind w:right="352"/>
              <w:rPr>
                <w:sz w:val="18"/>
              </w:rPr>
            </w:pPr>
            <w:r>
              <w:rPr>
                <w:sz w:val="18"/>
              </w:rPr>
              <w:t>2,591,933</w:t>
            </w:r>
          </w:p>
        </w:tc>
        <w:tc>
          <w:tcPr>
            <w:tcW w:w="1709" w:type="dxa"/>
          </w:tcPr>
          <w:p>
            <w:pPr>
              <w:pStyle w:val="TableParagraph"/>
              <w:spacing w:before="14"/>
              <w:ind w:left="455"/>
              <w:jc w:val="left"/>
              <w:rPr>
                <w:sz w:val="18"/>
              </w:rPr>
            </w:pPr>
            <w:r>
              <w:rPr>
                <w:sz w:val="18"/>
              </w:rPr>
              <w:t>2,296,673</w:t>
            </w:r>
          </w:p>
        </w:tc>
        <w:tc>
          <w:tcPr>
            <w:tcW w:w="1622" w:type="dxa"/>
          </w:tcPr>
          <w:p>
            <w:pPr>
              <w:pStyle w:val="TableParagraph"/>
              <w:spacing w:before="14"/>
              <w:ind w:left="273"/>
              <w:jc w:val="left"/>
              <w:rPr>
                <w:sz w:val="18"/>
              </w:rPr>
            </w:pPr>
            <w:r>
              <w:rPr>
                <w:sz w:val="18"/>
              </w:rPr>
              <w:t>1,802,979</w:t>
            </w:r>
          </w:p>
        </w:tc>
        <w:tc>
          <w:tcPr>
            <w:tcW w:w="1483" w:type="dxa"/>
          </w:tcPr>
          <w:p>
            <w:pPr>
              <w:pStyle w:val="TableParagraph"/>
              <w:spacing w:before="14"/>
              <w:ind w:right="304"/>
              <w:rPr>
                <w:sz w:val="18"/>
              </w:rPr>
            </w:pPr>
            <w:r>
              <w:rPr>
                <w:sz w:val="18"/>
              </w:rPr>
              <w:t>1,379,286</w:t>
            </w:r>
          </w:p>
        </w:tc>
        <w:tc>
          <w:tcPr>
            <w:tcW w:w="1699" w:type="dxa"/>
          </w:tcPr>
          <w:p>
            <w:pPr>
              <w:pStyle w:val="TableParagraph"/>
              <w:spacing w:before="14"/>
              <w:ind w:left="407"/>
              <w:jc w:val="left"/>
              <w:rPr>
                <w:sz w:val="18"/>
              </w:rPr>
            </w:pPr>
            <w:r>
              <w:rPr>
                <w:sz w:val="18"/>
              </w:rPr>
              <w:t>1,237,276</w:t>
            </w:r>
          </w:p>
        </w:tc>
        <w:tc>
          <w:tcPr>
            <w:tcW w:w="1466" w:type="dxa"/>
          </w:tcPr>
          <w:p>
            <w:pPr>
              <w:pStyle w:val="TableParagraph"/>
              <w:spacing w:before="14"/>
              <w:ind w:left="330"/>
              <w:jc w:val="left"/>
              <w:rPr>
                <w:sz w:val="18"/>
              </w:rPr>
            </w:pPr>
            <w:r>
              <w:rPr>
                <w:sz w:val="18"/>
              </w:rPr>
              <w:t>1,057,729</w:t>
            </w:r>
          </w:p>
        </w:tc>
      </w:tr>
      <w:tr>
        <w:trPr>
          <w:trHeight w:val="240" w:hRule="exact"/>
        </w:trPr>
        <w:tc>
          <w:tcPr>
            <w:tcW w:w="1318" w:type="dxa"/>
          </w:tcPr>
          <w:p>
            <w:pPr>
              <w:pStyle w:val="TableParagraph"/>
              <w:spacing w:before="14"/>
              <w:ind w:right="352"/>
              <w:rPr>
                <w:sz w:val="18"/>
              </w:rPr>
            </w:pPr>
            <w:r>
              <w:rPr>
                <w:sz w:val="18"/>
                <w:u w:val="single"/>
              </w:rPr>
              <w:t>2,275,224</w:t>
            </w:r>
          </w:p>
        </w:tc>
        <w:tc>
          <w:tcPr>
            <w:tcW w:w="1709" w:type="dxa"/>
          </w:tcPr>
          <w:p>
            <w:pPr>
              <w:pStyle w:val="TableParagraph"/>
              <w:spacing w:before="14"/>
              <w:ind w:left="455"/>
              <w:jc w:val="left"/>
              <w:rPr>
                <w:sz w:val="18"/>
              </w:rPr>
            </w:pPr>
            <w:r>
              <w:rPr>
                <w:sz w:val="18"/>
                <w:u w:val="single"/>
              </w:rPr>
              <w:t>2,004,700</w:t>
            </w:r>
          </w:p>
        </w:tc>
        <w:tc>
          <w:tcPr>
            <w:tcW w:w="1622" w:type="dxa"/>
          </w:tcPr>
          <w:p>
            <w:pPr>
              <w:pStyle w:val="TableParagraph"/>
              <w:spacing w:before="14"/>
              <w:ind w:left="273"/>
              <w:jc w:val="left"/>
              <w:rPr>
                <w:sz w:val="18"/>
              </w:rPr>
            </w:pPr>
            <w:r>
              <w:rPr>
                <w:sz w:val="18"/>
                <w:u w:val="single"/>
              </w:rPr>
              <w:t>1,609,175</w:t>
            </w:r>
          </w:p>
        </w:tc>
        <w:tc>
          <w:tcPr>
            <w:tcW w:w="1483" w:type="dxa"/>
          </w:tcPr>
          <w:p>
            <w:pPr>
              <w:pStyle w:val="TableParagraph"/>
              <w:spacing w:before="14"/>
              <w:ind w:right="304"/>
              <w:rPr>
                <w:sz w:val="18"/>
              </w:rPr>
            </w:pPr>
            <w:r>
              <w:rPr>
                <w:sz w:val="18"/>
                <w:u w:val="single"/>
              </w:rPr>
              <w:t>1,306,675</w:t>
            </w:r>
          </w:p>
        </w:tc>
        <w:tc>
          <w:tcPr>
            <w:tcW w:w="1699" w:type="dxa"/>
          </w:tcPr>
          <w:p>
            <w:pPr>
              <w:pStyle w:val="TableParagraph"/>
              <w:spacing w:before="14"/>
              <w:ind w:left="407"/>
              <w:jc w:val="left"/>
              <w:rPr>
                <w:sz w:val="18"/>
              </w:rPr>
            </w:pPr>
            <w:r>
              <w:rPr>
                <w:sz w:val="18"/>
                <w:u w:val="single"/>
              </w:rPr>
              <w:t>1,150,015</w:t>
            </w:r>
          </w:p>
        </w:tc>
        <w:tc>
          <w:tcPr>
            <w:tcW w:w="1466" w:type="dxa"/>
          </w:tcPr>
          <w:p>
            <w:pPr>
              <w:pStyle w:val="TableParagraph"/>
              <w:spacing w:before="14"/>
              <w:ind w:left="484"/>
              <w:jc w:val="left"/>
              <w:rPr>
                <w:sz w:val="18"/>
              </w:rPr>
            </w:pPr>
            <w:r>
              <w:rPr>
                <w:sz w:val="18"/>
                <w:u w:val="single"/>
              </w:rPr>
              <w:t>955,689</w:t>
            </w:r>
          </w:p>
        </w:tc>
      </w:tr>
      <w:tr>
        <w:trPr>
          <w:trHeight w:val="240" w:hRule="exact"/>
        </w:trPr>
        <w:tc>
          <w:tcPr>
            <w:tcW w:w="1318" w:type="dxa"/>
          </w:tcPr>
          <w:p>
            <w:pPr>
              <w:pStyle w:val="TableParagraph"/>
              <w:spacing w:before="14"/>
              <w:ind w:right="353"/>
              <w:rPr>
                <w:sz w:val="18"/>
              </w:rPr>
            </w:pPr>
            <w:r>
              <w:rPr>
                <w:sz w:val="18"/>
              </w:rPr>
              <w:t>316,709</w:t>
            </w:r>
          </w:p>
        </w:tc>
        <w:tc>
          <w:tcPr>
            <w:tcW w:w="1709" w:type="dxa"/>
          </w:tcPr>
          <w:p>
            <w:pPr>
              <w:pStyle w:val="TableParagraph"/>
              <w:spacing w:before="14"/>
              <w:ind w:left="609"/>
              <w:jc w:val="left"/>
              <w:rPr>
                <w:sz w:val="18"/>
              </w:rPr>
            </w:pPr>
            <w:r>
              <w:rPr>
                <w:sz w:val="18"/>
              </w:rPr>
              <w:t>291,973</w:t>
            </w:r>
          </w:p>
        </w:tc>
        <w:tc>
          <w:tcPr>
            <w:tcW w:w="1622" w:type="dxa"/>
          </w:tcPr>
          <w:p>
            <w:pPr>
              <w:pStyle w:val="TableParagraph"/>
              <w:spacing w:before="14"/>
              <w:ind w:left="426"/>
              <w:jc w:val="left"/>
              <w:rPr>
                <w:sz w:val="18"/>
              </w:rPr>
            </w:pPr>
            <w:r>
              <w:rPr>
                <w:sz w:val="18"/>
              </w:rPr>
              <w:t>193,804</w:t>
            </w:r>
          </w:p>
        </w:tc>
        <w:tc>
          <w:tcPr>
            <w:tcW w:w="1483" w:type="dxa"/>
          </w:tcPr>
          <w:p>
            <w:pPr>
              <w:pStyle w:val="TableParagraph"/>
              <w:spacing w:before="14"/>
              <w:ind w:right="305"/>
              <w:rPr>
                <w:sz w:val="18"/>
              </w:rPr>
            </w:pPr>
            <w:r>
              <w:rPr>
                <w:sz w:val="18"/>
              </w:rPr>
              <w:t>72,611</w:t>
            </w:r>
          </w:p>
        </w:tc>
        <w:tc>
          <w:tcPr>
            <w:tcW w:w="1699" w:type="dxa"/>
          </w:tcPr>
          <w:p>
            <w:pPr>
              <w:pStyle w:val="TableParagraph"/>
              <w:spacing w:before="14"/>
              <w:ind w:left="662"/>
              <w:jc w:val="left"/>
              <w:rPr>
                <w:sz w:val="18"/>
              </w:rPr>
            </w:pPr>
            <w:r>
              <w:rPr>
                <w:sz w:val="18"/>
              </w:rPr>
              <w:t>87,261</w:t>
            </w:r>
          </w:p>
        </w:tc>
        <w:tc>
          <w:tcPr>
            <w:tcW w:w="1466" w:type="dxa"/>
          </w:tcPr>
          <w:p>
            <w:pPr>
              <w:pStyle w:val="TableParagraph"/>
              <w:spacing w:before="14"/>
              <w:ind w:left="484"/>
              <w:jc w:val="left"/>
              <w:rPr>
                <w:sz w:val="18"/>
              </w:rPr>
            </w:pPr>
            <w:r>
              <w:rPr>
                <w:sz w:val="18"/>
              </w:rPr>
              <w:t>102,040</w:t>
            </w:r>
          </w:p>
        </w:tc>
      </w:tr>
      <w:tr>
        <w:trPr>
          <w:trHeight w:val="240" w:hRule="exact"/>
        </w:trPr>
        <w:tc>
          <w:tcPr>
            <w:tcW w:w="1318" w:type="dxa"/>
          </w:tcPr>
          <w:p>
            <w:pPr>
              <w:pStyle w:val="TableParagraph"/>
              <w:spacing w:before="14"/>
              <w:ind w:right="353"/>
              <w:rPr>
                <w:sz w:val="18"/>
              </w:rPr>
            </w:pPr>
            <w:r>
              <w:rPr>
                <w:sz w:val="18"/>
                <w:u w:val="single"/>
              </w:rPr>
              <w:t>17,186</w:t>
            </w:r>
          </w:p>
        </w:tc>
        <w:tc>
          <w:tcPr>
            <w:tcW w:w="1709" w:type="dxa"/>
          </w:tcPr>
          <w:p>
            <w:pPr>
              <w:pStyle w:val="TableParagraph"/>
              <w:spacing w:before="14"/>
              <w:ind w:left="657"/>
              <w:jc w:val="left"/>
              <w:rPr>
                <w:sz w:val="18"/>
              </w:rPr>
            </w:pPr>
            <w:r>
              <w:rPr>
                <w:w w:val="101"/>
                <w:sz w:val="18"/>
                <w:u w:val="single"/>
              </w:rPr>
              <w:t> </w:t>
            </w:r>
            <w:r>
              <w:rPr>
                <w:sz w:val="18"/>
                <w:u w:val="single"/>
              </w:rPr>
              <w:t>32,336</w:t>
            </w:r>
          </w:p>
        </w:tc>
        <w:tc>
          <w:tcPr>
            <w:tcW w:w="1622" w:type="dxa"/>
          </w:tcPr>
          <w:p>
            <w:pPr>
              <w:pStyle w:val="TableParagraph"/>
              <w:spacing w:before="14"/>
              <w:ind w:left="474"/>
              <w:jc w:val="left"/>
              <w:rPr>
                <w:sz w:val="18"/>
              </w:rPr>
            </w:pPr>
            <w:r>
              <w:rPr>
                <w:w w:val="101"/>
                <w:sz w:val="18"/>
                <w:u w:val="single"/>
              </w:rPr>
              <w:t> </w:t>
            </w:r>
            <w:r>
              <w:rPr>
                <w:sz w:val="18"/>
                <w:u w:val="single"/>
              </w:rPr>
              <w:t>36,361</w:t>
            </w:r>
          </w:p>
        </w:tc>
        <w:tc>
          <w:tcPr>
            <w:tcW w:w="1483" w:type="dxa"/>
          </w:tcPr>
          <w:p>
            <w:pPr>
              <w:pStyle w:val="TableParagraph"/>
              <w:spacing w:before="14"/>
              <w:ind w:right="305"/>
              <w:rPr>
                <w:sz w:val="18"/>
              </w:rPr>
            </w:pPr>
            <w:r>
              <w:rPr>
                <w:w w:val="101"/>
                <w:sz w:val="18"/>
                <w:u w:val="single"/>
              </w:rPr>
              <w:t> </w:t>
            </w:r>
            <w:r>
              <w:rPr>
                <w:sz w:val="18"/>
                <w:u w:val="single"/>
              </w:rPr>
              <w:t>18,725</w:t>
            </w:r>
          </w:p>
        </w:tc>
        <w:tc>
          <w:tcPr>
            <w:tcW w:w="1699" w:type="dxa"/>
          </w:tcPr>
          <w:p>
            <w:pPr>
              <w:pStyle w:val="TableParagraph"/>
              <w:spacing w:before="14"/>
              <w:ind w:left="681"/>
              <w:jc w:val="left"/>
              <w:rPr>
                <w:sz w:val="18"/>
              </w:rPr>
            </w:pPr>
            <w:r>
              <w:rPr>
                <w:w w:val="101"/>
                <w:sz w:val="18"/>
                <w:u w:val="single"/>
              </w:rPr>
              <w:t> </w:t>
            </w:r>
            <w:r>
              <w:rPr>
                <w:sz w:val="18"/>
                <w:u w:val="single"/>
              </w:rPr>
              <w:t>6,827 (6)</w:t>
            </w:r>
          </w:p>
        </w:tc>
        <w:tc>
          <w:tcPr>
            <w:tcW w:w="1466" w:type="dxa"/>
          </w:tcPr>
          <w:p>
            <w:pPr>
              <w:pStyle w:val="TableParagraph"/>
              <w:spacing w:before="14"/>
              <w:ind w:left="402"/>
              <w:jc w:val="left"/>
              <w:rPr>
                <w:sz w:val="18"/>
              </w:rPr>
            </w:pPr>
            <w:r>
              <w:rPr>
                <w:w w:val="101"/>
                <w:sz w:val="18"/>
                <w:u w:val="single"/>
              </w:rPr>
              <w:t> </w:t>
            </w:r>
            <w:r>
              <w:rPr>
                <w:sz w:val="18"/>
                <w:u w:val="single"/>
              </w:rPr>
              <w:t>(13,696) (7)</w:t>
            </w:r>
          </w:p>
        </w:tc>
      </w:tr>
      <w:tr>
        <w:trPr>
          <w:trHeight w:val="240" w:hRule="exact"/>
        </w:trPr>
        <w:tc>
          <w:tcPr>
            <w:tcW w:w="1318" w:type="dxa"/>
          </w:tcPr>
          <w:p>
            <w:pPr>
              <w:pStyle w:val="TableParagraph"/>
              <w:spacing w:before="14"/>
              <w:ind w:right="353"/>
              <w:rPr>
                <w:sz w:val="18"/>
              </w:rPr>
            </w:pPr>
            <w:r>
              <w:rPr>
                <w:sz w:val="18"/>
              </w:rPr>
              <w:t>299,523</w:t>
            </w:r>
          </w:p>
        </w:tc>
        <w:tc>
          <w:tcPr>
            <w:tcW w:w="1709" w:type="dxa"/>
          </w:tcPr>
          <w:p>
            <w:pPr>
              <w:pStyle w:val="TableParagraph"/>
              <w:spacing w:before="14"/>
              <w:ind w:left="609"/>
              <w:jc w:val="left"/>
              <w:rPr>
                <w:sz w:val="18"/>
              </w:rPr>
            </w:pPr>
            <w:r>
              <w:rPr>
                <w:sz w:val="18"/>
              </w:rPr>
              <w:t>259,637</w:t>
            </w:r>
          </w:p>
        </w:tc>
        <w:tc>
          <w:tcPr>
            <w:tcW w:w="1622" w:type="dxa"/>
          </w:tcPr>
          <w:p>
            <w:pPr>
              <w:pStyle w:val="TableParagraph"/>
              <w:spacing w:before="14"/>
              <w:ind w:left="426"/>
              <w:jc w:val="left"/>
              <w:rPr>
                <w:sz w:val="18"/>
              </w:rPr>
            </w:pPr>
            <w:r>
              <w:rPr>
                <w:sz w:val="18"/>
              </w:rPr>
              <w:t>157,443</w:t>
            </w:r>
          </w:p>
        </w:tc>
        <w:tc>
          <w:tcPr>
            <w:tcW w:w="1483" w:type="dxa"/>
          </w:tcPr>
          <w:p>
            <w:pPr>
              <w:pStyle w:val="TableParagraph"/>
              <w:spacing w:before="14"/>
              <w:ind w:right="305"/>
              <w:rPr>
                <w:sz w:val="18"/>
              </w:rPr>
            </w:pPr>
            <w:r>
              <w:rPr>
                <w:sz w:val="18"/>
              </w:rPr>
              <w:t>53,886</w:t>
            </w:r>
          </w:p>
        </w:tc>
        <w:tc>
          <w:tcPr>
            <w:tcW w:w="1699" w:type="dxa"/>
          </w:tcPr>
          <w:p>
            <w:pPr>
              <w:pStyle w:val="TableParagraph"/>
              <w:spacing w:before="14"/>
              <w:ind w:left="662"/>
              <w:jc w:val="left"/>
              <w:rPr>
                <w:sz w:val="18"/>
              </w:rPr>
            </w:pPr>
            <w:r>
              <w:rPr>
                <w:sz w:val="18"/>
              </w:rPr>
              <w:t>80,434</w:t>
            </w:r>
          </w:p>
        </w:tc>
        <w:tc>
          <w:tcPr>
            <w:tcW w:w="1466" w:type="dxa"/>
          </w:tcPr>
          <w:p>
            <w:pPr>
              <w:pStyle w:val="TableParagraph"/>
              <w:spacing w:before="14"/>
              <w:ind w:left="484"/>
              <w:jc w:val="left"/>
              <w:rPr>
                <w:sz w:val="18"/>
              </w:rPr>
            </w:pPr>
            <w:r>
              <w:rPr>
                <w:sz w:val="18"/>
              </w:rPr>
              <w:t>115,736</w:t>
            </w:r>
          </w:p>
        </w:tc>
      </w:tr>
      <w:tr>
        <w:trPr>
          <w:trHeight w:val="240" w:hRule="exact"/>
        </w:trPr>
        <w:tc>
          <w:tcPr>
            <w:tcW w:w="1318" w:type="dxa"/>
          </w:tcPr>
          <w:p>
            <w:pPr>
              <w:pStyle w:val="TableParagraph"/>
              <w:spacing w:before="14"/>
              <w:ind w:right="353"/>
              <w:rPr>
                <w:sz w:val="18"/>
              </w:rPr>
            </w:pPr>
            <w:r>
              <w:rPr>
                <w:sz w:val="18"/>
                <w:u w:val="single"/>
              </w:rPr>
              <w:t>120,192</w:t>
            </w:r>
          </w:p>
        </w:tc>
        <w:tc>
          <w:tcPr>
            <w:tcW w:w="1709" w:type="dxa"/>
          </w:tcPr>
          <w:p>
            <w:pPr>
              <w:pStyle w:val="TableParagraph"/>
              <w:spacing w:before="14"/>
              <w:ind w:left="609"/>
              <w:jc w:val="left"/>
              <w:rPr>
                <w:sz w:val="18"/>
              </w:rPr>
            </w:pPr>
            <w:r>
              <w:rPr>
                <w:sz w:val="18"/>
                <w:u w:val="single"/>
              </w:rPr>
              <w:t>105,353</w:t>
            </w:r>
          </w:p>
        </w:tc>
        <w:tc>
          <w:tcPr>
            <w:tcW w:w="1622" w:type="dxa"/>
          </w:tcPr>
          <w:p>
            <w:pPr>
              <w:pStyle w:val="TableParagraph"/>
              <w:spacing w:before="14"/>
              <w:ind w:left="527"/>
              <w:jc w:val="left"/>
              <w:rPr>
                <w:sz w:val="18"/>
              </w:rPr>
            </w:pPr>
            <w:r>
              <w:rPr>
                <w:sz w:val="18"/>
                <w:u w:val="single"/>
              </w:rPr>
              <w:t>60,058</w:t>
            </w:r>
          </w:p>
        </w:tc>
        <w:tc>
          <w:tcPr>
            <w:tcW w:w="1483" w:type="dxa"/>
          </w:tcPr>
          <w:p>
            <w:pPr>
              <w:pStyle w:val="TableParagraph"/>
              <w:spacing w:before="14"/>
              <w:ind w:right="305"/>
              <w:rPr>
                <w:sz w:val="18"/>
              </w:rPr>
            </w:pPr>
            <w:r>
              <w:rPr>
                <w:sz w:val="18"/>
                <w:u w:val="single"/>
              </w:rPr>
              <w:t>20,738</w:t>
            </w:r>
          </w:p>
        </w:tc>
        <w:tc>
          <w:tcPr>
            <w:tcW w:w="1699" w:type="dxa"/>
          </w:tcPr>
          <w:p>
            <w:pPr>
              <w:pStyle w:val="TableParagraph"/>
              <w:spacing w:before="14"/>
              <w:ind w:left="662"/>
              <w:jc w:val="left"/>
              <w:rPr>
                <w:sz w:val="18"/>
              </w:rPr>
            </w:pPr>
            <w:r>
              <w:rPr>
                <w:sz w:val="18"/>
                <w:u w:val="single"/>
              </w:rPr>
              <w:t>29,829</w:t>
            </w:r>
          </w:p>
        </w:tc>
        <w:tc>
          <w:tcPr>
            <w:tcW w:w="1466" w:type="dxa"/>
          </w:tcPr>
          <w:p>
            <w:pPr>
              <w:pStyle w:val="TableParagraph"/>
              <w:spacing w:before="14"/>
              <w:ind w:left="585"/>
              <w:jc w:val="left"/>
              <w:rPr>
                <w:sz w:val="18"/>
              </w:rPr>
            </w:pPr>
            <w:r>
              <w:rPr>
                <w:sz w:val="18"/>
                <w:u w:val="single"/>
              </w:rPr>
              <w:t>41,231</w:t>
            </w:r>
          </w:p>
        </w:tc>
      </w:tr>
      <w:tr>
        <w:trPr>
          <w:trHeight w:val="240" w:hRule="exact"/>
        </w:trPr>
        <w:tc>
          <w:tcPr>
            <w:tcW w:w="1318" w:type="dxa"/>
          </w:tcPr>
          <w:p>
            <w:pPr>
              <w:pStyle w:val="TableParagraph"/>
              <w:spacing w:before="14"/>
              <w:ind w:right="353"/>
              <w:rPr>
                <w:sz w:val="18"/>
              </w:rPr>
            </w:pPr>
            <w:r>
              <w:rPr>
                <w:sz w:val="18"/>
                <w:u w:val="thick"/>
              </w:rPr>
              <w:t>$179,331</w:t>
            </w:r>
          </w:p>
        </w:tc>
        <w:tc>
          <w:tcPr>
            <w:tcW w:w="1709" w:type="dxa"/>
          </w:tcPr>
          <w:p>
            <w:pPr>
              <w:pStyle w:val="TableParagraph"/>
              <w:spacing w:before="14"/>
              <w:ind w:right="170"/>
              <w:rPr>
                <w:sz w:val="18"/>
              </w:rPr>
            </w:pPr>
            <w:r>
              <w:rPr>
                <w:sz w:val="18"/>
                <w:u w:val="thick"/>
              </w:rPr>
              <w:t>$154,284 (4)</w:t>
            </w:r>
          </w:p>
        </w:tc>
        <w:tc>
          <w:tcPr>
            <w:tcW w:w="1622" w:type="dxa"/>
          </w:tcPr>
          <w:p>
            <w:pPr>
              <w:pStyle w:val="TableParagraph"/>
              <w:spacing w:before="14"/>
              <w:ind w:right="261"/>
              <w:rPr>
                <w:sz w:val="18"/>
              </w:rPr>
            </w:pPr>
            <w:r>
              <w:rPr>
                <w:sz w:val="18"/>
                <w:u w:val="thick"/>
              </w:rPr>
              <w:t>$97,385 (5)</w:t>
            </w:r>
          </w:p>
        </w:tc>
        <w:tc>
          <w:tcPr>
            <w:tcW w:w="1483" w:type="dxa"/>
          </w:tcPr>
          <w:p>
            <w:pPr>
              <w:pStyle w:val="TableParagraph"/>
              <w:spacing w:before="14"/>
              <w:ind w:right="305"/>
              <w:rPr>
                <w:sz w:val="18"/>
              </w:rPr>
            </w:pPr>
            <w:r>
              <w:rPr>
                <w:sz w:val="18"/>
                <w:u w:val="thick"/>
              </w:rPr>
              <w:t>$33,148</w:t>
            </w:r>
          </w:p>
        </w:tc>
        <w:tc>
          <w:tcPr>
            <w:tcW w:w="1699" w:type="dxa"/>
          </w:tcPr>
          <w:p>
            <w:pPr>
              <w:pStyle w:val="TableParagraph"/>
              <w:spacing w:before="14"/>
              <w:ind w:left="561"/>
              <w:jc w:val="left"/>
              <w:rPr>
                <w:sz w:val="18"/>
              </w:rPr>
            </w:pPr>
            <w:r>
              <w:rPr>
                <w:sz w:val="18"/>
                <w:u w:val="thick"/>
              </w:rPr>
              <w:t>$50,605</w:t>
            </w:r>
          </w:p>
        </w:tc>
        <w:tc>
          <w:tcPr>
            <w:tcW w:w="1466" w:type="dxa"/>
          </w:tcPr>
          <w:p>
            <w:pPr>
              <w:pStyle w:val="TableParagraph"/>
              <w:spacing w:before="14"/>
              <w:ind w:left="484"/>
              <w:jc w:val="left"/>
              <w:rPr>
                <w:sz w:val="18"/>
              </w:rPr>
            </w:pPr>
            <w:r>
              <w:rPr>
                <w:sz w:val="18"/>
                <w:u w:val="thick"/>
              </w:rPr>
              <w:t>$74,505</w:t>
            </w:r>
          </w:p>
        </w:tc>
      </w:tr>
      <w:tr>
        <w:trPr>
          <w:trHeight w:val="240" w:hRule="exact"/>
        </w:trPr>
        <w:tc>
          <w:tcPr>
            <w:tcW w:w="1318" w:type="dxa"/>
          </w:tcPr>
          <w:p>
            <w:pPr>
              <w:pStyle w:val="TableParagraph"/>
              <w:spacing w:before="14"/>
              <w:ind w:right="353"/>
              <w:rPr>
                <w:sz w:val="18"/>
              </w:rPr>
            </w:pPr>
            <w:r>
              <w:rPr>
                <w:sz w:val="18"/>
              </w:rPr>
              <w:t>$.56</w:t>
            </w:r>
          </w:p>
        </w:tc>
        <w:tc>
          <w:tcPr>
            <w:tcW w:w="1709" w:type="dxa"/>
          </w:tcPr>
          <w:p>
            <w:pPr>
              <w:pStyle w:val="TableParagraph"/>
              <w:spacing w:before="14"/>
              <w:ind w:right="170"/>
              <w:rPr>
                <w:sz w:val="18"/>
              </w:rPr>
            </w:pPr>
            <w:r>
              <w:rPr>
                <w:sz w:val="18"/>
              </w:rPr>
              <w:t>$.48 (4)</w:t>
            </w:r>
          </w:p>
        </w:tc>
        <w:tc>
          <w:tcPr>
            <w:tcW w:w="1622" w:type="dxa"/>
          </w:tcPr>
          <w:p>
            <w:pPr>
              <w:pStyle w:val="TableParagraph"/>
              <w:spacing w:before="14"/>
              <w:ind w:right="261"/>
              <w:rPr>
                <w:sz w:val="18"/>
              </w:rPr>
            </w:pPr>
            <w:r>
              <w:rPr>
                <w:sz w:val="18"/>
              </w:rPr>
              <w:t>$.31 (5)</w:t>
            </w:r>
          </w:p>
        </w:tc>
        <w:tc>
          <w:tcPr>
            <w:tcW w:w="1483" w:type="dxa"/>
          </w:tcPr>
          <w:p>
            <w:pPr>
              <w:pStyle w:val="TableParagraph"/>
              <w:spacing w:before="14"/>
              <w:ind w:right="305"/>
              <w:rPr>
                <w:sz w:val="18"/>
              </w:rPr>
            </w:pPr>
            <w:r>
              <w:rPr>
                <w:sz w:val="18"/>
              </w:rPr>
              <w:t>$.11</w:t>
            </w:r>
          </w:p>
        </w:tc>
        <w:tc>
          <w:tcPr>
            <w:tcW w:w="1699" w:type="dxa"/>
          </w:tcPr>
          <w:p>
            <w:pPr>
              <w:pStyle w:val="TableParagraph"/>
              <w:spacing w:before="14"/>
              <w:ind w:left="863"/>
              <w:jc w:val="left"/>
              <w:rPr>
                <w:sz w:val="18"/>
              </w:rPr>
            </w:pPr>
            <w:r>
              <w:rPr>
                <w:sz w:val="18"/>
              </w:rPr>
              <w:t>$.17</w:t>
            </w:r>
          </w:p>
        </w:tc>
        <w:tc>
          <w:tcPr>
            <w:tcW w:w="1466" w:type="dxa"/>
          </w:tcPr>
          <w:p>
            <w:pPr>
              <w:pStyle w:val="TableParagraph"/>
              <w:spacing w:before="14"/>
              <w:ind w:left="786"/>
              <w:jc w:val="left"/>
              <w:rPr>
                <w:sz w:val="18"/>
              </w:rPr>
            </w:pPr>
            <w:r>
              <w:rPr>
                <w:sz w:val="18"/>
              </w:rPr>
              <w:t>$.24</w:t>
            </w:r>
          </w:p>
        </w:tc>
      </w:tr>
      <w:tr>
        <w:trPr>
          <w:trHeight w:val="240" w:hRule="exact"/>
        </w:trPr>
        <w:tc>
          <w:tcPr>
            <w:tcW w:w="1318" w:type="dxa"/>
          </w:tcPr>
          <w:p>
            <w:pPr>
              <w:pStyle w:val="TableParagraph"/>
              <w:spacing w:before="14"/>
              <w:ind w:right="353"/>
              <w:rPr>
                <w:sz w:val="18"/>
              </w:rPr>
            </w:pPr>
            <w:r>
              <w:rPr>
                <w:sz w:val="18"/>
              </w:rPr>
              <w:t>$.54</w:t>
            </w:r>
          </w:p>
        </w:tc>
        <w:tc>
          <w:tcPr>
            <w:tcW w:w="1709" w:type="dxa"/>
          </w:tcPr>
          <w:p>
            <w:pPr>
              <w:pStyle w:val="TableParagraph"/>
              <w:spacing w:before="14"/>
              <w:ind w:right="170"/>
              <w:rPr>
                <w:sz w:val="18"/>
              </w:rPr>
            </w:pPr>
            <w:r>
              <w:rPr>
                <w:sz w:val="18"/>
              </w:rPr>
              <w:t>$.47 (4)</w:t>
            </w:r>
          </w:p>
        </w:tc>
        <w:tc>
          <w:tcPr>
            <w:tcW w:w="1622" w:type="dxa"/>
          </w:tcPr>
          <w:p>
            <w:pPr>
              <w:pStyle w:val="TableParagraph"/>
              <w:spacing w:before="14"/>
              <w:ind w:right="261"/>
              <w:rPr>
                <w:sz w:val="18"/>
              </w:rPr>
            </w:pPr>
            <w:r>
              <w:rPr>
                <w:sz w:val="18"/>
              </w:rPr>
              <w:t>$.30 (5)</w:t>
            </w:r>
          </w:p>
        </w:tc>
        <w:tc>
          <w:tcPr>
            <w:tcW w:w="1483" w:type="dxa"/>
          </w:tcPr>
          <w:p>
            <w:pPr>
              <w:pStyle w:val="TableParagraph"/>
              <w:spacing w:before="14"/>
              <w:ind w:right="305"/>
              <w:rPr>
                <w:sz w:val="18"/>
              </w:rPr>
            </w:pPr>
            <w:r>
              <w:rPr>
                <w:sz w:val="18"/>
              </w:rPr>
              <w:t>$.11</w:t>
            </w:r>
          </w:p>
        </w:tc>
        <w:tc>
          <w:tcPr>
            <w:tcW w:w="1699" w:type="dxa"/>
          </w:tcPr>
          <w:p>
            <w:pPr>
              <w:pStyle w:val="TableParagraph"/>
              <w:spacing w:before="14"/>
              <w:ind w:left="863"/>
              <w:jc w:val="left"/>
              <w:rPr>
                <w:sz w:val="18"/>
              </w:rPr>
            </w:pPr>
            <w:r>
              <w:rPr>
                <w:sz w:val="18"/>
              </w:rPr>
              <w:t>$.17</w:t>
            </w:r>
          </w:p>
        </w:tc>
        <w:tc>
          <w:tcPr>
            <w:tcW w:w="1466" w:type="dxa"/>
          </w:tcPr>
          <w:p>
            <w:pPr>
              <w:pStyle w:val="TableParagraph"/>
              <w:spacing w:before="14"/>
              <w:ind w:left="786"/>
              <w:jc w:val="left"/>
              <w:rPr>
                <w:sz w:val="18"/>
              </w:rPr>
            </w:pPr>
            <w:r>
              <w:rPr>
                <w:sz w:val="18"/>
              </w:rPr>
              <w:t>$.24</w:t>
            </w:r>
          </w:p>
        </w:tc>
      </w:tr>
      <w:tr>
        <w:trPr>
          <w:trHeight w:val="240" w:hRule="exact"/>
        </w:trPr>
        <w:tc>
          <w:tcPr>
            <w:tcW w:w="1318" w:type="dxa"/>
          </w:tcPr>
          <w:p>
            <w:pPr>
              <w:pStyle w:val="TableParagraph"/>
              <w:spacing w:before="14"/>
              <w:ind w:right="353"/>
              <w:rPr>
                <w:sz w:val="18"/>
              </w:rPr>
            </w:pPr>
            <w:r>
              <w:rPr>
                <w:sz w:val="18"/>
              </w:rPr>
              <w:t>$.01778</w:t>
            </w:r>
          </w:p>
        </w:tc>
        <w:tc>
          <w:tcPr>
            <w:tcW w:w="1709" w:type="dxa"/>
          </w:tcPr>
          <w:p>
            <w:pPr>
              <w:pStyle w:val="TableParagraph"/>
              <w:spacing w:before="14"/>
              <w:ind w:left="609"/>
              <w:jc w:val="left"/>
              <w:rPr>
                <w:sz w:val="18"/>
              </w:rPr>
            </w:pPr>
            <w:r>
              <w:rPr>
                <w:sz w:val="18"/>
              </w:rPr>
              <w:t>$.01719</w:t>
            </w:r>
          </w:p>
        </w:tc>
        <w:tc>
          <w:tcPr>
            <w:tcW w:w="1622" w:type="dxa"/>
          </w:tcPr>
          <w:p>
            <w:pPr>
              <w:pStyle w:val="TableParagraph"/>
              <w:spacing w:before="14"/>
              <w:ind w:left="426"/>
              <w:jc w:val="left"/>
              <w:rPr>
                <w:sz w:val="18"/>
              </w:rPr>
            </w:pPr>
            <w:r>
              <w:rPr>
                <w:sz w:val="18"/>
              </w:rPr>
              <w:t>$.01570</w:t>
            </w:r>
          </w:p>
        </w:tc>
        <w:tc>
          <w:tcPr>
            <w:tcW w:w="1483" w:type="dxa"/>
          </w:tcPr>
          <w:p>
            <w:pPr>
              <w:pStyle w:val="TableParagraph"/>
              <w:spacing w:before="14"/>
              <w:ind w:right="305"/>
              <w:rPr>
                <w:sz w:val="18"/>
              </w:rPr>
            </w:pPr>
            <w:r>
              <w:rPr>
                <w:sz w:val="18"/>
              </w:rPr>
              <w:t>$.01481</w:t>
            </w:r>
          </w:p>
        </w:tc>
        <w:tc>
          <w:tcPr>
            <w:tcW w:w="1699" w:type="dxa"/>
          </w:tcPr>
          <w:p>
            <w:pPr>
              <w:pStyle w:val="TableParagraph"/>
              <w:spacing w:before="14"/>
              <w:ind w:left="561"/>
              <w:jc w:val="left"/>
              <w:rPr>
                <w:sz w:val="18"/>
              </w:rPr>
            </w:pPr>
            <w:r>
              <w:rPr>
                <w:sz w:val="18"/>
              </w:rPr>
              <w:t>$.01433</w:t>
            </w:r>
          </w:p>
        </w:tc>
        <w:tc>
          <w:tcPr>
            <w:tcW w:w="1466" w:type="dxa"/>
          </w:tcPr>
          <w:p>
            <w:pPr>
              <w:pStyle w:val="TableParagraph"/>
              <w:spacing w:before="14"/>
              <w:ind w:left="484"/>
              <w:jc w:val="left"/>
              <w:rPr>
                <w:sz w:val="18"/>
              </w:rPr>
            </w:pPr>
            <w:r>
              <w:rPr>
                <w:sz w:val="18"/>
              </w:rPr>
              <w:t>$.01382</w:t>
            </w:r>
          </w:p>
        </w:tc>
      </w:tr>
      <w:tr>
        <w:trPr>
          <w:trHeight w:val="240" w:hRule="exact"/>
        </w:trPr>
        <w:tc>
          <w:tcPr>
            <w:tcW w:w="1318" w:type="dxa"/>
          </w:tcPr>
          <w:p>
            <w:pPr>
              <w:pStyle w:val="TableParagraph"/>
              <w:spacing w:before="14"/>
              <w:ind w:right="352"/>
              <w:rPr>
                <w:sz w:val="18"/>
              </w:rPr>
            </w:pPr>
            <w:r>
              <w:rPr>
                <w:sz w:val="18"/>
              </w:rPr>
              <w:t>$2,823,071</w:t>
            </w:r>
          </w:p>
        </w:tc>
        <w:tc>
          <w:tcPr>
            <w:tcW w:w="1709" w:type="dxa"/>
          </w:tcPr>
          <w:p>
            <w:pPr>
              <w:pStyle w:val="TableParagraph"/>
              <w:spacing w:before="14"/>
              <w:ind w:left="354"/>
              <w:jc w:val="left"/>
              <w:rPr>
                <w:sz w:val="18"/>
              </w:rPr>
            </w:pPr>
            <w:r>
              <w:rPr>
                <w:sz w:val="18"/>
              </w:rPr>
              <w:t>$2,576,037</w:t>
            </w:r>
          </w:p>
        </w:tc>
        <w:tc>
          <w:tcPr>
            <w:tcW w:w="1622" w:type="dxa"/>
          </w:tcPr>
          <w:p>
            <w:pPr>
              <w:pStyle w:val="TableParagraph"/>
              <w:spacing w:before="14"/>
              <w:ind w:left="172"/>
              <w:jc w:val="left"/>
              <w:rPr>
                <w:sz w:val="18"/>
              </w:rPr>
            </w:pPr>
            <w:r>
              <w:rPr>
                <w:sz w:val="18"/>
              </w:rPr>
              <w:t>$2,368,856</w:t>
            </w:r>
          </w:p>
        </w:tc>
        <w:tc>
          <w:tcPr>
            <w:tcW w:w="1483" w:type="dxa"/>
          </w:tcPr>
          <w:p>
            <w:pPr>
              <w:pStyle w:val="TableParagraph"/>
              <w:spacing w:before="14"/>
              <w:ind w:right="304"/>
              <w:rPr>
                <w:sz w:val="18"/>
              </w:rPr>
            </w:pPr>
            <w:r>
              <w:rPr>
                <w:sz w:val="18"/>
              </w:rPr>
              <w:t>$1,854,331</w:t>
            </w:r>
          </w:p>
        </w:tc>
        <w:tc>
          <w:tcPr>
            <w:tcW w:w="1699" w:type="dxa"/>
          </w:tcPr>
          <w:p>
            <w:pPr>
              <w:pStyle w:val="TableParagraph"/>
              <w:spacing w:before="14"/>
              <w:ind w:left="306"/>
              <w:jc w:val="left"/>
              <w:rPr>
                <w:sz w:val="18"/>
              </w:rPr>
            </w:pPr>
            <w:r>
              <w:rPr>
                <w:sz w:val="18"/>
              </w:rPr>
              <w:t>$1,480,813</w:t>
            </w:r>
          </w:p>
        </w:tc>
        <w:tc>
          <w:tcPr>
            <w:tcW w:w="1466" w:type="dxa"/>
          </w:tcPr>
          <w:p>
            <w:pPr>
              <w:pStyle w:val="TableParagraph"/>
              <w:spacing w:before="14"/>
              <w:ind w:left="230"/>
              <w:jc w:val="left"/>
              <w:rPr>
                <w:sz w:val="18"/>
              </w:rPr>
            </w:pPr>
            <w:r>
              <w:rPr>
                <w:sz w:val="18"/>
              </w:rPr>
              <w:t>$1,423,298</w:t>
            </w:r>
          </w:p>
        </w:tc>
      </w:tr>
      <w:tr>
        <w:trPr>
          <w:trHeight w:val="240" w:hRule="exact"/>
        </w:trPr>
        <w:tc>
          <w:tcPr>
            <w:tcW w:w="1318" w:type="dxa"/>
          </w:tcPr>
          <w:p>
            <w:pPr>
              <w:pStyle w:val="TableParagraph"/>
              <w:spacing w:before="14"/>
              <w:ind w:right="353"/>
              <w:rPr>
                <w:sz w:val="18"/>
              </w:rPr>
            </w:pPr>
            <w:r>
              <w:rPr>
                <w:sz w:val="18"/>
              </w:rPr>
              <w:t>$583,071</w:t>
            </w:r>
          </w:p>
        </w:tc>
        <w:tc>
          <w:tcPr>
            <w:tcW w:w="1709" w:type="dxa"/>
          </w:tcPr>
          <w:p>
            <w:pPr>
              <w:pStyle w:val="TableParagraph"/>
              <w:spacing w:before="14"/>
              <w:ind w:left="508"/>
              <w:jc w:val="left"/>
              <w:rPr>
                <w:sz w:val="18"/>
              </w:rPr>
            </w:pPr>
            <w:r>
              <w:rPr>
                <w:sz w:val="18"/>
              </w:rPr>
              <w:t>$639,136</w:t>
            </w:r>
          </w:p>
        </w:tc>
        <w:tc>
          <w:tcPr>
            <w:tcW w:w="1622" w:type="dxa"/>
          </w:tcPr>
          <w:p>
            <w:pPr>
              <w:pStyle w:val="TableParagraph"/>
              <w:spacing w:before="14"/>
              <w:ind w:left="326"/>
              <w:jc w:val="left"/>
              <w:rPr>
                <w:sz w:val="18"/>
              </w:rPr>
            </w:pPr>
            <w:r>
              <w:rPr>
                <w:sz w:val="18"/>
              </w:rPr>
              <w:t>$735,754</w:t>
            </w:r>
          </w:p>
        </w:tc>
        <w:tc>
          <w:tcPr>
            <w:tcW w:w="1483" w:type="dxa"/>
          </w:tcPr>
          <w:p>
            <w:pPr>
              <w:pStyle w:val="TableParagraph"/>
              <w:spacing w:before="14"/>
              <w:ind w:right="305"/>
              <w:rPr>
                <w:sz w:val="18"/>
              </w:rPr>
            </w:pPr>
            <w:r>
              <w:rPr>
                <w:sz w:val="18"/>
              </w:rPr>
              <w:t>$617,434</w:t>
            </w:r>
          </w:p>
        </w:tc>
        <w:tc>
          <w:tcPr>
            <w:tcW w:w="1699" w:type="dxa"/>
          </w:tcPr>
          <w:p>
            <w:pPr>
              <w:pStyle w:val="TableParagraph"/>
              <w:spacing w:before="14"/>
              <w:ind w:left="460"/>
              <w:jc w:val="left"/>
              <w:rPr>
                <w:sz w:val="18"/>
              </w:rPr>
            </w:pPr>
            <w:r>
              <w:rPr>
                <w:sz w:val="18"/>
              </w:rPr>
              <w:t>$327,553</w:t>
            </w:r>
          </w:p>
        </w:tc>
        <w:tc>
          <w:tcPr>
            <w:tcW w:w="1466" w:type="dxa"/>
          </w:tcPr>
          <w:p>
            <w:pPr>
              <w:pStyle w:val="TableParagraph"/>
              <w:spacing w:before="14"/>
              <w:ind w:left="383"/>
              <w:jc w:val="left"/>
              <w:rPr>
                <w:sz w:val="18"/>
              </w:rPr>
            </w:pPr>
            <w:r>
              <w:rPr>
                <w:sz w:val="18"/>
              </w:rPr>
              <w:t>$354,150</w:t>
            </w:r>
          </w:p>
        </w:tc>
      </w:tr>
      <w:tr>
        <w:trPr>
          <w:trHeight w:val="222" w:hRule="exact"/>
        </w:trPr>
        <w:tc>
          <w:tcPr>
            <w:tcW w:w="1318" w:type="dxa"/>
          </w:tcPr>
          <w:p>
            <w:pPr>
              <w:pStyle w:val="TableParagraph"/>
              <w:spacing w:before="14"/>
              <w:ind w:right="352"/>
              <w:rPr>
                <w:sz w:val="18"/>
              </w:rPr>
            </w:pPr>
            <w:r>
              <w:rPr>
                <w:sz w:val="18"/>
              </w:rPr>
              <w:t>$1,238,706</w:t>
            </w:r>
          </w:p>
        </w:tc>
        <w:tc>
          <w:tcPr>
            <w:tcW w:w="1709" w:type="dxa"/>
          </w:tcPr>
          <w:p>
            <w:pPr>
              <w:pStyle w:val="TableParagraph"/>
              <w:spacing w:before="14"/>
              <w:ind w:left="354"/>
              <w:jc w:val="left"/>
              <w:rPr>
                <w:sz w:val="18"/>
              </w:rPr>
            </w:pPr>
            <w:r>
              <w:rPr>
                <w:sz w:val="18"/>
              </w:rPr>
              <w:t>$1,054,019</w:t>
            </w:r>
          </w:p>
        </w:tc>
        <w:tc>
          <w:tcPr>
            <w:tcW w:w="1622" w:type="dxa"/>
          </w:tcPr>
          <w:p>
            <w:pPr>
              <w:pStyle w:val="TableParagraph"/>
              <w:spacing w:before="14"/>
              <w:ind w:left="326"/>
              <w:jc w:val="left"/>
              <w:rPr>
                <w:sz w:val="18"/>
              </w:rPr>
            </w:pPr>
            <w:r>
              <w:rPr>
                <w:sz w:val="18"/>
              </w:rPr>
              <w:t>$879,536</w:t>
            </w:r>
          </w:p>
        </w:tc>
        <w:tc>
          <w:tcPr>
            <w:tcW w:w="1483" w:type="dxa"/>
          </w:tcPr>
          <w:p>
            <w:pPr>
              <w:pStyle w:val="TableParagraph"/>
              <w:spacing w:before="14"/>
              <w:ind w:right="305"/>
              <w:rPr>
                <w:sz w:val="18"/>
              </w:rPr>
            </w:pPr>
            <w:r>
              <w:rPr>
                <w:sz w:val="18"/>
              </w:rPr>
              <w:t>$635,793</w:t>
            </w:r>
          </w:p>
        </w:tc>
        <w:tc>
          <w:tcPr>
            <w:tcW w:w="1699" w:type="dxa"/>
          </w:tcPr>
          <w:p>
            <w:pPr>
              <w:pStyle w:val="TableParagraph"/>
              <w:spacing w:before="14"/>
              <w:ind w:left="460"/>
              <w:jc w:val="left"/>
              <w:rPr>
                <w:sz w:val="18"/>
              </w:rPr>
            </w:pPr>
            <w:r>
              <w:rPr>
                <w:sz w:val="18"/>
              </w:rPr>
              <w:t>$607,294</w:t>
            </w:r>
          </w:p>
        </w:tc>
        <w:tc>
          <w:tcPr>
            <w:tcW w:w="1466" w:type="dxa"/>
          </w:tcPr>
          <w:p>
            <w:pPr>
              <w:pStyle w:val="TableParagraph"/>
              <w:spacing w:before="14"/>
              <w:ind w:left="383"/>
              <w:jc w:val="left"/>
              <w:rPr>
                <w:sz w:val="18"/>
              </w:rPr>
            </w:pPr>
            <w:r>
              <w:rPr>
                <w:sz w:val="18"/>
              </w:rPr>
              <w:t>$591,794</w:t>
            </w:r>
          </w:p>
        </w:tc>
      </w:tr>
    </w:tbl>
    <w:p>
      <w:pPr>
        <w:pStyle w:val="BodyText"/>
        <w:rPr>
          <w:sz w:val="20"/>
        </w:rPr>
      </w:pPr>
    </w:p>
    <w:p>
      <w:pPr>
        <w:pStyle w:val="BodyText"/>
        <w:spacing w:before="10"/>
      </w:pPr>
    </w:p>
    <w:tbl>
      <w:tblPr>
        <w:tblW w:w="0" w:type="auto"/>
        <w:jc w:val="left"/>
        <w:tblInd w:w="487"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143"/>
        <w:gridCol w:w="1711"/>
        <w:gridCol w:w="1675"/>
        <w:gridCol w:w="1484"/>
        <w:gridCol w:w="1524"/>
        <w:gridCol w:w="1148"/>
      </w:tblGrid>
      <w:tr>
        <w:trPr>
          <w:trHeight w:val="222" w:hRule="exact"/>
        </w:trPr>
        <w:tc>
          <w:tcPr>
            <w:tcW w:w="1143" w:type="dxa"/>
          </w:tcPr>
          <w:p>
            <w:pPr>
              <w:pStyle w:val="TableParagraph"/>
              <w:spacing w:line="203" w:lineRule="exact"/>
              <w:ind w:left="150"/>
              <w:jc w:val="left"/>
              <w:rPr>
                <w:sz w:val="18"/>
              </w:rPr>
            </w:pPr>
            <w:r>
              <w:rPr>
                <w:sz w:val="18"/>
              </w:rPr>
              <w:t>6.6 %</w:t>
            </w:r>
          </w:p>
        </w:tc>
        <w:tc>
          <w:tcPr>
            <w:tcW w:w="1711" w:type="dxa"/>
          </w:tcPr>
          <w:p>
            <w:pPr>
              <w:pStyle w:val="TableParagraph"/>
              <w:spacing w:line="203" w:lineRule="exact"/>
              <w:ind w:right="338"/>
              <w:rPr>
                <w:sz w:val="18"/>
              </w:rPr>
            </w:pPr>
            <w:r>
              <w:rPr>
                <w:sz w:val="18"/>
              </w:rPr>
              <w:t>6.2 % (4)</w:t>
            </w:r>
          </w:p>
        </w:tc>
        <w:tc>
          <w:tcPr>
            <w:tcW w:w="1675" w:type="dxa"/>
          </w:tcPr>
          <w:p>
            <w:pPr>
              <w:pStyle w:val="TableParagraph"/>
              <w:spacing w:line="203" w:lineRule="exact"/>
              <w:ind w:right="482"/>
              <w:rPr>
                <w:sz w:val="18"/>
              </w:rPr>
            </w:pPr>
            <w:r>
              <w:rPr>
                <w:sz w:val="18"/>
              </w:rPr>
              <w:t>4.6 % (5)</w:t>
            </w:r>
          </w:p>
        </w:tc>
        <w:tc>
          <w:tcPr>
            <w:tcW w:w="1484" w:type="dxa"/>
          </w:tcPr>
          <w:p>
            <w:pPr>
              <w:pStyle w:val="TableParagraph"/>
              <w:spacing w:line="203" w:lineRule="exact"/>
              <w:ind w:left="484"/>
              <w:jc w:val="left"/>
              <w:rPr>
                <w:sz w:val="18"/>
              </w:rPr>
            </w:pPr>
            <w:r>
              <w:rPr>
                <w:sz w:val="18"/>
              </w:rPr>
              <w:t>2.0 %</w:t>
            </w:r>
          </w:p>
        </w:tc>
        <w:tc>
          <w:tcPr>
            <w:tcW w:w="1524" w:type="dxa"/>
          </w:tcPr>
          <w:p>
            <w:pPr>
              <w:pStyle w:val="TableParagraph"/>
              <w:spacing w:line="203" w:lineRule="exact"/>
              <w:ind w:left="527"/>
              <w:jc w:val="left"/>
              <w:rPr>
                <w:sz w:val="18"/>
              </w:rPr>
            </w:pPr>
            <w:r>
              <w:rPr>
                <w:sz w:val="18"/>
              </w:rPr>
              <w:t>3.5 %</w:t>
            </w:r>
          </w:p>
        </w:tc>
        <w:tc>
          <w:tcPr>
            <w:tcW w:w="1148" w:type="dxa"/>
          </w:tcPr>
          <w:p>
            <w:pPr>
              <w:pStyle w:val="TableParagraph"/>
              <w:spacing w:line="203" w:lineRule="exact"/>
              <w:ind w:right="48"/>
              <w:rPr>
                <w:sz w:val="18"/>
              </w:rPr>
            </w:pPr>
            <w:r>
              <w:rPr>
                <w:sz w:val="18"/>
              </w:rPr>
              <w:t>5.5 %</w:t>
            </w:r>
          </w:p>
        </w:tc>
      </w:tr>
      <w:tr>
        <w:trPr>
          <w:trHeight w:val="222" w:hRule="exact"/>
        </w:trPr>
        <w:tc>
          <w:tcPr>
            <w:tcW w:w="1143" w:type="dxa"/>
          </w:tcPr>
          <w:p>
            <w:pPr>
              <w:pStyle w:val="TableParagraph"/>
              <w:spacing w:before="14"/>
              <w:ind w:left="50"/>
              <w:jc w:val="left"/>
              <w:rPr>
                <w:sz w:val="18"/>
              </w:rPr>
            </w:pPr>
            <w:r>
              <w:rPr>
                <w:sz w:val="18"/>
              </w:rPr>
              <w:t>15.6 %</w:t>
            </w:r>
          </w:p>
        </w:tc>
        <w:tc>
          <w:tcPr>
            <w:tcW w:w="1711" w:type="dxa"/>
          </w:tcPr>
          <w:p>
            <w:pPr>
              <w:pStyle w:val="TableParagraph"/>
              <w:spacing w:before="14"/>
              <w:ind w:right="338"/>
              <w:rPr>
                <w:sz w:val="18"/>
              </w:rPr>
            </w:pPr>
            <w:r>
              <w:rPr>
                <w:sz w:val="18"/>
              </w:rPr>
              <w:t>16.0 % (4)</w:t>
            </w:r>
          </w:p>
        </w:tc>
        <w:tc>
          <w:tcPr>
            <w:tcW w:w="1675" w:type="dxa"/>
          </w:tcPr>
          <w:p>
            <w:pPr>
              <w:pStyle w:val="TableParagraph"/>
              <w:spacing w:before="14"/>
              <w:ind w:right="482"/>
              <w:rPr>
                <w:sz w:val="18"/>
              </w:rPr>
            </w:pPr>
            <w:r>
              <w:rPr>
                <w:sz w:val="18"/>
              </w:rPr>
              <w:t>12.9 % (5)</w:t>
            </w:r>
          </w:p>
        </w:tc>
        <w:tc>
          <w:tcPr>
            <w:tcW w:w="1484" w:type="dxa"/>
          </w:tcPr>
          <w:p>
            <w:pPr>
              <w:pStyle w:val="TableParagraph"/>
              <w:spacing w:before="14"/>
              <w:ind w:left="484"/>
              <w:jc w:val="left"/>
              <w:rPr>
                <w:sz w:val="18"/>
              </w:rPr>
            </w:pPr>
            <w:r>
              <w:rPr>
                <w:sz w:val="18"/>
              </w:rPr>
              <w:t>5.3 %</w:t>
            </w:r>
          </w:p>
        </w:tc>
        <w:tc>
          <w:tcPr>
            <w:tcW w:w="1524" w:type="dxa"/>
          </w:tcPr>
          <w:p>
            <w:pPr>
              <w:pStyle w:val="TableParagraph"/>
              <w:spacing w:before="14"/>
              <w:ind w:left="527"/>
              <w:jc w:val="left"/>
              <w:rPr>
                <w:sz w:val="18"/>
              </w:rPr>
            </w:pPr>
            <w:r>
              <w:rPr>
                <w:sz w:val="18"/>
              </w:rPr>
              <w:t>8.4 %</w:t>
            </w:r>
          </w:p>
        </w:tc>
        <w:tc>
          <w:tcPr>
            <w:tcW w:w="1148" w:type="dxa"/>
          </w:tcPr>
          <w:p>
            <w:pPr>
              <w:pStyle w:val="TableParagraph"/>
              <w:spacing w:before="14"/>
              <w:ind w:right="48"/>
              <w:rPr>
                <w:sz w:val="18"/>
              </w:rPr>
            </w:pPr>
            <w:r>
              <w:rPr>
                <w:sz w:val="18"/>
              </w:rPr>
              <w:t>12.9 %</w:t>
            </w:r>
          </w:p>
        </w:tc>
      </w:tr>
    </w:tbl>
    <w:p>
      <w:pPr>
        <w:pStyle w:val="BodyText"/>
        <w:rPr>
          <w:sz w:val="20"/>
        </w:rPr>
      </w:pPr>
    </w:p>
    <w:p>
      <w:pPr>
        <w:pStyle w:val="BodyText"/>
        <w:spacing w:before="10"/>
      </w:pPr>
    </w:p>
    <w:tbl>
      <w:tblPr>
        <w:tblW w:w="0" w:type="auto"/>
        <w:jc w:val="left"/>
        <w:tblInd w:w="12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4"/>
        <w:gridCol w:w="1586"/>
        <w:gridCol w:w="1486"/>
        <w:gridCol w:w="1620"/>
        <w:gridCol w:w="1574"/>
        <w:gridCol w:w="1318"/>
      </w:tblGrid>
      <w:tr>
        <w:trPr>
          <w:trHeight w:val="222" w:hRule="exact"/>
        </w:trPr>
        <w:tc>
          <w:tcPr>
            <w:tcW w:w="1464" w:type="dxa"/>
          </w:tcPr>
          <w:p>
            <w:pPr>
              <w:pStyle w:val="TableParagraph"/>
              <w:spacing w:line="203" w:lineRule="exact"/>
              <w:ind w:left="50"/>
              <w:jc w:val="left"/>
              <w:rPr>
                <w:sz w:val="18"/>
              </w:rPr>
            </w:pPr>
            <w:r>
              <w:rPr>
                <w:sz w:val="18"/>
              </w:rPr>
              <w:t>42,742,602 (8)</w:t>
            </w:r>
          </w:p>
        </w:tc>
        <w:tc>
          <w:tcPr>
            <w:tcW w:w="1586" w:type="dxa"/>
          </w:tcPr>
          <w:p>
            <w:pPr>
              <w:pStyle w:val="TableParagraph"/>
              <w:spacing w:line="203" w:lineRule="exact"/>
              <w:ind w:right="170"/>
              <w:rPr>
                <w:sz w:val="18"/>
              </w:rPr>
            </w:pPr>
            <w:r>
              <w:rPr>
                <w:sz w:val="18"/>
              </w:rPr>
              <w:t>36,955,221 (8)</w:t>
            </w:r>
          </w:p>
        </w:tc>
        <w:tc>
          <w:tcPr>
            <w:tcW w:w="1486" w:type="dxa"/>
          </w:tcPr>
          <w:p>
            <w:pPr>
              <w:pStyle w:val="TableParagraph"/>
              <w:spacing w:line="203" w:lineRule="exact"/>
              <w:ind w:right="398"/>
              <w:rPr>
                <w:sz w:val="18"/>
              </w:rPr>
            </w:pPr>
            <w:r>
              <w:rPr>
                <w:sz w:val="18"/>
              </w:rPr>
              <w:t>27,839,284</w:t>
            </w:r>
          </w:p>
        </w:tc>
        <w:tc>
          <w:tcPr>
            <w:tcW w:w="1620" w:type="dxa"/>
          </w:tcPr>
          <w:p>
            <w:pPr>
              <w:pStyle w:val="TableParagraph"/>
              <w:spacing w:line="203" w:lineRule="exact"/>
              <w:ind w:right="305"/>
              <w:rPr>
                <w:sz w:val="18"/>
              </w:rPr>
            </w:pPr>
            <w:r>
              <w:rPr>
                <w:sz w:val="18"/>
              </w:rPr>
              <w:t>22,669,942</w:t>
            </w:r>
          </w:p>
        </w:tc>
        <w:tc>
          <w:tcPr>
            <w:tcW w:w="1574" w:type="dxa"/>
          </w:tcPr>
          <w:p>
            <w:pPr>
              <w:pStyle w:val="TableParagraph"/>
              <w:spacing w:line="203" w:lineRule="exact"/>
              <w:ind w:right="353"/>
              <w:rPr>
                <w:sz w:val="18"/>
              </w:rPr>
            </w:pPr>
            <w:r>
              <w:rPr>
                <w:sz w:val="18"/>
              </w:rPr>
              <w:t>19,830,941</w:t>
            </w:r>
          </w:p>
        </w:tc>
        <w:tc>
          <w:tcPr>
            <w:tcW w:w="1318" w:type="dxa"/>
          </w:tcPr>
          <w:p>
            <w:pPr>
              <w:pStyle w:val="TableParagraph"/>
              <w:spacing w:line="203" w:lineRule="exact"/>
              <w:ind w:right="48"/>
              <w:rPr>
                <w:sz w:val="18"/>
              </w:rPr>
            </w:pPr>
            <w:r>
              <w:rPr>
                <w:sz w:val="18"/>
              </w:rPr>
              <w:t>17,958,263</w:t>
            </w:r>
          </w:p>
        </w:tc>
      </w:tr>
      <w:tr>
        <w:trPr>
          <w:trHeight w:val="240" w:hRule="exact"/>
        </w:trPr>
        <w:tc>
          <w:tcPr>
            <w:tcW w:w="1464" w:type="dxa"/>
          </w:tcPr>
          <w:p>
            <w:pPr>
              <w:pStyle w:val="TableParagraph"/>
              <w:spacing w:before="14"/>
              <w:ind w:left="73"/>
              <w:jc w:val="left"/>
              <w:rPr>
                <w:sz w:val="18"/>
              </w:rPr>
            </w:pPr>
            <w:r>
              <w:rPr>
                <w:sz w:val="18"/>
              </w:rPr>
              <w:t>21,611,266</w:t>
            </w:r>
          </w:p>
        </w:tc>
        <w:tc>
          <w:tcPr>
            <w:tcW w:w="1586" w:type="dxa"/>
          </w:tcPr>
          <w:p>
            <w:pPr>
              <w:pStyle w:val="TableParagraph"/>
              <w:spacing w:before="14"/>
              <w:ind w:left="232"/>
              <w:jc w:val="left"/>
              <w:rPr>
                <w:sz w:val="18"/>
              </w:rPr>
            </w:pPr>
            <w:r>
              <w:rPr>
                <w:sz w:val="18"/>
              </w:rPr>
              <w:t>18,827,288</w:t>
            </w:r>
          </w:p>
        </w:tc>
        <w:tc>
          <w:tcPr>
            <w:tcW w:w="1486" w:type="dxa"/>
          </w:tcPr>
          <w:p>
            <w:pPr>
              <w:pStyle w:val="TableParagraph"/>
              <w:spacing w:before="14"/>
              <w:ind w:right="398"/>
              <w:rPr>
                <w:sz w:val="18"/>
              </w:rPr>
            </w:pPr>
            <w:r>
              <w:rPr>
                <w:sz w:val="18"/>
              </w:rPr>
              <w:t>13,787,005</w:t>
            </w:r>
          </w:p>
        </w:tc>
        <w:tc>
          <w:tcPr>
            <w:tcW w:w="1620" w:type="dxa"/>
          </w:tcPr>
          <w:p>
            <w:pPr>
              <w:pStyle w:val="TableParagraph"/>
              <w:spacing w:before="14"/>
              <w:ind w:right="305"/>
              <w:rPr>
                <w:sz w:val="18"/>
              </w:rPr>
            </w:pPr>
            <w:r>
              <w:rPr>
                <w:sz w:val="18"/>
              </w:rPr>
              <w:t>11,296,183</w:t>
            </w:r>
          </w:p>
        </w:tc>
        <w:tc>
          <w:tcPr>
            <w:tcW w:w="1574" w:type="dxa"/>
          </w:tcPr>
          <w:p>
            <w:pPr>
              <w:pStyle w:val="TableParagraph"/>
              <w:spacing w:before="14"/>
              <w:ind w:right="353"/>
              <w:rPr>
                <w:sz w:val="18"/>
              </w:rPr>
            </w:pPr>
            <w:r>
              <w:rPr>
                <w:sz w:val="18"/>
              </w:rPr>
              <w:t>9,958,940</w:t>
            </w:r>
          </w:p>
        </w:tc>
        <w:tc>
          <w:tcPr>
            <w:tcW w:w="1318" w:type="dxa"/>
          </w:tcPr>
          <w:p>
            <w:pPr>
              <w:pStyle w:val="TableParagraph"/>
              <w:spacing w:before="14"/>
              <w:ind w:right="48"/>
              <w:rPr>
                <w:sz w:val="18"/>
              </w:rPr>
            </w:pPr>
            <w:r>
              <w:rPr>
                <w:sz w:val="18"/>
              </w:rPr>
              <w:t>9,281,992</w:t>
            </w:r>
          </w:p>
        </w:tc>
      </w:tr>
      <w:tr>
        <w:trPr>
          <w:trHeight w:val="240" w:hRule="exact"/>
        </w:trPr>
        <w:tc>
          <w:tcPr>
            <w:tcW w:w="1464" w:type="dxa"/>
          </w:tcPr>
          <w:p>
            <w:pPr>
              <w:pStyle w:val="TableParagraph"/>
              <w:spacing w:before="14"/>
              <w:ind w:left="73"/>
              <w:jc w:val="left"/>
              <w:rPr>
                <w:sz w:val="18"/>
              </w:rPr>
            </w:pPr>
            <w:r>
              <w:rPr>
                <w:sz w:val="18"/>
              </w:rPr>
              <w:t>32,123,974</w:t>
            </w:r>
          </w:p>
        </w:tc>
        <w:tc>
          <w:tcPr>
            <w:tcW w:w="1586" w:type="dxa"/>
          </w:tcPr>
          <w:p>
            <w:pPr>
              <w:pStyle w:val="TableParagraph"/>
              <w:spacing w:before="14"/>
              <w:ind w:left="232"/>
              <w:jc w:val="left"/>
              <w:rPr>
                <w:sz w:val="18"/>
              </w:rPr>
            </w:pPr>
            <w:r>
              <w:rPr>
                <w:sz w:val="18"/>
              </w:rPr>
              <w:t>27,511,000</w:t>
            </w:r>
          </w:p>
        </w:tc>
        <w:tc>
          <w:tcPr>
            <w:tcW w:w="1486" w:type="dxa"/>
          </w:tcPr>
          <w:p>
            <w:pPr>
              <w:pStyle w:val="TableParagraph"/>
              <w:spacing w:before="14"/>
              <w:ind w:right="398"/>
              <w:rPr>
                <w:sz w:val="18"/>
              </w:rPr>
            </w:pPr>
            <w:r>
              <w:rPr>
                <w:sz w:val="18"/>
              </w:rPr>
              <w:t>21,366,642</w:t>
            </w:r>
          </w:p>
        </w:tc>
        <w:tc>
          <w:tcPr>
            <w:tcW w:w="1620" w:type="dxa"/>
          </w:tcPr>
          <w:p>
            <w:pPr>
              <w:pStyle w:val="TableParagraph"/>
              <w:spacing w:before="14"/>
              <w:ind w:right="305"/>
              <w:rPr>
                <w:sz w:val="18"/>
              </w:rPr>
            </w:pPr>
            <w:r>
              <w:rPr>
                <w:sz w:val="18"/>
              </w:rPr>
              <w:t>18,491,003</w:t>
            </w:r>
          </w:p>
        </w:tc>
        <w:tc>
          <w:tcPr>
            <w:tcW w:w="1574" w:type="dxa"/>
          </w:tcPr>
          <w:p>
            <w:pPr>
              <w:pStyle w:val="TableParagraph"/>
              <w:spacing w:before="14"/>
              <w:ind w:right="353"/>
              <w:rPr>
                <w:sz w:val="18"/>
              </w:rPr>
            </w:pPr>
            <w:r>
              <w:rPr>
                <w:sz w:val="18"/>
              </w:rPr>
              <w:t>16,411,115</w:t>
            </w:r>
          </w:p>
        </w:tc>
        <w:tc>
          <w:tcPr>
            <w:tcW w:w="1318" w:type="dxa"/>
          </w:tcPr>
          <w:p>
            <w:pPr>
              <w:pStyle w:val="TableParagraph"/>
              <w:spacing w:before="14"/>
              <w:ind w:right="48"/>
              <w:rPr>
                <w:sz w:val="18"/>
              </w:rPr>
            </w:pPr>
            <w:r>
              <w:rPr>
                <w:sz w:val="18"/>
              </w:rPr>
              <w:t>14,796,732</w:t>
            </w:r>
          </w:p>
        </w:tc>
      </w:tr>
      <w:tr>
        <w:trPr>
          <w:trHeight w:val="240" w:hRule="exact"/>
        </w:trPr>
        <w:tc>
          <w:tcPr>
            <w:tcW w:w="1464" w:type="dxa"/>
          </w:tcPr>
          <w:p>
            <w:pPr>
              <w:pStyle w:val="TableParagraph"/>
              <w:spacing w:before="14"/>
              <w:ind w:left="414"/>
              <w:jc w:val="left"/>
              <w:rPr>
                <w:sz w:val="18"/>
              </w:rPr>
            </w:pPr>
            <w:r>
              <w:rPr>
                <w:sz w:val="18"/>
              </w:rPr>
              <w:t>67.3 %</w:t>
            </w:r>
          </w:p>
        </w:tc>
        <w:tc>
          <w:tcPr>
            <w:tcW w:w="1586" w:type="dxa"/>
          </w:tcPr>
          <w:p>
            <w:pPr>
              <w:pStyle w:val="TableParagraph"/>
              <w:spacing w:before="14"/>
              <w:ind w:left="573"/>
              <w:jc w:val="left"/>
              <w:rPr>
                <w:sz w:val="18"/>
              </w:rPr>
            </w:pPr>
            <w:r>
              <w:rPr>
                <w:sz w:val="18"/>
              </w:rPr>
              <w:t>68.4 %</w:t>
            </w:r>
          </w:p>
        </w:tc>
        <w:tc>
          <w:tcPr>
            <w:tcW w:w="1486" w:type="dxa"/>
          </w:tcPr>
          <w:p>
            <w:pPr>
              <w:pStyle w:val="TableParagraph"/>
              <w:spacing w:before="14"/>
              <w:ind w:right="398"/>
              <w:rPr>
                <w:sz w:val="18"/>
              </w:rPr>
            </w:pPr>
            <w:r>
              <w:rPr>
                <w:sz w:val="18"/>
              </w:rPr>
              <w:t>64.5 %</w:t>
            </w:r>
          </w:p>
        </w:tc>
        <w:tc>
          <w:tcPr>
            <w:tcW w:w="1620" w:type="dxa"/>
          </w:tcPr>
          <w:p>
            <w:pPr>
              <w:pStyle w:val="TableParagraph"/>
              <w:spacing w:before="14"/>
              <w:ind w:right="304"/>
              <w:rPr>
                <w:sz w:val="18"/>
              </w:rPr>
            </w:pPr>
            <w:r>
              <w:rPr>
                <w:sz w:val="18"/>
              </w:rPr>
              <w:t>61.1 %</w:t>
            </w:r>
          </w:p>
        </w:tc>
        <w:tc>
          <w:tcPr>
            <w:tcW w:w="1574" w:type="dxa"/>
          </w:tcPr>
          <w:p>
            <w:pPr>
              <w:pStyle w:val="TableParagraph"/>
              <w:spacing w:before="14"/>
              <w:ind w:right="352"/>
              <w:rPr>
                <w:sz w:val="18"/>
              </w:rPr>
            </w:pPr>
            <w:r>
              <w:rPr>
                <w:sz w:val="18"/>
              </w:rPr>
              <w:t>60.7 %</w:t>
            </w:r>
          </w:p>
        </w:tc>
        <w:tc>
          <w:tcPr>
            <w:tcW w:w="1318" w:type="dxa"/>
          </w:tcPr>
          <w:p>
            <w:pPr>
              <w:pStyle w:val="TableParagraph"/>
              <w:spacing w:before="14"/>
              <w:ind w:right="48"/>
              <w:rPr>
                <w:sz w:val="18"/>
              </w:rPr>
            </w:pPr>
            <w:r>
              <w:rPr>
                <w:sz w:val="18"/>
              </w:rPr>
              <w:t>62.7 %</w:t>
            </w:r>
          </w:p>
        </w:tc>
      </w:tr>
      <w:tr>
        <w:trPr>
          <w:trHeight w:val="240" w:hRule="exact"/>
        </w:trPr>
        <w:tc>
          <w:tcPr>
            <w:tcW w:w="1464" w:type="dxa"/>
          </w:tcPr>
          <w:p>
            <w:pPr>
              <w:pStyle w:val="TableParagraph"/>
              <w:spacing w:before="14"/>
              <w:ind w:left="683"/>
              <w:jc w:val="left"/>
              <w:rPr>
                <w:sz w:val="18"/>
              </w:rPr>
            </w:pPr>
            <w:r>
              <w:rPr>
                <w:sz w:val="18"/>
              </w:rPr>
              <w:t>506</w:t>
            </w:r>
          </w:p>
        </w:tc>
        <w:tc>
          <w:tcPr>
            <w:tcW w:w="1586" w:type="dxa"/>
          </w:tcPr>
          <w:p>
            <w:pPr>
              <w:pStyle w:val="TableParagraph"/>
              <w:spacing w:before="14"/>
              <w:ind w:left="842"/>
              <w:jc w:val="left"/>
              <w:rPr>
                <w:sz w:val="18"/>
              </w:rPr>
            </w:pPr>
            <w:r>
              <w:rPr>
                <w:sz w:val="18"/>
              </w:rPr>
              <w:t>509</w:t>
            </w:r>
          </w:p>
        </w:tc>
        <w:tc>
          <w:tcPr>
            <w:tcW w:w="1486" w:type="dxa"/>
          </w:tcPr>
          <w:p>
            <w:pPr>
              <w:pStyle w:val="TableParagraph"/>
              <w:spacing w:before="14"/>
              <w:ind w:right="399"/>
              <w:rPr>
                <w:sz w:val="18"/>
              </w:rPr>
            </w:pPr>
            <w:r>
              <w:rPr>
                <w:sz w:val="18"/>
              </w:rPr>
              <w:t>495</w:t>
            </w:r>
          </w:p>
        </w:tc>
        <w:tc>
          <w:tcPr>
            <w:tcW w:w="1620" w:type="dxa"/>
          </w:tcPr>
          <w:p>
            <w:pPr>
              <w:pStyle w:val="TableParagraph"/>
              <w:spacing w:before="14"/>
              <w:ind w:right="307"/>
              <w:rPr>
                <w:sz w:val="18"/>
              </w:rPr>
            </w:pPr>
            <w:r>
              <w:rPr>
                <w:sz w:val="18"/>
              </w:rPr>
              <w:t>498</w:t>
            </w:r>
          </w:p>
        </w:tc>
        <w:tc>
          <w:tcPr>
            <w:tcW w:w="1574" w:type="dxa"/>
          </w:tcPr>
          <w:p>
            <w:pPr>
              <w:pStyle w:val="TableParagraph"/>
              <w:spacing w:before="14"/>
              <w:ind w:right="355"/>
              <w:rPr>
                <w:sz w:val="18"/>
              </w:rPr>
            </w:pPr>
            <w:r>
              <w:rPr>
                <w:sz w:val="18"/>
              </w:rPr>
              <w:t>502</w:t>
            </w:r>
          </w:p>
        </w:tc>
        <w:tc>
          <w:tcPr>
            <w:tcW w:w="1318" w:type="dxa"/>
          </w:tcPr>
          <w:p>
            <w:pPr>
              <w:pStyle w:val="TableParagraph"/>
              <w:spacing w:before="14"/>
              <w:ind w:right="49"/>
              <w:rPr>
                <w:sz w:val="18"/>
              </w:rPr>
            </w:pPr>
            <w:r>
              <w:rPr>
                <w:sz w:val="18"/>
              </w:rPr>
              <w:t>517</w:t>
            </w:r>
          </w:p>
        </w:tc>
      </w:tr>
      <w:tr>
        <w:trPr>
          <w:trHeight w:val="240" w:hRule="exact"/>
        </w:trPr>
        <w:tc>
          <w:tcPr>
            <w:tcW w:w="1464" w:type="dxa"/>
          </w:tcPr>
          <w:p>
            <w:pPr>
              <w:pStyle w:val="TableParagraph"/>
              <w:spacing w:before="14"/>
              <w:ind w:left="328"/>
              <w:jc w:val="left"/>
              <w:rPr>
                <w:sz w:val="18"/>
              </w:rPr>
            </w:pPr>
            <w:r>
              <w:rPr>
                <w:sz w:val="18"/>
              </w:rPr>
              <w:t>624,476</w:t>
            </w:r>
          </w:p>
        </w:tc>
        <w:tc>
          <w:tcPr>
            <w:tcW w:w="1586" w:type="dxa"/>
          </w:tcPr>
          <w:p>
            <w:pPr>
              <w:pStyle w:val="TableParagraph"/>
              <w:spacing w:before="14"/>
              <w:ind w:left="486"/>
              <w:jc w:val="left"/>
              <w:rPr>
                <w:sz w:val="18"/>
              </w:rPr>
            </w:pPr>
            <w:r>
              <w:rPr>
                <w:sz w:val="18"/>
              </w:rPr>
              <w:t>546,297</w:t>
            </w:r>
          </w:p>
        </w:tc>
        <w:tc>
          <w:tcPr>
            <w:tcW w:w="1486" w:type="dxa"/>
          </w:tcPr>
          <w:p>
            <w:pPr>
              <w:pStyle w:val="TableParagraph"/>
              <w:spacing w:before="14"/>
              <w:ind w:right="399"/>
              <w:rPr>
                <w:sz w:val="18"/>
              </w:rPr>
            </w:pPr>
            <w:r>
              <w:rPr>
                <w:sz w:val="18"/>
              </w:rPr>
              <w:t>438,184</w:t>
            </w:r>
          </w:p>
        </w:tc>
        <w:tc>
          <w:tcPr>
            <w:tcW w:w="1620" w:type="dxa"/>
          </w:tcPr>
          <w:p>
            <w:pPr>
              <w:pStyle w:val="TableParagraph"/>
              <w:spacing w:before="14"/>
              <w:ind w:right="305"/>
              <w:rPr>
                <w:sz w:val="18"/>
              </w:rPr>
            </w:pPr>
            <w:r>
              <w:rPr>
                <w:sz w:val="18"/>
              </w:rPr>
              <w:t>382,752</w:t>
            </w:r>
          </w:p>
        </w:tc>
        <w:tc>
          <w:tcPr>
            <w:tcW w:w="1574" w:type="dxa"/>
          </w:tcPr>
          <w:p>
            <w:pPr>
              <w:pStyle w:val="TableParagraph"/>
              <w:spacing w:before="14"/>
              <w:ind w:right="353"/>
              <w:rPr>
                <w:sz w:val="18"/>
              </w:rPr>
            </w:pPr>
            <w:r>
              <w:rPr>
                <w:sz w:val="18"/>
              </w:rPr>
              <w:t>338,108</w:t>
            </w:r>
          </w:p>
        </w:tc>
        <w:tc>
          <w:tcPr>
            <w:tcW w:w="1318" w:type="dxa"/>
          </w:tcPr>
          <w:p>
            <w:pPr>
              <w:pStyle w:val="TableParagraph"/>
              <w:spacing w:before="14"/>
              <w:ind w:right="49"/>
              <w:rPr>
                <w:sz w:val="18"/>
              </w:rPr>
            </w:pPr>
            <w:r>
              <w:rPr>
                <w:sz w:val="18"/>
              </w:rPr>
              <w:t>304,673</w:t>
            </w:r>
          </w:p>
        </w:tc>
      </w:tr>
      <w:tr>
        <w:trPr>
          <w:trHeight w:val="240" w:hRule="exact"/>
        </w:trPr>
        <w:tc>
          <w:tcPr>
            <w:tcW w:w="1464" w:type="dxa"/>
          </w:tcPr>
          <w:p>
            <w:pPr>
              <w:pStyle w:val="TableParagraph"/>
              <w:spacing w:before="14"/>
              <w:ind w:left="429"/>
              <w:jc w:val="left"/>
              <w:rPr>
                <w:sz w:val="18"/>
              </w:rPr>
            </w:pPr>
            <w:r>
              <w:rPr>
                <w:sz w:val="18"/>
              </w:rPr>
              <w:t>$58.44</w:t>
            </w:r>
          </w:p>
        </w:tc>
        <w:tc>
          <w:tcPr>
            <w:tcW w:w="1586" w:type="dxa"/>
          </w:tcPr>
          <w:p>
            <w:pPr>
              <w:pStyle w:val="TableParagraph"/>
              <w:spacing w:before="14"/>
              <w:ind w:left="587"/>
              <w:jc w:val="left"/>
              <w:rPr>
                <w:sz w:val="18"/>
              </w:rPr>
            </w:pPr>
            <w:r>
              <w:rPr>
                <w:sz w:val="18"/>
              </w:rPr>
              <w:t>$59.97</w:t>
            </w:r>
          </w:p>
        </w:tc>
        <w:tc>
          <w:tcPr>
            <w:tcW w:w="1486" w:type="dxa"/>
          </w:tcPr>
          <w:p>
            <w:pPr>
              <w:pStyle w:val="TableParagraph"/>
              <w:spacing w:before="14"/>
              <w:ind w:right="399"/>
              <w:rPr>
                <w:sz w:val="18"/>
              </w:rPr>
            </w:pPr>
            <w:r>
              <w:rPr>
                <w:sz w:val="18"/>
              </w:rPr>
              <w:t>$58.33</w:t>
            </w:r>
          </w:p>
        </w:tc>
        <w:tc>
          <w:tcPr>
            <w:tcW w:w="1620" w:type="dxa"/>
          </w:tcPr>
          <w:p>
            <w:pPr>
              <w:pStyle w:val="TableParagraph"/>
              <w:spacing w:before="14"/>
              <w:ind w:right="305"/>
              <w:rPr>
                <w:sz w:val="18"/>
              </w:rPr>
            </w:pPr>
            <w:r>
              <w:rPr>
                <w:sz w:val="18"/>
              </w:rPr>
              <w:t>$55.93</w:t>
            </w:r>
          </w:p>
        </w:tc>
        <w:tc>
          <w:tcPr>
            <w:tcW w:w="1574" w:type="dxa"/>
          </w:tcPr>
          <w:p>
            <w:pPr>
              <w:pStyle w:val="TableParagraph"/>
              <w:spacing w:before="14"/>
              <w:ind w:right="353"/>
              <w:rPr>
                <w:sz w:val="18"/>
              </w:rPr>
            </w:pPr>
            <w:r>
              <w:rPr>
                <w:sz w:val="18"/>
              </w:rPr>
              <w:t>$57.71</w:t>
            </w:r>
          </w:p>
        </w:tc>
        <w:tc>
          <w:tcPr>
            <w:tcW w:w="1318" w:type="dxa"/>
          </w:tcPr>
          <w:p>
            <w:pPr>
              <w:pStyle w:val="TableParagraph"/>
              <w:spacing w:before="14"/>
              <w:ind w:right="49"/>
              <w:rPr>
                <w:sz w:val="18"/>
              </w:rPr>
            </w:pPr>
            <w:r>
              <w:rPr>
                <w:sz w:val="18"/>
              </w:rPr>
              <w:t>$54.21</w:t>
            </w:r>
          </w:p>
        </w:tc>
      </w:tr>
      <w:tr>
        <w:trPr>
          <w:trHeight w:val="240" w:hRule="exact"/>
        </w:trPr>
        <w:tc>
          <w:tcPr>
            <w:tcW w:w="1464" w:type="dxa"/>
          </w:tcPr>
          <w:p>
            <w:pPr>
              <w:pStyle w:val="TableParagraph"/>
              <w:spacing w:before="14"/>
              <w:ind w:left="429"/>
              <w:jc w:val="left"/>
              <w:rPr>
                <w:sz w:val="18"/>
              </w:rPr>
            </w:pPr>
            <w:r>
              <w:rPr>
                <w:sz w:val="18"/>
              </w:rPr>
              <w:t>11.56¢</w:t>
            </w:r>
          </w:p>
        </w:tc>
        <w:tc>
          <w:tcPr>
            <w:tcW w:w="1586" w:type="dxa"/>
          </w:tcPr>
          <w:p>
            <w:pPr>
              <w:pStyle w:val="TableParagraph"/>
              <w:spacing w:before="14"/>
              <w:ind w:left="587"/>
              <w:jc w:val="left"/>
              <w:rPr>
                <w:sz w:val="18"/>
              </w:rPr>
            </w:pPr>
            <w:r>
              <w:rPr>
                <w:sz w:val="18"/>
              </w:rPr>
              <w:t>11.77¢</w:t>
            </w:r>
          </w:p>
        </w:tc>
        <w:tc>
          <w:tcPr>
            <w:tcW w:w="1486" w:type="dxa"/>
          </w:tcPr>
          <w:p>
            <w:pPr>
              <w:pStyle w:val="TableParagraph"/>
              <w:spacing w:before="14"/>
              <w:ind w:right="399"/>
              <w:rPr>
                <w:sz w:val="18"/>
              </w:rPr>
            </w:pPr>
            <w:r>
              <w:rPr>
                <w:sz w:val="18"/>
              </w:rPr>
              <w:t>11.78¢</w:t>
            </w:r>
          </w:p>
        </w:tc>
        <w:tc>
          <w:tcPr>
            <w:tcW w:w="1620" w:type="dxa"/>
          </w:tcPr>
          <w:p>
            <w:pPr>
              <w:pStyle w:val="TableParagraph"/>
              <w:spacing w:before="14"/>
              <w:ind w:right="305"/>
              <w:rPr>
                <w:sz w:val="18"/>
              </w:rPr>
            </w:pPr>
            <w:r>
              <w:rPr>
                <w:sz w:val="18"/>
              </w:rPr>
              <w:t>11.22¢</w:t>
            </w:r>
          </w:p>
        </w:tc>
        <w:tc>
          <w:tcPr>
            <w:tcW w:w="1574" w:type="dxa"/>
          </w:tcPr>
          <w:p>
            <w:pPr>
              <w:pStyle w:val="TableParagraph"/>
              <w:spacing w:before="14"/>
              <w:ind w:right="353"/>
              <w:rPr>
                <w:sz w:val="18"/>
              </w:rPr>
            </w:pPr>
            <w:r>
              <w:rPr>
                <w:sz w:val="18"/>
              </w:rPr>
              <w:t>11.49¢</w:t>
            </w:r>
          </w:p>
        </w:tc>
        <w:tc>
          <w:tcPr>
            <w:tcW w:w="1318" w:type="dxa"/>
          </w:tcPr>
          <w:p>
            <w:pPr>
              <w:pStyle w:val="TableParagraph"/>
              <w:spacing w:before="14"/>
              <w:ind w:right="49"/>
              <w:rPr>
                <w:sz w:val="18"/>
              </w:rPr>
            </w:pPr>
            <w:r>
              <w:rPr>
                <w:sz w:val="18"/>
              </w:rPr>
              <w:t>10.49¢</w:t>
            </w:r>
          </w:p>
        </w:tc>
      </w:tr>
      <w:tr>
        <w:trPr>
          <w:trHeight w:val="240" w:hRule="exact"/>
        </w:trPr>
        <w:tc>
          <w:tcPr>
            <w:tcW w:w="1464" w:type="dxa"/>
          </w:tcPr>
          <w:p>
            <w:pPr>
              <w:pStyle w:val="TableParagraph"/>
              <w:spacing w:before="14"/>
              <w:ind w:left="530"/>
              <w:jc w:val="left"/>
              <w:rPr>
                <w:sz w:val="18"/>
              </w:rPr>
            </w:pPr>
            <w:r>
              <w:rPr>
                <w:sz w:val="18"/>
              </w:rPr>
              <w:t>8.07¢</w:t>
            </w:r>
          </w:p>
        </w:tc>
        <w:tc>
          <w:tcPr>
            <w:tcW w:w="1586" w:type="dxa"/>
          </w:tcPr>
          <w:p>
            <w:pPr>
              <w:pStyle w:val="TableParagraph"/>
              <w:spacing w:before="14"/>
              <w:ind w:left="688"/>
              <w:jc w:val="left"/>
              <w:rPr>
                <w:sz w:val="18"/>
              </w:rPr>
            </w:pPr>
            <w:r>
              <w:rPr>
                <w:sz w:val="18"/>
              </w:rPr>
              <w:t>8.35¢</w:t>
            </w:r>
          </w:p>
        </w:tc>
        <w:tc>
          <w:tcPr>
            <w:tcW w:w="1486" w:type="dxa"/>
          </w:tcPr>
          <w:p>
            <w:pPr>
              <w:pStyle w:val="TableParagraph"/>
              <w:spacing w:before="14"/>
              <w:ind w:right="399"/>
              <w:rPr>
                <w:sz w:val="18"/>
              </w:rPr>
            </w:pPr>
            <w:r>
              <w:rPr>
                <w:sz w:val="18"/>
              </w:rPr>
              <w:t>7.89¢</w:t>
            </w:r>
          </w:p>
        </w:tc>
        <w:tc>
          <w:tcPr>
            <w:tcW w:w="1620" w:type="dxa"/>
          </w:tcPr>
          <w:p>
            <w:pPr>
              <w:pStyle w:val="TableParagraph"/>
              <w:spacing w:before="14"/>
              <w:ind w:right="305"/>
              <w:rPr>
                <w:sz w:val="18"/>
              </w:rPr>
            </w:pPr>
            <w:r>
              <w:rPr>
                <w:sz w:val="18"/>
              </w:rPr>
              <w:t>7.10¢</w:t>
            </w:r>
          </w:p>
        </w:tc>
        <w:tc>
          <w:tcPr>
            <w:tcW w:w="1574" w:type="dxa"/>
          </w:tcPr>
          <w:p>
            <w:pPr>
              <w:pStyle w:val="TableParagraph"/>
              <w:spacing w:before="14"/>
              <w:ind w:right="353"/>
              <w:rPr>
                <w:sz w:val="18"/>
              </w:rPr>
            </w:pPr>
            <w:r>
              <w:rPr>
                <w:sz w:val="18"/>
              </w:rPr>
              <w:t>7.23¢</w:t>
            </w:r>
          </w:p>
        </w:tc>
        <w:tc>
          <w:tcPr>
            <w:tcW w:w="1318" w:type="dxa"/>
          </w:tcPr>
          <w:p>
            <w:pPr>
              <w:pStyle w:val="TableParagraph"/>
              <w:spacing w:before="14"/>
              <w:ind w:right="49"/>
              <w:rPr>
                <w:sz w:val="18"/>
              </w:rPr>
            </w:pPr>
            <w:r>
              <w:rPr>
                <w:sz w:val="18"/>
              </w:rPr>
              <w:t>6.86¢</w:t>
            </w:r>
          </w:p>
        </w:tc>
      </w:tr>
      <w:tr>
        <w:trPr>
          <w:trHeight w:val="240" w:hRule="exact"/>
        </w:trPr>
        <w:tc>
          <w:tcPr>
            <w:tcW w:w="1464" w:type="dxa"/>
          </w:tcPr>
          <w:p>
            <w:pPr>
              <w:pStyle w:val="TableParagraph"/>
              <w:spacing w:before="14"/>
              <w:ind w:left="530"/>
              <w:jc w:val="left"/>
              <w:rPr>
                <w:sz w:val="18"/>
              </w:rPr>
            </w:pPr>
            <w:r>
              <w:rPr>
                <w:sz w:val="18"/>
              </w:rPr>
              <w:t>7.08¢</w:t>
            </w:r>
          </w:p>
        </w:tc>
        <w:tc>
          <w:tcPr>
            <w:tcW w:w="1586" w:type="dxa"/>
          </w:tcPr>
          <w:p>
            <w:pPr>
              <w:pStyle w:val="TableParagraph"/>
              <w:spacing w:before="14"/>
              <w:ind w:right="208"/>
              <w:rPr>
                <w:sz w:val="18"/>
              </w:rPr>
            </w:pPr>
            <w:r>
              <w:rPr>
                <w:sz w:val="18"/>
              </w:rPr>
              <w:t>7.25¢ (9)</w:t>
            </w:r>
          </w:p>
        </w:tc>
        <w:tc>
          <w:tcPr>
            <w:tcW w:w="1486" w:type="dxa"/>
          </w:tcPr>
          <w:p>
            <w:pPr>
              <w:pStyle w:val="TableParagraph"/>
              <w:spacing w:before="14"/>
              <w:ind w:right="399"/>
              <w:rPr>
                <w:sz w:val="18"/>
              </w:rPr>
            </w:pPr>
            <w:r>
              <w:rPr>
                <w:sz w:val="18"/>
              </w:rPr>
              <w:t>7.03¢</w:t>
            </w:r>
          </w:p>
        </w:tc>
        <w:tc>
          <w:tcPr>
            <w:tcW w:w="1620" w:type="dxa"/>
          </w:tcPr>
          <w:p>
            <w:pPr>
              <w:pStyle w:val="TableParagraph"/>
              <w:spacing w:before="14"/>
              <w:ind w:right="305"/>
              <w:rPr>
                <w:sz w:val="18"/>
              </w:rPr>
            </w:pPr>
            <w:r>
              <w:rPr>
                <w:sz w:val="18"/>
              </w:rPr>
              <w:t>6.76¢</w:t>
            </w:r>
          </w:p>
        </w:tc>
        <w:tc>
          <w:tcPr>
            <w:tcW w:w="1574" w:type="dxa"/>
          </w:tcPr>
          <w:p>
            <w:pPr>
              <w:pStyle w:val="TableParagraph"/>
              <w:spacing w:before="14"/>
              <w:ind w:right="353"/>
              <w:rPr>
                <w:sz w:val="18"/>
              </w:rPr>
            </w:pPr>
            <w:r>
              <w:rPr>
                <w:sz w:val="18"/>
              </w:rPr>
              <w:t>6.73¢</w:t>
            </w:r>
          </w:p>
        </w:tc>
        <w:tc>
          <w:tcPr>
            <w:tcW w:w="1318" w:type="dxa"/>
          </w:tcPr>
          <w:p>
            <w:pPr>
              <w:pStyle w:val="TableParagraph"/>
              <w:spacing w:before="14"/>
              <w:ind w:right="49"/>
              <w:rPr>
                <w:sz w:val="18"/>
              </w:rPr>
            </w:pPr>
            <w:r>
              <w:rPr>
                <w:sz w:val="18"/>
              </w:rPr>
              <w:t>6.20¢</w:t>
            </w:r>
          </w:p>
        </w:tc>
      </w:tr>
      <w:tr>
        <w:trPr>
          <w:trHeight w:val="240" w:hRule="exact"/>
        </w:trPr>
        <w:tc>
          <w:tcPr>
            <w:tcW w:w="1464" w:type="dxa"/>
          </w:tcPr>
          <w:p>
            <w:pPr>
              <w:pStyle w:val="TableParagraph"/>
              <w:spacing w:before="14"/>
              <w:ind w:left="429"/>
              <w:jc w:val="left"/>
              <w:rPr>
                <w:sz w:val="18"/>
              </w:rPr>
            </w:pPr>
            <w:r>
              <w:rPr>
                <w:sz w:val="18"/>
              </w:rPr>
              <w:t>53.92¢</w:t>
            </w:r>
          </w:p>
        </w:tc>
        <w:tc>
          <w:tcPr>
            <w:tcW w:w="1586" w:type="dxa"/>
          </w:tcPr>
          <w:p>
            <w:pPr>
              <w:pStyle w:val="TableParagraph"/>
              <w:spacing w:before="14"/>
              <w:ind w:left="587"/>
              <w:jc w:val="left"/>
              <w:rPr>
                <w:sz w:val="18"/>
              </w:rPr>
            </w:pPr>
            <w:r>
              <w:rPr>
                <w:sz w:val="18"/>
              </w:rPr>
              <w:t>59.15¢</w:t>
            </w:r>
          </w:p>
        </w:tc>
        <w:tc>
          <w:tcPr>
            <w:tcW w:w="1486" w:type="dxa"/>
          </w:tcPr>
          <w:p>
            <w:pPr>
              <w:pStyle w:val="TableParagraph"/>
              <w:spacing w:before="14"/>
              <w:ind w:right="399"/>
              <w:rPr>
                <w:sz w:val="18"/>
              </w:rPr>
            </w:pPr>
            <w:r>
              <w:rPr>
                <w:sz w:val="18"/>
              </w:rPr>
              <w:t>60.82¢</w:t>
            </w:r>
          </w:p>
        </w:tc>
        <w:tc>
          <w:tcPr>
            <w:tcW w:w="1620" w:type="dxa"/>
          </w:tcPr>
          <w:p>
            <w:pPr>
              <w:pStyle w:val="TableParagraph"/>
              <w:spacing w:before="14"/>
              <w:ind w:right="305"/>
              <w:rPr>
                <w:sz w:val="18"/>
              </w:rPr>
            </w:pPr>
            <w:r>
              <w:rPr>
                <w:sz w:val="18"/>
              </w:rPr>
              <w:t>65.69¢</w:t>
            </w:r>
          </w:p>
        </w:tc>
        <w:tc>
          <w:tcPr>
            <w:tcW w:w="1574" w:type="dxa"/>
          </w:tcPr>
          <w:p>
            <w:pPr>
              <w:pStyle w:val="TableParagraph"/>
              <w:spacing w:before="14"/>
              <w:ind w:right="353"/>
              <w:rPr>
                <w:sz w:val="18"/>
              </w:rPr>
            </w:pPr>
            <w:r>
              <w:rPr>
                <w:sz w:val="18"/>
              </w:rPr>
              <w:t>77.89¢</w:t>
            </w:r>
          </w:p>
        </w:tc>
        <w:tc>
          <w:tcPr>
            <w:tcW w:w="1318" w:type="dxa"/>
          </w:tcPr>
          <w:p>
            <w:pPr>
              <w:pStyle w:val="TableParagraph"/>
              <w:spacing w:before="14"/>
              <w:ind w:right="49"/>
              <w:rPr>
                <w:sz w:val="18"/>
              </w:rPr>
            </w:pPr>
            <w:r>
              <w:rPr>
                <w:sz w:val="18"/>
              </w:rPr>
              <w:t>59.46¢</w:t>
            </w:r>
          </w:p>
        </w:tc>
      </w:tr>
      <w:tr>
        <w:trPr>
          <w:trHeight w:val="240" w:hRule="exact"/>
        </w:trPr>
        <w:tc>
          <w:tcPr>
            <w:tcW w:w="1464" w:type="dxa"/>
          </w:tcPr>
          <w:p>
            <w:pPr>
              <w:pStyle w:val="TableParagraph"/>
              <w:spacing w:before="14"/>
              <w:ind w:left="429"/>
              <w:jc w:val="left"/>
              <w:rPr>
                <w:sz w:val="18"/>
              </w:rPr>
            </w:pPr>
            <w:r>
              <w:rPr>
                <w:sz w:val="18"/>
              </w:rPr>
              <w:t>16,818</w:t>
            </w:r>
          </w:p>
        </w:tc>
        <w:tc>
          <w:tcPr>
            <w:tcW w:w="1586" w:type="dxa"/>
          </w:tcPr>
          <w:p>
            <w:pPr>
              <w:pStyle w:val="TableParagraph"/>
              <w:spacing w:before="14"/>
              <w:ind w:left="587"/>
              <w:jc w:val="left"/>
              <w:rPr>
                <w:sz w:val="18"/>
              </w:rPr>
            </w:pPr>
            <w:r>
              <w:rPr>
                <w:sz w:val="18"/>
              </w:rPr>
              <w:t>15,175</w:t>
            </w:r>
          </w:p>
        </w:tc>
        <w:tc>
          <w:tcPr>
            <w:tcW w:w="1486" w:type="dxa"/>
          </w:tcPr>
          <w:p>
            <w:pPr>
              <w:pStyle w:val="TableParagraph"/>
              <w:spacing w:before="14"/>
              <w:ind w:right="399"/>
              <w:rPr>
                <w:sz w:val="18"/>
              </w:rPr>
            </w:pPr>
            <w:r>
              <w:rPr>
                <w:sz w:val="18"/>
              </w:rPr>
              <w:t>11,397</w:t>
            </w:r>
          </w:p>
        </w:tc>
        <w:tc>
          <w:tcPr>
            <w:tcW w:w="1620" w:type="dxa"/>
          </w:tcPr>
          <w:p>
            <w:pPr>
              <w:pStyle w:val="TableParagraph"/>
              <w:spacing w:before="14"/>
              <w:ind w:right="305"/>
              <w:rPr>
                <w:sz w:val="18"/>
              </w:rPr>
            </w:pPr>
            <w:r>
              <w:rPr>
                <w:sz w:val="18"/>
              </w:rPr>
              <w:t>9,778</w:t>
            </w:r>
          </w:p>
        </w:tc>
        <w:tc>
          <w:tcPr>
            <w:tcW w:w="1574" w:type="dxa"/>
          </w:tcPr>
          <w:p>
            <w:pPr>
              <w:pStyle w:val="TableParagraph"/>
              <w:spacing w:before="14"/>
              <w:ind w:right="353"/>
              <w:rPr>
                <w:sz w:val="18"/>
              </w:rPr>
            </w:pPr>
            <w:r>
              <w:rPr>
                <w:sz w:val="18"/>
              </w:rPr>
              <w:t>8,620</w:t>
            </w:r>
          </w:p>
        </w:tc>
        <w:tc>
          <w:tcPr>
            <w:tcW w:w="1318" w:type="dxa"/>
          </w:tcPr>
          <w:p>
            <w:pPr>
              <w:pStyle w:val="TableParagraph"/>
              <w:spacing w:before="14"/>
              <w:ind w:right="49"/>
              <w:rPr>
                <w:sz w:val="18"/>
              </w:rPr>
            </w:pPr>
            <w:r>
              <w:rPr>
                <w:sz w:val="18"/>
              </w:rPr>
              <w:t>7,760</w:t>
            </w:r>
          </w:p>
        </w:tc>
      </w:tr>
      <w:tr>
        <w:trPr>
          <w:trHeight w:val="222" w:hRule="exact"/>
        </w:trPr>
        <w:tc>
          <w:tcPr>
            <w:tcW w:w="1464" w:type="dxa"/>
          </w:tcPr>
          <w:p>
            <w:pPr>
              <w:pStyle w:val="TableParagraph"/>
              <w:spacing w:before="14"/>
              <w:ind w:left="683"/>
              <w:jc w:val="left"/>
              <w:rPr>
                <w:sz w:val="18"/>
              </w:rPr>
            </w:pPr>
            <w:r>
              <w:rPr>
                <w:sz w:val="18"/>
              </w:rPr>
              <w:t>199</w:t>
            </w:r>
          </w:p>
        </w:tc>
        <w:tc>
          <w:tcPr>
            <w:tcW w:w="1586" w:type="dxa"/>
          </w:tcPr>
          <w:p>
            <w:pPr>
              <w:pStyle w:val="TableParagraph"/>
              <w:spacing w:before="14"/>
              <w:ind w:left="842"/>
              <w:jc w:val="left"/>
              <w:rPr>
                <w:sz w:val="18"/>
              </w:rPr>
            </w:pPr>
            <w:r>
              <w:rPr>
                <w:sz w:val="18"/>
              </w:rPr>
              <w:t>178</w:t>
            </w:r>
          </w:p>
        </w:tc>
        <w:tc>
          <w:tcPr>
            <w:tcW w:w="1486" w:type="dxa"/>
          </w:tcPr>
          <w:p>
            <w:pPr>
              <w:pStyle w:val="TableParagraph"/>
              <w:spacing w:before="14"/>
              <w:ind w:right="399"/>
              <w:rPr>
                <w:sz w:val="18"/>
              </w:rPr>
            </w:pPr>
            <w:r>
              <w:rPr>
                <w:sz w:val="18"/>
              </w:rPr>
              <w:t>141</w:t>
            </w:r>
          </w:p>
        </w:tc>
        <w:tc>
          <w:tcPr>
            <w:tcW w:w="1620" w:type="dxa"/>
          </w:tcPr>
          <w:p>
            <w:pPr>
              <w:pStyle w:val="TableParagraph"/>
              <w:spacing w:before="14"/>
              <w:ind w:right="307"/>
              <w:rPr>
                <w:sz w:val="18"/>
              </w:rPr>
            </w:pPr>
            <w:r>
              <w:rPr>
                <w:sz w:val="18"/>
              </w:rPr>
              <w:t>124</w:t>
            </w:r>
          </w:p>
        </w:tc>
        <w:tc>
          <w:tcPr>
            <w:tcW w:w="1574" w:type="dxa"/>
          </w:tcPr>
          <w:p>
            <w:pPr>
              <w:pStyle w:val="TableParagraph"/>
              <w:spacing w:before="14"/>
              <w:ind w:right="355"/>
              <w:rPr>
                <w:sz w:val="18"/>
              </w:rPr>
            </w:pPr>
            <w:r>
              <w:rPr>
                <w:sz w:val="18"/>
              </w:rPr>
              <w:t>106</w:t>
            </w:r>
          </w:p>
        </w:tc>
        <w:tc>
          <w:tcPr>
            <w:tcW w:w="1318" w:type="dxa"/>
          </w:tcPr>
          <w:p>
            <w:pPr>
              <w:pStyle w:val="TableParagraph"/>
              <w:spacing w:before="14"/>
              <w:ind w:right="49"/>
              <w:rPr>
                <w:sz w:val="18"/>
              </w:rPr>
            </w:pPr>
            <w:r>
              <w:rPr>
                <w:sz w:val="18"/>
              </w:rPr>
              <w:t>94</w:t>
            </w:r>
          </w:p>
        </w:tc>
      </w:tr>
    </w:tbl>
    <w:p>
      <w:pPr>
        <w:pStyle w:val="BodyText"/>
        <w:rPr>
          <w:sz w:val="20"/>
        </w:rPr>
      </w:pPr>
    </w:p>
    <w:p>
      <w:pPr>
        <w:pStyle w:val="ListParagraph"/>
        <w:numPr>
          <w:ilvl w:val="0"/>
          <w:numId w:val="3"/>
        </w:numPr>
        <w:tabs>
          <w:tab w:pos="412" w:val="left" w:leader="none"/>
        </w:tabs>
        <w:spacing w:line="244" w:lineRule="auto" w:before="133" w:after="0"/>
        <w:ind w:left="120" w:right="118" w:firstLine="0"/>
        <w:jc w:val="left"/>
        <w:rPr>
          <w:i/>
          <w:sz w:val="18"/>
        </w:rPr>
      </w:pPr>
      <w:r>
        <w:rPr>
          <w:i/>
          <w:sz w:val="18"/>
        </w:rPr>
        <w:t>The Selected Consolidated Financial Data and Consolidated Financial Ratios for 1992 through 1989 have been </w:t>
      </w:r>
      <w:r>
        <w:rPr>
          <w:i/>
          <w:sz w:val="18"/>
        </w:rPr>
        <w:t>restated to include the financial results of Morris Air Corporation</w:t>
      </w:r>
      <w:r>
        <w:rPr>
          <w:i/>
          <w:spacing w:val="17"/>
          <w:sz w:val="18"/>
        </w:rPr>
        <w:t> </w:t>
      </w:r>
      <w:r>
        <w:rPr>
          <w:i/>
          <w:sz w:val="18"/>
        </w:rPr>
        <w:t>(Morris)</w:t>
      </w:r>
    </w:p>
    <w:p>
      <w:pPr>
        <w:pStyle w:val="ListParagraph"/>
        <w:numPr>
          <w:ilvl w:val="0"/>
          <w:numId w:val="3"/>
        </w:numPr>
        <w:tabs>
          <w:tab w:pos="399" w:val="left" w:leader="none"/>
        </w:tabs>
        <w:spacing w:line="240" w:lineRule="auto" w:before="0" w:after="0"/>
        <w:ind w:left="398" w:right="0" w:hanging="278"/>
        <w:jc w:val="left"/>
        <w:rPr>
          <w:i/>
          <w:sz w:val="18"/>
        </w:rPr>
      </w:pPr>
      <w:r>
        <w:rPr>
          <w:i/>
          <w:sz w:val="18"/>
        </w:rPr>
        <w:t>Prior to 1993, Morris operated as a charter carrier; therefore, no Morris statistics are included for these </w:t>
      </w:r>
      <w:r>
        <w:rPr>
          <w:i/>
          <w:spacing w:val="28"/>
          <w:sz w:val="18"/>
        </w:rPr>
        <w:t> </w:t>
      </w:r>
      <w:r>
        <w:rPr>
          <w:i/>
          <w:sz w:val="18"/>
        </w:rPr>
        <w:t>years</w:t>
      </w:r>
    </w:p>
    <w:p>
      <w:pPr>
        <w:pStyle w:val="ListParagraph"/>
        <w:numPr>
          <w:ilvl w:val="0"/>
          <w:numId w:val="3"/>
        </w:numPr>
        <w:tabs>
          <w:tab w:pos="399" w:val="left" w:leader="none"/>
        </w:tabs>
        <w:spacing w:line="240" w:lineRule="auto" w:before="4" w:after="0"/>
        <w:ind w:left="398" w:right="0" w:hanging="278"/>
        <w:jc w:val="left"/>
        <w:rPr>
          <w:i/>
          <w:sz w:val="18"/>
        </w:rPr>
      </w:pPr>
      <w:r>
        <w:rPr>
          <w:i/>
          <w:sz w:val="18"/>
        </w:rPr>
        <w:t>Pro forma for 1992 through 1989 assuming Morris, an S-Corporation prior to 1993, was taxed at statutory  </w:t>
      </w:r>
      <w:r>
        <w:rPr>
          <w:i/>
          <w:spacing w:val="1"/>
          <w:sz w:val="18"/>
        </w:rPr>
        <w:t> </w:t>
      </w:r>
      <w:r>
        <w:rPr>
          <w:i/>
          <w:sz w:val="18"/>
        </w:rPr>
        <w:t>rates</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Excludes cumulative effect of accounting changes of $15.3 million ($.05 per</w:t>
      </w:r>
      <w:r>
        <w:rPr>
          <w:i/>
          <w:spacing w:val="25"/>
          <w:sz w:val="18"/>
        </w:rPr>
        <w:t> </w:t>
      </w:r>
      <w:r>
        <w:rPr>
          <w:i/>
          <w:sz w:val="18"/>
        </w:rPr>
        <w:t>share)</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Excludes cumulative effect of accounting change of $12.5 million ($.04 per</w:t>
      </w:r>
      <w:r>
        <w:rPr>
          <w:i/>
          <w:spacing w:val="24"/>
          <w:sz w:val="18"/>
        </w:rPr>
        <w:t> </w:t>
      </w:r>
      <w:r>
        <w:rPr>
          <w:i/>
          <w:sz w:val="18"/>
        </w:rPr>
        <w:t>share)</w:t>
      </w:r>
    </w:p>
    <w:p>
      <w:pPr>
        <w:pStyle w:val="ListParagraph"/>
        <w:numPr>
          <w:ilvl w:val="0"/>
          <w:numId w:val="3"/>
        </w:numPr>
        <w:tabs>
          <w:tab w:pos="399" w:val="left" w:leader="none"/>
        </w:tabs>
        <w:spacing w:line="240" w:lineRule="auto" w:before="3" w:after="0"/>
        <w:ind w:left="398" w:right="0" w:hanging="278"/>
        <w:jc w:val="left"/>
        <w:rPr>
          <w:i/>
          <w:sz w:val="18"/>
        </w:rPr>
      </w:pPr>
      <w:r>
        <w:rPr>
          <w:i/>
          <w:sz w:val="18"/>
        </w:rPr>
        <w:t>Includes $2.6 million gains on sales of aircraft and $3.1 million from the sale of certain financial</w:t>
      </w:r>
      <w:r>
        <w:rPr>
          <w:i/>
          <w:spacing w:val="-27"/>
          <w:sz w:val="18"/>
        </w:rPr>
        <w:t> </w:t>
      </w:r>
      <w:r>
        <w:rPr>
          <w:i/>
          <w:spacing w:val="-2"/>
          <w:sz w:val="18"/>
        </w:rPr>
        <w:t>assets</w:t>
      </w:r>
    </w:p>
    <w:p>
      <w:pPr>
        <w:pStyle w:val="ListParagraph"/>
        <w:numPr>
          <w:ilvl w:val="0"/>
          <w:numId w:val="3"/>
        </w:numPr>
        <w:tabs>
          <w:tab w:pos="399" w:val="left" w:leader="none"/>
        </w:tabs>
        <w:spacing w:line="244" w:lineRule="auto" w:before="3" w:after="0"/>
        <w:ind w:left="120" w:right="464" w:firstLine="0"/>
        <w:jc w:val="left"/>
        <w:rPr>
          <w:i/>
          <w:sz w:val="18"/>
        </w:rPr>
      </w:pPr>
      <w:r>
        <w:rPr>
          <w:i/>
          <w:sz w:val="18"/>
        </w:rPr>
        <w:t>Includes $10.8 million gains on sales of aircraft, $5.9 million from the sale of certain financial assets, and $2.3 </w:t>
      </w:r>
      <w:r>
        <w:rPr>
          <w:i/>
          <w:sz w:val="18"/>
        </w:rPr>
        <w:t>million from the settlement of a</w:t>
      </w:r>
      <w:r>
        <w:rPr>
          <w:i/>
          <w:spacing w:val="-4"/>
          <w:sz w:val="18"/>
        </w:rPr>
        <w:t> </w:t>
      </w:r>
      <w:r>
        <w:rPr>
          <w:i/>
          <w:sz w:val="18"/>
        </w:rPr>
        <w:t>contingency</w:t>
      </w:r>
    </w:p>
    <w:p>
      <w:pPr>
        <w:pStyle w:val="ListParagraph"/>
        <w:numPr>
          <w:ilvl w:val="0"/>
          <w:numId w:val="3"/>
        </w:numPr>
        <w:tabs>
          <w:tab w:pos="399" w:val="left" w:leader="none"/>
        </w:tabs>
        <w:spacing w:line="240" w:lineRule="auto" w:before="0" w:after="0"/>
        <w:ind w:left="398" w:right="0" w:hanging="278"/>
        <w:jc w:val="left"/>
        <w:rPr>
          <w:i/>
          <w:sz w:val="18"/>
        </w:rPr>
      </w:pPr>
      <w:r>
        <w:rPr>
          <w:i/>
          <w:sz w:val="18"/>
        </w:rPr>
        <w:t>Includes certain estimates for</w:t>
      </w:r>
      <w:r>
        <w:rPr>
          <w:i/>
          <w:spacing w:val="8"/>
          <w:sz w:val="18"/>
        </w:rPr>
        <w:t> </w:t>
      </w:r>
      <w:r>
        <w:rPr>
          <w:i/>
          <w:sz w:val="18"/>
        </w:rPr>
        <w:t>Morris</w:t>
      </w:r>
    </w:p>
    <w:p>
      <w:pPr>
        <w:pStyle w:val="ListParagraph"/>
        <w:numPr>
          <w:ilvl w:val="0"/>
          <w:numId w:val="3"/>
        </w:numPr>
        <w:tabs>
          <w:tab w:pos="399" w:val="left" w:leader="none"/>
        </w:tabs>
        <w:spacing w:line="240" w:lineRule="auto" w:before="4" w:after="0"/>
        <w:ind w:left="398" w:right="0" w:hanging="278"/>
        <w:jc w:val="left"/>
        <w:rPr>
          <w:i/>
          <w:sz w:val="18"/>
        </w:rPr>
      </w:pPr>
      <w:r>
        <w:rPr>
          <w:i/>
          <w:sz w:val="18"/>
        </w:rPr>
        <w:t>Excludes merger expenses of $10.8</w:t>
      </w:r>
      <w:r>
        <w:rPr>
          <w:i/>
          <w:spacing w:val="-22"/>
          <w:sz w:val="18"/>
        </w:rPr>
        <w:t> </w:t>
      </w:r>
      <w:r>
        <w:rPr>
          <w:i/>
          <w:sz w:val="18"/>
        </w:rPr>
        <w:t>million</w:t>
      </w:r>
    </w:p>
    <w:p>
      <w:pPr>
        <w:pStyle w:val="ListParagraph"/>
        <w:numPr>
          <w:ilvl w:val="0"/>
          <w:numId w:val="3"/>
        </w:numPr>
        <w:tabs>
          <w:tab w:pos="500" w:val="left" w:leader="none"/>
        </w:tabs>
        <w:spacing w:line="240" w:lineRule="auto" w:before="3" w:after="0"/>
        <w:ind w:left="499" w:right="0" w:hanging="379"/>
        <w:jc w:val="left"/>
        <w:rPr>
          <w:i/>
          <w:sz w:val="18"/>
        </w:rPr>
      </w:pPr>
      <w:r>
        <w:rPr>
          <w:i/>
          <w:sz w:val="18"/>
        </w:rPr>
        <w:t>Includes leased</w:t>
      </w:r>
      <w:r>
        <w:rPr>
          <w:i/>
          <w:spacing w:val="-6"/>
          <w:sz w:val="18"/>
        </w:rPr>
        <w:t> </w:t>
      </w:r>
      <w:r>
        <w:rPr>
          <w:i/>
          <w:sz w:val="18"/>
        </w:rPr>
        <w:t>aircraft</w:t>
      </w:r>
    </w:p>
    <w:p>
      <w:pPr>
        <w:spacing w:after="0" w:line="240" w:lineRule="auto"/>
        <w:jc w:val="left"/>
        <w:rPr>
          <w:sz w:val="18"/>
        </w:rPr>
        <w:sectPr>
          <w:pgSz w:w="12240" w:h="15840"/>
          <w:pgMar w:header="1448" w:footer="344" w:top="1700" w:bottom="540" w:left="1320" w:right="1320"/>
        </w:sectPr>
      </w:pPr>
    </w:p>
    <w:p>
      <w:pPr>
        <w:pStyle w:val="BodyText"/>
        <w:spacing w:before="3"/>
        <w:rPr>
          <w:i/>
          <w:sz w:val="16"/>
        </w:rPr>
      </w:pPr>
    </w:p>
    <w:p>
      <w:pPr>
        <w:spacing w:before="90"/>
        <w:ind w:left="100" w:right="0" w:firstLine="0"/>
        <w:jc w:val="left"/>
        <w:rPr>
          <w:b/>
          <w:sz w:val="28"/>
        </w:rPr>
      </w:pPr>
      <w:bookmarkStart w:name="_TOC_250000" w:id="3"/>
      <w:bookmarkEnd w:id="3"/>
      <w:r>
        <w:rPr>
          <w:b/>
          <w:color w:val="808080"/>
          <w:sz w:val="28"/>
        </w:rPr>
        <w:t>CORPORATE DATA</w:t>
      </w:r>
    </w:p>
    <w:p>
      <w:pPr>
        <w:pStyle w:val="BodyText"/>
        <w:spacing w:before="2"/>
        <w:rPr>
          <w:b/>
          <w:sz w:val="31"/>
        </w:rPr>
      </w:pPr>
    </w:p>
    <w:p>
      <w:pPr>
        <w:pStyle w:val="Heading4"/>
      </w:pPr>
      <w:r>
        <w:rPr>
          <w:color w:val="000080"/>
        </w:rPr>
        <w:t>TRANSFER AGENT AND REGISTRAR</w:t>
      </w:r>
    </w:p>
    <w:p>
      <w:pPr>
        <w:pStyle w:val="BodyText"/>
        <w:spacing w:line="274" w:lineRule="exact" w:before="8"/>
        <w:ind w:left="100"/>
      </w:pPr>
      <w:r>
        <w:rPr/>
        <w:t>Registered shareholder inquiries regarding stock transfers, address changes, lost stock certificates, dividend payments, or account consolidation should be directed to:</w:t>
      </w:r>
    </w:p>
    <w:p>
      <w:pPr>
        <w:pStyle w:val="BodyText"/>
        <w:spacing w:before="8"/>
        <w:rPr>
          <w:sz w:val="23"/>
        </w:rPr>
      </w:pPr>
    </w:p>
    <w:p>
      <w:pPr>
        <w:pStyle w:val="BodyText"/>
        <w:spacing w:line="274" w:lineRule="exact"/>
        <w:ind w:left="100" w:right="4591"/>
      </w:pPr>
      <w:r>
        <w:rPr/>
        <w:t>Continental Stock Transfer &amp; Trust Company 2 Broadway</w:t>
      </w:r>
    </w:p>
    <w:p>
      <w:pPr>
        <w:pStyle w:val="BodyText"/>
        <w:spacing w:line="274" w:lineRule="exact"/>
        <w:ind w:left="100" w:right="6512"/>
      </w:pPr>
      <w:r>
        <w:rPr/>
        <w:t>New York, New York 10004 (212) 509-4000</w:t>
      </w:r>
    </w:p>
    <w:p>
      <w:pPr>
        <w:pStyle w:val="BodyText"/>
        <w:spacing w:before="5"/>
        <w:rPr>
          <w:sz w:val="30"/>
        </w:rPr>
      </w:pPr>
    </w:p>
    <w:p>
      <w:pPr>
        <w:pStyle w:val="Heading4"/>
      </w:pPr>
      <w:r>
        <w:rPr>
          <w:color w:val="000080"/>
        </w:rPr>
        <w:t>STOCK EXCHANGE LISTING</w:t>
      </w:r>
    </w:p>
    <w:p>
      <w:pPr>
        <w:pStyle w:val="BodyText"/>
        <w:spacing w:line="274" w:lineRule="exact" w:before="8"/>
        <w:ind w:left="100" w:right="6512"/>
      </w:pPr>
      <w:r>
        <w:rPr/>
        <w:t>New York Stock Exchange Ticker Symbol: LUV</w:t>
      </w:r>
    </w:p>
    <w:p>
      <w:pPr>
        <w:pStyle w:val="BodyText"/>
        <w:spacing w:before="3"/>
        <w:rPr>
          <w:sz w:val="30"/>
        </w:rPr>
      </w:pPr>
    </w:p>
    <w:p>
      <w:pPr>
        <w:pStyle w:val="Heading4"/>
      </w:pPr>
      <w:r>
        <w:rPr>
          <w:color w:val="000080"/>
        </w:rPr>
        <w:t>INDEPENDENT AUDITORS</w:t>
      </w:r>
    </w:p>
    <w:p>
      <w:pPr>
        <w:pStyle w:val="BodyText"/>
        <w:spacing w:line="274" w:lineRule="exact" w:before="7"/>
        <w:ind w:left="100" w:right="7099"/>
      </w:pPr>
      <w:r>
        <w:rPr/>
        <w:t>Ernst &amp; Young LLP Dallas, Texas</w:t>
      </w:r>
    </w:p>
    <w:p>
      <w:pPr>
        <w:pStyle w:val="BodyText"/>
        <w:spacing w:before="3"/>
        <w:rPr>
          <w:sz w:val="30"/>
        </w:rPr>
      </w:pPr>
    </w:p>
    <w:p>
      <w:pPr>
        <w:pStyle w:val="Heading4"/>
      </w:pPr>
      <w:r>
        <w:rPr>
          <w:color w:val="000080"/>
        </w:rPr>
        <w:t>GENERAL OFFICES</w:t>
      </w:r>
    </w:p>
    <w:p>
      <w:pPr>
        <w:pStyle w:val="BodyText"/>
        <w:spacing w:line="275" w:lineRule="exact" w:before="2"/>
        <w:ind w:left="100"/>
      </w:pPr>
      <w:r>
        <w:rPr/>
        <w:t>P.O. Box 36611</w:t>
      </w:r>
    </w:p>
    <w:p>
      <w:pPr>
        <w:pStyle w:val="BodyText"/>
        <w:spacing w:line="275" w:lineRule="exact"/>
        <w:ind w:left="100"/>
      </w:pPr>
      <w:r>
        <w:rPr/>
        <w:t>Dallas, Texas 75235-1611</w:t>
      </w:r>
    </w:p>
    <w:p>
      <w:pPr>
        <w:pStyle w:val="BodyText"/>
        <w:spacing w:before="8"/>
        <w:rPr>
          <w:sz w:val="30"/>
        </w:rPr>
      </w:pPr>
    </w:p>
    <w:p>
      <w:pPr>
        <w:pStyle w:val="Heading4"/>
      </w:pPr>
      <w:r>
        <w:rPr>
          <w:color w:val="000080"/>
        </w:rPr>
        <w:t>ANNUAL MEETING</w:t>
      </w:r>
    </w:p>
    <w:p>
      <w:pPr>
        <w:pStyle w:val="BodyText"/>
        <w:spacing w:line="275" w:lineRule="exact" w:before="2"/>
        <w:ind w:left="100"/>
      </w:pPr>
      <w:r>
        <w:rPr/>
        <w:t>The Annual Meeting of Shareholders of Southwest Airlines Co. will be held at 10:00</w:t>
      </w:r>
    </w:p>
    <w:p>
      <w:pPr>
        <w:pStyle w:val="BodyText"/>
        <w:spacing w:line="274" w:lineRule="exact" w:before="4"/>
        <w:ind w:left="100"/>
      </w:pPr>
      <w:r>
        <w:rPr/>
        <w:t>a.m. on May 20, 1999, at the Southwest Airlines Corporate Headquarters, 2702 Love Field Drive, Dallas, Texas.</w:t>
      </w:r>
    </w:p>
    <w:p>
      <w:pPr>
        <w:pStyle w:val="BodyText"/>
        <w:spacing w:before="3"/>
        <w:rPr>
          <w:sz w:val="30"/>
        </w:rPr>
      </w:pPr>
    </w:p>
    <w:p>
      <w:pPr>
        <w:pStyle w:val="Heading4"/>
      </w:pPr>
      <w:r>
        <w:rPr>
          <w:color w:val="000080"/>
        </w:rPr>
        <w:t>FINANCIAL INFORMATION</w:t>
      </w:r>
    </w:p>
    <w:p>
      <w:pPr>
        <w:pStyle w:val="BodyText"/>
        <w:spacing w:line="274" w:lineRule="exact" w:before="8"/>
        <w:ind w:left="100"/>
      </w:pPr>
      <w:r>
        <w:rPr/>
        <w:t>A copy of the Company’s Annual Report on Form 10-K as filed with the U.S. Securities and Exchange Commission (SEC) may be obtained without charge, as well as other financial information, by writing or calling:</w:t>
      </w:r>
    </w:p>
    <w:p>
      <w:pPr>
        <w:pStyle w:val="BodyText"/>
        <w:spacing w:before="8"/>
        <w:rPr>
          <w:sz w:val="23"/>
        </w:rPr>
      </w:pPr>
    </w:p>
    <w:p>
      <w:pPr>
        <w:pStyle w:val="BodyText"/>
        <w:spacing w:line="274" w:lineRule="exact" w:before="1"/>
        <w:ind w:left="100" w:right="7045"/>
      </w:pPr>
      <w:r>
        <w:rPr/>
        <w:t>Southwest Airlines Co. Investor Relations</w:t>
      </w:r>
    </w:p>
    <w:p>
      <w:pPr>
        <w:pStyle w:val="BodyText"/>
        <w:spacing w:line="268" w:lineRule="exact"/>
        <w:ind w:left="100"/>
      </w:pPr>
      <w:r>
        <w:rPr/>
        <w:t>P.O. Box 36611</w:t>
      </w:r>
    </w:p>
    <w:p>
      <w:pPr>
        <w:pStyle w:val="BodyText"/>
        <w:spacing w:line="274" w:lineRule="exact"/>
        <w:ind w:left="100"/>
      </w:pPr>
      <w:r>
        <w:rPr/>
        <w:t>Dallas, Texas 75235-1611</w:t>
      </w:r>
    </w:p>
    <w:p>
      <w:pPr>
        <w:pStyle w:val="BodyText"/>
        <w:spacing w:line="275" w:lineRule="exact"/>
        <w:ind w:left="100"/>
      </w:pPr>
      <w:r>
        <w:rPr/>
        <w:t>Telephone (214) 792-4908</w:t>
      </w:r>
    </w:p>
    <w:p>
      <w:pPr>
        <w:pStyle w:val="BodyText"/>
        <w:spacing w:before="1"/>
        <w:rPr>
          <w:sz w:val="31"/>
        </w:rPr>
      </w:pPr>
    </w:p>
    <w:p>
      <w:pPr>
        <w:pStyle w:val="BodyText"/>
        <w:spacing w:line="312" w:lineRule="auto"/>
        <w:ind w:left="100" w:right="119"/>
        <w:jc w:val="both"/>
      </w:pPr>
      <w:r>
        <w:rPr/>
        <w:t>Company documents filed electronically with the SEC can also be found on the SEC’s web site (http://www.sec.gov). A copy of this Annual Report and other financial information can be found on Southwest’s web site (http://www.southwest.com).</w:t>
      </w:r>
    </w:p>
    <w:p>
      <w:pPr>
        <w:spacing w:after="0" w:line="312" w:lineRule="auto"/>
        <w:jc w:val="both"/>
        <w:sectPr>
          <w:pgSz w:w="12240" w:h="15840"/>
          <w:pgMar w:header="1448" w:footer="344" w:top="1700" w:bottom="540" w:left="1340" w:right="1320"/>
        </w:sectPr>
      </w:pPr>
    </w:p>
    <w:p>
      <w:pPr>
        <w:pStyle w:val="BodyText"/>
        <w:spacing w:before="3"/>
        <w:rPr>
          <w:sz w:val="8"/>
        </w:rPr>
      </w:pPr>
    </w:p>
    <w:p>
      <w:pPr>
        <w:pStyle w:val="BodyText"/>
        <w:spacing w:line="20" w:lineRule="exact"/>
        <w:ind w:left="112"/>
        <w:rPr>
          <w:sz w:val="2"/>
        </w:rPr>
      </w:pPr>
      <w:r>
        <w:rPr>
          <w:sz w:val="2"/>
        </w:rPr>
        <w:pict>
          <v:group style="width:468.75pt;height:.75pt;mso-position-horizontal-relative:char;mso-position-vertical-relative:line" coordorigin="0,0" coordsize="9375,15">
            <v:line style="position:absolute" from="8,8" to="9368,8" stroked="true" strokeweight=".72pt" strokecolor="#000080">
              <v:stroke dashstyle="dot"/>
            </v:line>
          </v:group>
        </w:pict>
      </w:r>
      <w:r>
        <w:rPr>
          <w:sz w:val="2"/>
        </w:rPr>
      </w:r>
    </w:p>
    <w:p>
      <w:pPr>
        <w:pStyle w:val="BodyText"/>
        <w:spacing w:before="3"/>
        <w:rPr>
          <w:sz w:val="6"/>
        </w:rPr>
      </w:pPr>
    </w:p>
    <w:p>
      <w:pPr>
        <w:spacing w:line="316" w:lineRule="exact" w:before="99"/>
        <w:ind w:left="307" w:right="115" w:hanging="188"/>
        <w:jc w:val="both"/>
        <w:rPr>
          <w:sz w:val="28"/>
        </w:rPr>
      </w:pPr>
      <w:r>
        <w:rPr>
          <w:color w:val="808080"/>
          <w:sz w:val="28"/>
        </w:rPr>
        <w:t>This Southwest Airlines Annual Report is dedicated to the millions of Americans we give the freedom to fly each year. We are honored to be a part of your lives — to bring you together with your business associates, your friends, and your families.</w:t>
      </w:r>
    </w:p>
    <w:p>
      <w:pPr>
        <w:pStyle w:val="BodyText"/>
        <w:spacing w:before="10"/>
        <w:rPr>
          <w:sz w:val="12"/>
        </w:rPr>
      </w:pPr>
      <w:r>
        <w:rPr/>
        <w:pict>
          <v:line style="position:absolute;mso-position-horizontal-relative:page;mso-position-vertical-relative:paragraph;z-index:6184;mso-wrap-distance-left:0;mso-wrap-distance-right:0" from="72pt,9.76229pt" to="540pt,9.76229pt" stroked="true" strokeweight=".72pt" strokecolor="#000080">
            <v:stroke dashstyle="dot"/>
            <w10:wrap type="topAndBottom"/>
          </v:line>
        </w:pict>
      </w:r>
    </w:p>
    <w:p>
      <w:pPr>
        <w:pStyle w:val="Heading1"/>
        <w:ind w:left="120"/>
      </w:pPr>
      <w:r>
        <w:rPr>
          <w:color w:val="808080"/>
        </w:rPr>
        <w:t>Directors</w:t>
      </w:r>
    </w:p>
    <w:p>
      <w:pPr>
        <w:spacing w:line="251" w:lineRule="exact" w:before="278"/>
        <w:ind w:left="120" w:right="0" w:firstLine="0"/>
        <w:jc w:val="left"/>
        <w:rPr>
          <w:sz w:val="22"/>
        </w:rPr>
      </w:pPr>
      <w:r>
        <w:rPr>
          <w:sz w:val="22"/>
        </w:rPr>
        <w:t>Samuel E. Barshop</w:t>
      </w:r>
    </w:p>
    <w:p>
      <w:pPr>
        <w:spacing w:line="250" w:lineRule="exact" w:before="5"/>
        <w:ind w:left="480" w:right="3930" w:firstLine="0"/>
        <w:jc w:val="left"/>
        <w:rPr>
          <w:sz w:val="22"/>
        </w:rPr>
      </w:pPr>
      <w:r>
        <w:rPr>
          <w:sz w:val="22"/>
        </w:rPr>
        <w:t>Chairman of the Board, Barshop &amp; Oles Co., Inc., San Antonio, Texas;</w:t>
      </w:r>
    </w:p>
    <w:p>
      <w:pPr>
        <w:spacing w:line="246" w:lineRule="exact" w:before="0"/>
        <w:ind w:left="480" w:right="0" w:firstLine="0"/>
        <w:jc w:val="left"/>
        <w:rPr>
          <w:sz w:val="22"/>
        </w:rPr>
      </w:pPr>
      <w:r>
        <w:rPr>
          <w:sz w:val="22"/>
        </w:rPr>
        <w:t>Audit and Compensation Committees</w:t>
      </w:r>
    </w:p>
    <w:p>
      <w:pPr>
        <w:pStyle w:val="BodyText"/>
        <w:spacing w:before="4"/>
        <w:rPr>
          <w:sz w:val="21"/>
        </w:rPr>
      </w:pPr>
    </w:p>
    <w:p>
      <w:pPr>
        <w:spacing w:line="251" w:lineRule="exact" w:before="0"/>
        <w:ind w:left="120" w:right="0" w:firstLine="0"/>
        <w:jc w:val="left"/>
        <w:rPr>
          <w:sz w:val="22"/>
        </w:rPr>
      </w:pPr>
      <w:r>
        <w:rPr>
          <w:sz w:val="22"/>
        </w:rPr>
        <w:t>Gene H. Bishop</w:t>
      </w:r>
    </w:p>
    <w:p>
      <w:pPr>
        <w:spacing w:line="250" w:lineRule="exact" w:before="0"/>
        <w:ind w:left="480" w:right="0" w:firstLine="0"/>
        <w:jc w:val="left"/>
        <w:rPr>
          <w:sz w:val="22"/>
        </w:rPr>
      </w:pPr>
      <w:r>
        <w:rPr>
          <w:sz w:val="22"/>
        </w:rPr>
        <w:t>Retired, Dallas, Texas;</w:t>
      </w:r>
    </w:p>
    <w:p>
      <w:pPr>
        <w:spacing w:line="251" w:lineRule="exact" w:before="0"/>
        <w:ind w:left="480" w:right="0" w:firstLine="0"/>
        <w:jc w:val="left"/>
        <w:rPr>
          <w:sz w:val="22"/>
        </w:rPr>
      </w:pPr>
      <w:r>
        <w:rPr>
          <w:sz w:val="22"/>
        </w:rPr>
        <w:t>Audit, Compensation, and Executive Committees</w:t>
      </w:r>
    </w:p>
    <w:p>
      <w:pPr>
        <w:pStyle w:val="BodyText"/>
        <w:spacing w:before="4"/>
        <w:rPr>
          <w:sz w:val="21"/>
        </w:rPr>
      </w:pPr>
    </w:p>
    <w:p>
      <w:pPr>
        <w:spacing w:line="251" w:lineRule="exact" w:before="0"/>
        <w:ind w:left="120" w:right="0" w:firstLine="0"/>
        <w:jc w:val="left"/>
        <w:rPr>
          <w:sz w:val="22"/>
        </w:rPr>
      </w:pPr>
      <w:r>
        <w:rPr>
          <w:sz w:val="22"/>
        </w:rPr>
        <w:t>C. Webb Crockett</w:t>
      </w:r>
    </w:p>
    <w:p>
      <w:pPr>
        <w:spacing w:line="250" w:lineRule="exact" w:before="4"/>
        <w:ind w:left="480" w:right="3930" w:firstLine="0"/>
        <w:jc w:val="left"/>
        <w:rPr>
          <w:sz w:val="22"/>
        </w:rPr>
      </w:pPr>
      <w:r>
        <w:rPr>
          <w:sz w:val="22"/>
        </w:rPr>
        <w:t>Shareholder and Director, Fennemore Craig, Attorneys  at Law, Phoenix, Arizona;</w:t>
      </w:r>
    </w:p>
    <w:p>
      <w:pPr>
        <w:spacing w:line="246" w:lineRule="exact" w:before="0"/>
        <w:ind w:left="480" w:right="0" w:firstLine="0"/>
        <w:jc w:val="left"/>
        <w:rPr>
          <w:sz w:val="22"/>
        </w:rPr>
      </w:pPr>
      <w:r>
        <w:rPr>
          <w:sz w:val="22"/>
        </w:rPr>
        <w:t>Audit Committee</w:t>
      </w:r>
    </w:p>
    <w:p>
      <w:pPr>
        <w:pStyle w:val="BodyText"/>
        <w:rPr>
          <w:sz w:val="22"/>
        </w:rPr>
      </w:pPr>
    </w:p>
    <w:p>
      <w:pPr>
        <w:spacing w:line="250" w:lineRule="exact" w:before="0"/>
        <w:ind w:left="480" w:right="6821" w:hanging="360"/>
        <w:jc w:val="left"/>
        <w:rPr>
          <w:sz w:val="22"/>
        </w:rPr>
      </w:pPr>
      <w:r>
        <w:rPr>
          <w:spacing w:val="3"/>
          <w:sz w:val="22"/>
        </w:rPr>
        <w:t>William </w:t>
      </w:r>
      <w:r>
        <w:rPr>
          <w:sz w:val="22"/>
        </w:rPr>
        <w:t>P. Hobby Chairman of the</w:t>
      </w:r>
      <w:r>
        <w:rPr>
          <w:spacing w:val="14"/>
          <w:sz w:val="22"/>
        </w:rPr>
        <w:t> </w:t>
      </w:r>
      <w:r>
        <w:rPr>
          <w:sz w:val="22"/>
        </w:rPr>
        <w:t>Board,</w:t>
      </w:r>
    </w:p>
    <w:p>
      <w:pPr>
        <w:spacing w:line="250" w:lineRule="exact" w:before="0"/>
        <w:ind w:left="480" w:right="5324" w:firstLine="0"/>
        <w:jc w:val="left"/>
        <w:rPr>
          <w:sz w:val="22"/>
        </w:rPr>
      </w:pPr>
      <w:r>
        <w:rPr>
          <w:sz w:val="22"/>
        </w:rPr>
        <w:t>Hobby Communications, L.L.C.; Former Lieutenant Governor of Texas; Houston, Texas;</w:t>
      </w:r>
    </w:p>
    <w:p>
      <w:pPr>
        <w:spacing w:line="246" w:lineRule="exact" w:before="0"/>
        <w:ind w:left="480" w:right="0" w:firstLine="0"/>
        <w:jc w:val="left"/>
        <w:rPr>
          <w:sz w:val="22"/>
        </w:rPr>
      </w:pPr>
      <w:r>
        <w:rPr>
          <w:sz w:val="22"/>
        </w:rPr>
        <w:t>Audit and Compensation Committees</w:t>
      </w:r>
    </w:p>
    <w:p>
      <w:pPr>
        <w:pStyle w:val="BodyText"/>
        <w:spacing w:before="4"/>
        <w:rPr>
          <w:sz w:val="21"/>
        </w:rPr>
      </w:pPr>
    </w:p>
    <w:p>
      <w:pPr>
        <w:spacing w:line="251" w:lineRule="exact" w:before="0"/>
        <w:ind w:left="120" w:right="0" w:firstLine="0"/>
        <w:jc w:val="left"/>
        <w:rPr>
          <w:sz w:val="22"/>
        </w:rPr>
      </w:pPr>
      <w:r>
        <w:rPr>
          <w:sz w:val="22"/>
        </w:rPr>
        <w:t>Travis C. Johnson</w:t>
      </w:r>
    </w:p>
    <w:p>
      <w:pPr>
        <w:spacing w:line="250" w:lineRule="exact" w:before="4"/>
        <w:ind w:left="480" w:right="5532" w:firstLine="0"/>
        <w:jc w:val="left"/>
        <w:rPr>
          <w:sz w:val="22"/>
        </w:rPr>
      </w:pPr>
      <w:r>
        <w:rPr>
          <w:sz w:val="22"/>
        </w:rPr>
        <w:t>Partner, Johnson &amp; Bowen, Attorneys at Law, El Paso, Texas; Audit Committee</w:t>
      </w:r>
    </w:p>
    <w:p>
      <w:pPr>
        <w:pStyle w:val="BodyText"/>
        <w:rPr>
          <w:sz w:val="21"/>
        </w:rPr>
      </w:pPr>
    </w:p>
    <w:p>
      <w:pPr>
        <w:spacing w:line="251" w:lineRule="exact" w:before="1"/>
        <w:ind w:left="120" w:right="0" w:firstLine="0"/>
        <w:jc w:val="left"/>
        <w:rPr>
          <w:sz w:val="22"/>
        </w:rPr>
      </w:pPr>
      <w:r>
        <w:rPr>
          <w:sz w:val="22"/>
        </w:rPr>
        <w:t>Herbert D. Kelleher</w:t>
      </w:r>
    </w:p>
    <w:p>
      <w:pPr>
        <w:spacing w:line="250" w:lineRule="exact" w:before="0"/>
        <w:ind w:left="480" w:right="0" w:firstLine="0"/>
        <w:jc w:val="left"/>
        <w:rPr>
          <w:sz w:val="22"/>
        </w:rPr>
      </w:pPr>
      <w:r>
        <w:rPr>
          <w:sz w:val="22"/>
        </w:rPr>
        <w:t>Chairman of the Board,  President, and</w:t>
      </w:r>
    </w:p>
    <w:p>
      <w:pPr>
        <w:spacing w:line="250" w:lineRule="exact" w:before="4"/>
        <w:ind w:left="480" w:right="3930" w:firstLine="0"/>
        <w:jc w:val="left"/>
        <w:rPr>
          <w:sz w:val="22"/>
        </w:rPr>
      </w:pPr>
      <w:r>
        <w:rPr>
          <w:sz w:val="22"/>
        </w:rPr>
        <w:t>Chief Executive Officer of Southwest Airlines Co., Dallas, Texas; Executive Committee</w:t>
      </w:r>
    </w:p>
    <w:p>
      <w:pPr>
        <w:pStyle w:val="BodyText"/>
        <w:rPr>
          <w:sz w:val="21"/>
        </w:rPr>
      </w:pPr>
    </w:p>
    <w:p>
      <w:pPr>
        <w:spacing w:line="251" w:lineRule="exact" w:before="0"/>
        <w:ind w:left="120" w:right="0" w:firstLine="0"/>
        <w:jc w:val="left"/>
        <w:rPr>
          <w:sz w:val="22"/>
        </w:rPr>
      </w:pPr>
      <w:r>
        <w:rPr>
          <w:sz w:val="22"/>
        </w:rPr>
        <w:t>Rollin W. King</w:t>
      </w:r>
    </w:p>
    <w:p>
      <w:pPr>
        <w:spacing w:line="250" w:lineRule="exact" w:before="0"/>
        <w:ind w:left="480" w:right="0" w:firstLine="0"/>
        <w:jc w:val="left"/>
        <w:rPr>
          <w:sz w:val="22"/>
        </w:rPr>
      </w:pPr>
      <w:r>
        <w:rPr>
          <w:sz w:val="22"/>
        </w:rPr>
        <w:t>Retired, Dallas, Texas;</w:t>
      </w:r>
    </w:p>
    <w:p>
      <w:pPr>
        <w:spacing w:line="251" w:lineRule="exact" w:before="0"/>
        <w:ind w:left="480" w:right="0" w:firstLine="0"/>
        <w:jc w:val="left"/>
        <w:rPr>
          <w:sz w:val="22"/>
        </w:rPr>
      </w:pPr>
      <w:r>
        <w:rPr>
          <w:sz w:val="22"/>
        </w:rPr>
        <w:t>Audit and Executive Committees</w:t>
      </w:r>
    </w:p>
    <w:p>
      <w:pPr>
        <w:pStyle w:val="BodyText"/>
        <w:spacing w:before="10"/>
        <w:rPr>
          <w:sz w:val="21"/>
        </w:rPr>
      </w:pPr>
    </w:p>
    <w:p>
      <w:pPr>
        <w:spacing w:line="250" w:lineRule="exact" w:before="0"/>
        <w:ind w:left="480" w:right="7289" w:hanging="360"/>
        <w:jc w:val="left"/>
        <w:rPr>
          <w:sz w:val="22"/>
        </w:rPr>
      </w:pPr>
      <w:r>
        <w:rPr>
          <w:sz w:val="22"/>
        </w:rPr>
        <w:t>Walter M. Mischer, Sr.</w:t>
      </w:r>
    </w:p>
    <w:p>
      <w:pPr>
        <w:spacing w:line="250" w:lineRule="exact" w:before="0"/>
        <w:ind w:left="480" w:right="7289" w:firstLine="0"/>
        <w:jc w:val="left"/>
        <w:rPr>
          <w:sz w:val="22"/>
        </w:rPr>
      </w:pPr>
      <w:r>
        <w:rPr>
          <w:sz w:val="22"/>
        </w:rPr>
        <w:t>Managing Partner</w:t>
      </w:r>
    </w:p>
    <w:p>
      <w:pPr>
        <w:spacing w:line="245" w:lineRule="exact" w:before="0"/>
        <w:ind w:left="480" w:right="0" w:firstLine="0"/>
        <w:jc w:val="left"/>
        <w:rPr>
          <w:sz w:val="22"/>
        </w:rPr>
      </w:pPr>
      <w:r>
        <w:rPr>
          <w:sz w:val="22"/>
        </w:rPr>
        <w:t>Wheatstone Investments, L.P.,</w:t>
      </w:r>
    </w:p>
    <w:p>
      <w:pPr>
        <w:spacing w:line="250" w:lineRule="exact" w:before="4"/>
        <w:ind w:left="480" w:right="4334" w:firstLine="0"/>
        <w:jc w:val="left"/>
        <w:rPr>
          <w:sz w:val="22"/>
        </w:rPr>
      </w:pPr>
      <w:r>
        <w:rPr>
          <w:sz w:val="22"/>
        </w:rPr>
        <w:t>Houston, Texas (Real Estate Development); Audit and Compensation Committees</w:t>
      </w:r>
    </w:p>
    <w:p>
      <w:pPr>
        <w:spacing w:after="0" w:line="250" w:lineRule="exact"/>
        <w:jc w:val="left"/>
        <w:rPr>
          <w:sz w:val="22"/>
        </w:rPr>
        <w:sectPr>
          <w:pgSz w:w="12240" w:h="15840"/>
          <w:pgMar w:header="1448" w:footer="344" w:top="1700" w:bottom="540" w:left="1320" w:right="1320"/>
        </w:sectPr>
      </w:pPr>
    </w:p>
    <w:p>
      <w:pPr>
        <w:pStyle w:val="BodyText"/>
        <w:spacing w:before="7"/>
        <w:rPr>
          <w:sz w:val="13"/>
        </w:rPr>
      </w:pPr>
    </w:p>
    <w:p>
      <w:pPr>
        <w:spacing w:line="251" w:lineRule="exact" w:before="94"/>
        <w:ind w:left="100" w:right="0" w:firstLine="0"/>
        <w:jc w:val="left"/>
        <w:rPr>
          <w:sz w:val="22"/>
        </w:rPr>
      </w:pPr>
      <w:r>
        <w:rPr>
          <w:sz w:val="22"/>
        </w:rPr>
        <w:t>June M. Morris</w:t>
      </w:r>
    </w:p>
    <w:p>
      <w:pPr>
        <w:spacing w:line="250" w:lineRule="exact" w:before="4"/>
        <w:ind w:left="460" w:right="4713" w:firstLine="0"/>
        <w:jc w:val="left"/>
        <w:rPr>
          <w:sz w:val="22"/>
        </w:rPr>
      </w:pPr>
      <w:r>
        <w:rPr>
          <w:sz w:val="22"/>
        </w:rPr>
        <w:t>Founder and former Chief Executive Officer of Morris Air Corporation,</w:t>
      </w:r>
    </w:p>
    <w:p>
      <w:pPr>
        <w:spacing w:line="246" w:lineRule="exact" w:before="0"/>
        <w:ind w:left="460" w:right="0" w:firstLine="0"/>
        <w:jc w:val="left"/>
        <w:rPr>
          <w:sz w:val="22"/>
        </w:rPr>
      </w:pPr>
      <w:r>
        <w:rPr>
          <w:sz w:val="22"/>
        </w:rPr>
        <w:t>Salt Lake City, Utah; Audit Committee</w:t>
      </w:r>
    </w:p>
    <w:p>
      <w:pPr>
        <w:pStyle w:val="BodyText"/>
        <w:spacing w:before="8"/>
        <w:rPr>
          <w:sz w:val="23"/>
        </w:rPr>
      </w:pPr>
    </w:p>
    <w:p>
      <w:pPr>
        <w:pStyle w:val="Heading1"/>
      </w:pPr>
      <w:r>
        <w:rPr>
          <w:color w:val="808080"/>
        </w:rPr>
        <w:t>Officers</w:t>
      </w:r>
    </w:p>
    <w:p>
      <w:pPr>
        <w:spacing w:line="251" w:lineRule="exact" w:before="277"/>
        <w:ind w:left="100" w:right="0" w:firstLine="0"/>
        <w:jc w:val="left"/>
        <w:rPr>
          <w:sz w:val="22"/>
        </w:rPr>
      </w:pPr>
      <w:r>
        <w:rPr>
          <w:sz w:val="22"/>
        </w:rPr>
        <w:t>Herbert D. Kelleher*</w:t>
      </w:r>
    </w:p>
    <w:p>
      <w:pPr>
        <w:spacing w:line="250" w:lineRule="exact" w:before="4"/>
        <w:ind w:left="460" w:right="5473" w:firstLine="0"/>
        <w:jc w:val="left"/>
        <w:rPr>
          <w:sz w:val="22"/>
        </w:rPr>
      </w:pPr>
      <w:r>
        <w:rPr>
          <w:sz w:val="22"/>
        </w:rPr>
        <w:t>Chairman of the Board, President, and Chief Executive Officer</w:t>
      </w:r>
    </w:p>
    <w:p>
      <w:pPr>
        <w:pStyle w:val="BodyText"/>
        <w:spacing w:before="1"/>
        <w:rPr>
          <w:sz w:val="21"/>
        </w:rPr>
      </w:pPr>
    </w:p>
    <w:p>
      <w:pPr>
        <w:spacing w:line="251" w:lineRule="exact" w:before="0"/>
        <w:ind w:left="100" w:right="0" w:firstLine="0"/>
        <w:jc w:val="left"/>
        <w:rPr>
          <w:sz w:val="22"/>
        </w:rPr>
      </w:pPr>
      <w:r>
        <w:rPr>
          <w:sz w:val="22"/>
        </w:rPr>
        <w:t>Colleen C. Barrett*</w:t>
      </w:r>
    </w:p>
    <w:p>
      <w:pPr>
        <w:spacing w:line="251" w:lineRule="exact" w:before="0"/>
        <w:ind w:left="460" w:right="0" w:firstLine="0"/>
        <w:jc w:val="left"/>
        <w:rPr>
          <w:sz w:val="22"/>
        </w:rPr>
      </w:pPr>
      <w:r>
        <w:rPr>
          <w:sz w:val="22"/>
        </w:rPr>
        <w:t>Executive Vice President — Customers and Corporate Secretary</w:t>
      </w:r>
    </w:p>
    <w:p>
      <w:pPr>
        <w:pStyle w:val="BodyText"/>
        <w:spacing w:before="5"/>
        <w:rPr>
          <w:sz w:val="21"/>
        </w:rPr>
      </w:pPr>
    </w:p>
    <w:p>
      <w:pPr>
        <w:spacing w:line="251" w:lineRule="exact" w:before="0"/>
        <w:ind w:left="100" w:right="0" w:firstLine="0"/>
        <w:jc w:val="left"/>
        <w:rPr>
          <w:sz w:val="22"/>
        </w:rPr>
      </w:pPr>
      <w:r>
        <w:rPr>
          <w:sz w:val="22"/>
        </w:rPr>
        <w:t>Gary A. Barron*</w:t>
      </w:r>
    </w:p>
    <w:p>
      <w:pPr>
        <w:spacing w:line="251" w:lineRule="exact" w:before="0"/>
        <w:ind w:left="460" w:right="0" w:firstLine="0"/>
        <w:jc w:val="left"/>
        <w:rPr>
          <w:sz w:val="22"/>
        </w:rPr>
      </w:pPr>
      <w:r>
        <w:rPr>
          <w:sz w:val="22"/>
        </w:rPr>
        <w:t>Executive Vice President — Chief Operations</w:t>
      </w:r>
      <w:r>
        <w:rPr>
          <w:spacing w:val="51"/>
          <w:sz w:val="22"/>
        </w:rPr>
        <w:t> </w:t>
      </w:r>
      <w:r>
        <w:rPr>
          <w:sz w:val="22"/>
        </w:rPr>
        <w:t>Officer</w:t>
      </w:r>
    </w:p>
    <w:p>
      <w:pPr>
        <w:pStyle w:val="BodyText"/>
        <w:spacing w:before="4"/>
        <w:rPr>
          <w:sz w:val="21"/>
        </w:rPr>
      </w:pPr>
    </w:p>
    <w:p>
      <w:pPr>
        <w:spacing w:line="251" w:lineRule="exact" w:before="0"/>
        <w:ind w:left="100" w:right="0" w:firstLine="0"/>
        <w:jc w:val="left"/>
        <w:rPr>
          <w:sz w:val="22"/>
        </w:rPr>
      </w:pPr>
      <w:r>
        <w:rPr>
          <w:sz w:val="22"/>
        </w:rPr>
        <w:t>John G. Denison*</w:t>
      </w:r>
    </w:p>
    <w:p>
      <w:pPr>
        <w:spacing w:line="251" w:lineRule="exact" w:before="0"/>
        <w:ind w:left="460" w:right="0" w:firstLine="0"/>
        <w:jc w:val="left"/>
        <w:rPr>
          <w:sz w:val="22"/>
        </w:rPr>
      </w:pPr>
      <w:r>
        <w:rPr>
          <w:sz w:val="22"/>
        </w:rPr>
        <w:t>Executive Vice President — Corporate Services</w:t>
      </w:r>
    </w:p>
    <w:p>
      <w:pPr>
        <w:pStyle w:val="BodyText"/>
        <w:rPr>
          <w:sz w:val="22"/>
        </w:rPr>
      </w:pPr>
    </w:p>
    <w:p>
      <w:pPr>
        <w:spacing w:line="250" w:lineRule="exact" w:before="0"/>
        <w:ind w:left="460" w:right="6553" w:hanging="360"/>
        <w:jc w:val="left"/>
        <w:rPr>
          <w:sz w:val="22"/>
        </w:rPr>
      </w:pPr>
      <w:r>
        <w:rPr>
          <w:sz w:val="22"/>
        </w:rPr>
        <w:t>James C. Wimberly* Executive Vice President</w:t>
      </w:r>
    </w:p>
    <w:p>
      <w:pPr>
        <w:pStyle w:val="BodyText"/>
        <w:spacing w:before="1"/>
        <w:rPr>
          <w:sz w:val="21"/>
        </w:rPr>
      </w:pPr>
    </w:p>
    <w:p>
      <w:pPr>
        <w:spacing w:line="251" w:lineRule="exact" w:before="0"/>
        <w:ind w:left="100" w:right="0" w:firstLine="0"/>
        <w:jc w:val="left"/>
        <w:rPr>
          <w:sz w:val="22"/>
        </w:rPr>
      </w:pPr>
      <w:r>
        <w:rPr>
          <w:sz w:val="22"/>
        </w:rPr>
        <w:t>Carolyn R. Bates</w:t>
      </w:r>
    </w:p>
    <w:p>
      <w:pPr>
        <w:spacing w:line="251" w:lineRule="exact" w:before="0"/>
        <w:ind w:left="460" w:right="0" w:firstLine="0"/>
        <w:jc w:val="left"/>
        <w:rPr>
          <w:sz w:val="22"/>
        </w:rPr>
      </w:pPr>
      <w:r>
        <w:rPr>
          <w:sz w:val="22"/>
        </w:rPr>
        <w:t>Vice President — Reservations</w:t>
      </w:r>
    </w:p>
    <w:p>
      <w:pPr>
        <w:pStyle w:val="BodyText"/>
        <w:spacing w:before="4"/>
        <w:rPr>
          <w:sz w:val="21"/>
        </w:rPr>
      </w:pPr>
    </w:p>
    <w:p>
      <w:pPr>
        <w:spacing w:line="251" w:lineRule="exact" w:before="0"/>
        <w:ind w:left="100" w:right="0" w:firstLine="0"/>
        <w:jc w:val="left"/>
        <w:rPr>
          <w:sz w:val="22"/>
        </w:rPr>
      </w:pPr>
      <w:r>
        <w:rPr>
          <w:sz w:val="22"/>
        </w:rPr>
        <w:t>Donna D. Conover</w:t>
      </w:r>
    </w:p>
    <w:p>
      <w:pPr>
        <w:spacing w:line="251" w:lineRule="exact" w:before="0"/>
        <w:ind w:left="460" w:right="0" w:firstLine="0"/>
        <w:jc w:val="left"/>
        <w:rPr>
          <w:sz w:val="22"/>
        </w:rPr>
      </w:pPr>
      <w:r>
        <w:rPr>
          <w:sz w:val="22"/>
        </w:rPr>
        <w:t>Vice President — Inflight Service and Provisioning</w:t>
      </w:r>
    </w:p>
    <w:p>
      <w:pPr>
        <w:pStyle w:val="BodyText"/>
        <w:spacing w:before="5"/>
        <w:rPr>
          <w:sz w:val="21"/>
        </w:rPr>
      </w:pPr>
    </w:p>
    <w:p>
      <w:pPr>
        <w:spacing w:line="251" w:lineRule="exact" w:before="0"/>
        <w:ind w:left="100" w:right="0" w:firstLine="0"/>
        <w:jc w:val="left"/>
        <w:rPr>
          <w:sz w:val="22"/>
        </w:rPr>
      </w:pPr>
      <w:r>
        <w:rPr>
          <w:sz w:val="22"/>
        </w:rPr>
        <w:t>Alan S. Davis</w:t>
      </w:r>
    </w:p>
    <w:p>
      <w:pPr>
        <w:spacing w:line="251" w:lineRule="exact" w:before="0"/>
        <w:ind w:left="460" w:right="0" w:firstLine="0"/>
        <w:jc w:val="left"/>
        <w:rPr>
          <w:sz w:val="22"/>
        </w:rPr>
      </w:pPr>
      <w:r>
        <w:rPr>
          <w:sz w:val="22"/>
        </w:rPr>
        <w:t>Vice President — Internal Audit and Special Projects</w:t>
      </w:r>
    </w:p>
    <w:p>
      <w:pPr>
        <w:pStyle w:val="BodyText"/>
        <w:spacing w:before="5"/>
        <w:rPr>
          <w:sz w:val="21"/>
        </w:rPr>
      </w:pPr>
    </w:p>
    <w:p>
      <w:pPr>
        <w:spacing w:line="251" w:lineRule="exact" w:before="0"/>
        <w:ind w:left="100" w:right="0" w:firstLine="0"/>
        <w:jc w:val="left"/>
        <w:rPr>
          <w:sz w:val="22"/>
        </w:rPr>
      </w:pPr>
      <w:r>
        <w:rPr>
          <w:sz w:val="22"/>
        </w:rPr>
        <w:t>Michael P. Golden</w:t>
      </w:r>
    </w:p>
    <w:p>
      <w:pPr>
        <w:spacing w:line="251" w:lineRule="exact" w:before="0"/>
        <w:ind w:left="460" w:right="0" w:firstLine="0"/>
        <w:jc w:val="left"/>
        <w:rPr>
          <w:sz w:val="22"/>
        </w:rPr>
      </w:pPr>
      <w:r>
        <w:rPr>
          <w:sz w:val="22"/>
        </w:rPr>
        <w:t>Vice President — Purchasing</w:t>
      </w:r>
    </w:p>
    <w:p>
      <w:pPr>
        <w:pStyle w:val="BodyText"/>
        <w:spacing w:before="4"/>
        <w:rPr>
          <w:sz w:val="21"/>
        </w:rPr>
      </w:pPr>
    </w:p>
    <w:p>
      <w:pPr>
        <w:spacing w:line="251" w:lineRule="exact" w:before="1"/>
        <w:ind w:left="100" w:right="0" w:firstLine="0"/>
        <w:jc w:val="left"/>
        <w:rPr>
          <w:sz w:val="22"/>
        </w:rPr>
      </w:pPr>
      <w:r>
        <w:rPr>
          <w:sz w:val="22"/>
        </w:rPr>
        <w:t>Ginger C. Hardage</w:t>
      </w:r>
    </w:p>
    <w:p>
      <w:pPr>
        <w:spacing w:line="251" w:lineRule="exact" w:before="0"/>
        <w:ind w:left="460" w:right="0" w:firstLine="0"/>
        <w:jc w:val="left"/>
        <w:rPr>
          <w:sz w:val="22"/>
        </w:rPr>
      </w:pPr>
      <w:r>
        <w:rPr>
          <w:sz w:val="22"/>
        </w:rPr>
        <w:t>Vice President — Public Relations and Corporate Communications</w:t>
      </w:r>
    </w:p>
    <w:p>
      <w:pPr>
        <w:pStyle w:val="BodyText"/>
        <w:spacing w:before="4"/>
        <w:rPr>
          <w:sz w:val="21"/>
        </w:rPr>
      </w:pPr>
    </w:p>
    <w:p>
      <w:pPr>
        <w:spacing w:line="251" w:lineRule="exact" w:before="0"/>
        <w:ind w:left="100" w:right="0" w:firstLine="0"/>
        <w:jc w:val="left"/>
        <w:rPr>
          <w:sz w:val="22"/>
        </w:rPr>
      </w:pPr>
      <w:r>
        <w:rPr>
          <w:sz w:val="22"/>
        </w:rPr>
        <w:t>Ross W. Holman</w:t>
      </w:r>
    </w:p>
    <w:p>
      <w:pPr>
        <w:spacing w:line="251" w:lineRule="exact" w:before="0"/>
        <w:ind w:left="460" w:right="0" w:firstLine="0"/>
        <w:jc w:val="left"/>
        <w:rPr>
          <w:sz w:val="22"/>
        </w:rPr>
      </w:pPr>
      <w:r>
        <w:rPr>
          <w:sz w:val="22"/>
        </w:rPr>
        <w:t>Vice President — Systems</w:t>
      </w:r>
    </w:p>
    <w:p>
      <w:pPr>
        <w:pStyle w:val="BodyText"/>
        <w:rPr>
          <w:sz w:val="22"/>
        </w:rPr>
      </w:pPr>
    </w:p>
    <w:p>
      <w:pPr>
        <w:spacing w:line="250" w:lineRule="exact" w:before="0"/>
        <w:ind w:left="100" w:right="7798" w:firstLine="0"/>
        <w:jc w:val="center"/>
        <w:rPr>
          <w:sz w:val="22"/>
        </w:rPr>
      </w:pPr>
      <w:r>
        <w:rPr>
          <w:sz w:val="22"/>
        </w:rPr>
        <w:t>Robert E. Jordan Controller</w:t>
      </w:r>
    </w:p>
    <w:p>
      <w:pPr>
        <w:pStyle w:val="BodyText"/>
        <w:spacing w:before="1"/>
        <w:rPr>
          <w:sz w:val="21"/>
        </w:rPr>
      </w:pPr>
    </w:p>
    <w:p>
      <w:pPr>
        <w:spacing w:line="251" w:lineRule="exact" w:before="0"/>
        <w:ind w:left="100" w:right="0" w:firstLine="0"/>
        <w:jc w:val="left"/>
        <w:rPr>
          <w:sz w:val="22"/>
        </w:rPr>
      </w:pPr>
      <w:r>
        <w:rPr>
          <w:sz w:val="22"/>
        </w:rPr>
        <w:t>Camille T. Keith</w:t>
      </w:r>
    </w:p>
    <w:p>
      <w:pPr>
        <w:spacing w:line="251" w:lineRule="exact" w:before="0"/>
        <w:ind w:left="460" w:right="0" w:firstLine="0"/>
        <w:jc w:val="left"/>
        <w:rPr>
          <w:sz w:val="22"/>
        </w:rPr>
      </w:pPr>
      <w:r>
        <w:rPr>
          <w:sz w:val="22"/>
        </w:rPr>
        <w:t>Vice President — Special Marketing</w:t>
      </w:r>
    </w:p>
    <w:p>
      <w:pPr>
        <w:pStyle w:val="BodyText"/>
        <w:spacing w:before="4"/>
        <w:rPr>
          <w:sz w:val="21"/>
        </w:rPr>
      </w:pPr>
    </w:p>
    <w:p>
      <w:pPr>
        <w:spacing w:line="251" w:lineRule="exact" w:before="0"/>
        <w:ind w:left="100" w:right="0" w:firstLine="0"/>
        <w:jc w:val="left"/>
        <w:rPr>
          <w:sz w:val="22"/>
        </w:rPr>
      </w:pPr>
      <w:r>
        <w:rPr>
          <w:sz w:val="22"/>
        </w:rPr>
        <w:t>Gary C. Kelly*</w:t>
      </w:r>
    </w:p>
    <w:p>
      <w:pPr>
        <w:spacing w:line="251" w:lineRule="exact" w:before="0"/>
        <w:ind w:left="460" w:right="0" w:firstLine="0"/>
        <w:jc w:val="left"/>
        <w:rPr>
          <w:sz w:val="22"/>
        </w:rPr>
      </w:pPr>
      <w:r>
        <w:rPr>
          <w:sz w:val="22"/>
        </w:rPr>
        <w:t>Vice President — Finance, Chief Financial Officer</w:t>
      </w:r>
    </w:p>
    <w:p>
      <w:pPr>
        <w:spacing w:after="0" w:line="251" w:lineRule="exact"/>
        <w:jc w:val="left"/>
        <w:rPr>
          <w:sz w:val="22"/>
        </w:rPr>
        <w:sectPr>
          <w:pgSz w:w="12240" w:h="15840"/>
          <w:pgMar w:header="1448" w:footer="344" w:top="1680" w:bottom="540" w:left="1340" w:right="1320"/>
        </w:sectPr>
      </w:pPr>
    </w:p>
    <w:p>
      <w:pPr>
        <w:pStyle w:val="BodyText"/>
        <w:spacing w:before="9"/>
        <w:rPr>
          <w:sz w:val="15"/>
        </w:rPr>
      </w:pPr>
    </w:p>
    <w:p>
      <w:pPr>
        <w:spacing w:line="251" w:lineRule="exact" w:before="94"/>
        <w:ind w:left="100" w:right="0" w:firstLine="0"/>
        <w:jc w:val="left"/>
        <w:rPr>
          <w:sz w:val="22"/>
        </w:rPr>
      </w:pPr>
      <w:r>
        <w:rPr>
          <w:sz w:val="22"/>
        </w:rPr>
        <w:t>Pete McGlade</w:t>
      </w:r>
    </w:p>
    <w:p>
      <w:pPr>
        <w:spacing w:line="251" w:lineRule="exact" w:before="0"/>
        <w:ind w:left="460" w:right="0" w:firstLine="0"/>
        <w:jc w:val="left"/>
        <w:rPr>
          <w:sz w:val="22"/>
        </w:rPr>
      </w:pPr>
      <w:r>
        <w:rPr>
          <w:sz w:val="22"/>
        </w:rPr>
        <w:t>Vice President — Schedule Planning</w:t>
      </w:r>
    </w:p>
    <w:p>
      <w:pPr>
        <w:pStyle w:val="BodyText"/>
        <w:spacing w:before="4"/>
        <w:rPr>
          <w:sz w:val="21"/>
        </w:rPr>
      </w:pPr>
    </w:p>
    <w:p>
      <w:pPr>
        <w:spacing w:line="251" w:lineRule="exact" w:before="1"/>
        <w:ind w:left="100" w:right="0" w:firstLine="0"/>
        <w:jc w:val="left"/>
        <w:rPr>
          <w:sz w:val="22"/>
        </w:rPr>
      </w:pPr>
      <w:r>
        <w:rPr>
          <w:sz w:val="22"/>
        </w:rPr>
        <w:t>James F. Parker*</w:t>
      </w:r>
    </w:p>
    <w:p>
      <w:pPr>
        <w:spacing w:line="251" w:lineRule="exact" w:before="0"/>
        <w:ind w:left="460" w:right="0" w:firstLine="0"/>
        <w:jc w:val="left"/>
        <w:rPr>
          <w:sz w:val="22"/>
        </w:rPr>
      </w:pPr>
      <w:r>
        <w:rPr>
          <w:sz w:val="22"/>
        </w:rPr>
        <w:t>Vice President — General Counsel</w:t>
      </w:r>
    </w:p>
    <w:p>
      <w:pPr>
        <w:pStyle w:val="BodyText"/>
        <w:spacing w:before="4"/>
        <w:rPr>
          <w:sz w:val="21"/>
        </w:rPr>
      </w:pPr>
    </w:p>
    <w:p>
      <w:pPr>
        <w:spacing w:line="251" w:lineRule="exact" w:before="0"/>
        <w:ind w:left="100" w:right="0" w:firstLine="0"/>
        <w:jc w:val="left"/>
        <w:rPr>
          <w:sz w:val="22"/>
        </w:rPr>
      </w:pPr>
      <w:r>
        <w:rPr>
          <w:sz w:val="22"/>
        </w:rPr>
        <w:t>Ron Ricks*</w:t>
      </w:r>
    </w:p>
    <w:p>
      <w:pPr>
        <w:spacing w:line="251" w:lineRule="exact" w:before="0"/>
        <w:ind w:left="460" w:right="0" w:firstLine="0"/>
        <w:jc w:val="left"/>
        <w:rPr>
          <w:sz w:val="22"/>
        </w:rPr>
      </w:pPr>
      <w:r>
        <w:rPr>
          <w:sz w:val="22"/>
        </w:rPr>
        <w:t>Vice President — Governmental Affairs</w:t>
      </w:r>
    </w:p>
    <w:p>
      <w:pPr>
        <w:pStyle w:val="BodyText"/>
        <w:spacing w:before="5"/>
        <w:rPr>
          <w:sz w:val="21"/>
        </w:rPr>
      </w:pPr>
    </w:p>
    <w:p>
      <w:pPr>
        <w:spacing w:line="251" w:lineRule="exact" w:before="0"/>
        <w:ind w:left="100" w:right="0" w:firstLine="0"/>
        <w:jc w:val="left"/>
        <w:rPr>
          <w:sz w:val="22"/>
        </w:rPr>
      </w:pPr>
      <w:r>
        <w:rPr>
          <w:sz w:val="22"/>
        </w:rPr>
        <w:t>Dave Ridley*</w:t>
      </w:r>
    </w:p>
    <w:p>
      <w:pPr>
        <w:spacing w:line="251" w:lineRule="exact" w:before="0"/>
        <w:ind w:left="460" w:right="0" w:firstLine="0"/>
        <w:jc w:val="left"/>
        <w:rPr>
          <w:sz w:val="22"/>
        </w:rPr>
      </w:pPr>
      <w:r>
        <w:rPr>
          <w:sz w:val="22"/>
        </w:rPr>
        <w:t>Vice President — Ground Operations</w:t>
      </w:r>
    </w:p>
    <w:p>
      <w:pPr>
        <w:pStyle w:val="BodyText"/>
        <w:spacing w:before="5"/>
        <w:rPr>
          <w:sz w:val="21"/>
        </w:rPr>
      </w:pPr>
    </w:p>
    <w:p>
      <w:pPr>
        <w:spacing w:line="251" w:lineRule="exact" w:before="0"/>
        <w:ind w:left="100" w:right="0" w:firstLine="0"/>
        <w:jc w:val="left"/>
        <w:rPr>
          <w:sz w:val="22"/>
        </w:rPr>
      </w:pPr>
      <w:r>
        <w:rPr>
          <w:sz w:val="22"/>
        </w:rPr>
        <w:t>Joyce C. Rogge*</w:t>
      </w:r>
    </w:p>
    <w:p>
      <w:pPr>
        <w:spacing w:line="251" w:lineRule="exact" w:before="0"/>
        <w:ind w:left="460" w:right="0" w:firstLine="0"/>
        <w:jc w:val="left"/>
        <w:rPr>
          <w:sz w:val="22"/>
        </w:rPr>
      </w:pPr>
      <w:r>
        <w:rPr>
          <w:sz w:val="22"/>
        </w:rPr>
        <w:t>Vice President — Marketing</w:t>
      </w:r>
    </w:p>
    <w:p>
      <w:pPr>
        <w:pStyle w:val="BodyText"/>
        <w:spacing w:before="4"/>
        <w:rPr>
          <w:sz w:val="21"/>
        </w:rPr>
      </w:pPr>
    </w:p>
    <w:p>
      <w:pPr>
        <w:spacing w:line="251" w:lineRule="exact" w:before="1"/>
        <w:ind w:left="100" w:right="0" w:firstLine="0"/>
        <w:jc w:val="left"/>
        <w:rPr>
          <w:sz w:val="22"/>
        </w:rPr>
      </w:pPr>
      <w:r>
        <w:rPr>
          <w:sz w:val="22"/>
        </w:rPr>
        <w:t>Roger W. Saari</w:t>
      </w:r>
    </w:p>
    <w:p>
      <w:pPr>
        <w:spacing w:line="251" w:lineRule="exact" w:before="0"/>
        <w:ind w:left="460" w:right="0" w:firstLine="0"/>
        <w:jc w:val="left"/>
        <w:rPr>
          <w:sz w:val="22"/>
        </w:rPr>
      </w:pPr>
      <w:r>
        <w:rPr>
          <w:sz w:val="22"/>
        </w:rPr>
        <w:t>Vice President — Fuel Management</w:t>
      </w:r>
    </w:p>
    <w:p>
      <w:pPr>
        <w:pStyle w:val="BodyText"/>
        <w:spacing w:before="4"/>
        <w:rPr>
          <w:sz w:val="21"/>
        </w:rPr>
      </w:pPr>
    </w:p>
    <w:p>
      <w:pPr>
        <w:spacing w:line="251" w:lineRule="exact" w:before="0"/>
        <w:ind w:left="100" w:right="0" w:firstLine="0"/>
        <w:jc w:val="left"/>
        <w:rPr>
          <w:sz w:val="22"/>
        </w:rPr>
      </w:pPr>
      <w:r>
        <w:rPr>
          <w:sz w:val="22"/>
        </w:rPr>
        <w:t>Elizabeth P. Sartain*</w:t>
      </w:r>
    </w:p>
    <w:p>
      <w:pPr>
        <w:spacing w:line="251" w:lineRule="exact" w:before="0"/>
        <w:ind w:left="460" w:right="0" w:firstLine="0"/>
        <w:jc w:val="left"/>
        <w:rPr>
          <w:sz w:val="22"/>
        </w:rPr>
      </w:pPr>
      <w:r>
        <w:rPr>
          <w:sz w:val="22"/>
        </w:rPr>
        <w:t>Vice President — People</w:t>
      </w:r>
    </w:p>
    <w:p>
      <w:pPr>
        <w:pStyle w:val="BodyText"/>
        <w:spacing w:before="5"/>
        <w:rPr>
          <w:sz w:val="21"/>
        </w:rPr>
      </w:pPr>
    </w:p>
    <w:p>
      <w:pPr>
        <w:spacing w:line="251" w:lineRule="exact" w:before="0"/>
        <w:ind w:left="100" w:right="0" w:firstLine="0"/>
        <w:jc w:val="left"/>
        <w:rPr>
          <w:sz w:val="22"/>
        </w:rPr>
      </w:pPr>
      <w:r>
        <w:rPr>
          <w:sz w:val="22"/>
        </w:rPr>
        <w:t>Jim Sokol</w:t>
      </w:r>
    </w:p>
    <w:p>
      <w:pPr>
        <w:spacing w:line="251" w:lineRule="exact" w:before="0"/>
        <w:ind w:left="460" w:right="0" w:firstLine="0"/>
        <w:jc w:val="left"/>
        <w:rPr>
          <w:sz w:val="22"/>
        </w:rPr>
      </w:pPr>
      <w:r>
        <w:rPr>
          <w:sz w:val="22"/>
        </w:rPr>
        <w:t>Vice President — Maintenance and Engineering</w:t>
      </w:r>
    </w:p>
    <w:p>
      <w:pPr>
        <w:pStyle w:val="BodyText"/>
        <w:spacing w:before="5"/>
        <w:rPr>
          <w:sz w:val="21"/>
        </w:rPr>
      </w:pPr>
    </w:p>
    <w:p>
      <w:pPr>
        <w:spacing w:line="251" w:lineRule="exact" w:before="0"/>
        <w:ind w:left="100" w:right="0" w:firstLine="0"/>
        <w:jc w:val="left"/>
        <w:rPr>
          <w:sz w:val="22"/>
        </w:rPr>
      </w:pPr>
      <w:r>
        <w:rPr>
          <w:sz w:val="22"/>
        </w:rPr>
        <w:t>Paul E. Sterbenz</w:t>
      </w:r>
    </w:p>
    <w:p>
      <w:pPr>
        <w:spacing w:line="251" w:lineRule="exact" w:before="0"/>
        <w:ind w:left="460" w:right="0" w:firstLine="0"/>
        <w:jc w:val="left"/>
        <w:rPr>
          <w:sz w:val="22"/>
        </w:rPr>
      </w:pPr>
      <w:r>
        <w:rPr>
          <w:sz w:val="22"/>
        </w:rPr>
        <w:t>Vice President — Flight Operations</w:t>
      </w:r>
    </w:p>
    <w:p>
      <w:pPr>
        <w:pStyle w:val="BodyText"/>
        <w:spacing w:before="4"/>
        <w:rPr>
          <w:sz w:val="21"/>
        </w:rPr>
      </w:pPr>
    </w:p>
    <w:p>
      <w:pPr>
        <w:spacing w:line="251" w:lineRule="exact" w:before="0"/>
        <w:ind w:left="100" w:right="0" w:firstLine="0"/>
        <w:jc w:val="left"/>
        <w:rPr>
          <w:sz w:val="22"/>
        </w:rPr>
      </w:pPr>
      <w:r>
        <w:rPr>
          <w:sz w:val="22"/>
        </w:rPr>
        <w:t>Keith L. Taylor</w:t>
      </w:r>
    </w:p>
    <w:p>
      <w:pPr>
        <w:spacing w:line="251" w:lineRule="exact" w:before="0"/>
        <w:ind w:left="460" w:right="0" w:firstLine="0"/>
        <w:jc w:val="left"/>
        <w:rPr>
          <w:sz w:val="22"/>
        </w:rPr>
      </w:pPr>
      <w:r>
        <w:rPr>
          <w:sz w:val="22"/>
        </w:rPr>
        <w:t>Vice President — Revenue Management</w:t>
      </w:r>
    </w:p>
    <w:p>
      <w:pPr>
        <w:pStyle w:val="BodyText"/>
        <w:rPr>
          <w:sz w:val="22"/>
        </w:rPr>
      </w:pPr>
    </w:p>
    <w:p>
      <w:pPr>
        <w:spacing w:line="250" w:lineRule="exact" w:before="0"/>
        <w:ind w:left="460" w:right="7099" w:hanging="360"/>
        <w:jc w:val="left"/>
        <w:rPr>
          <w:sz w:val="22"/>
        </w:rPr>
      </w:pPr>
      <w:r>
        <w:rPr>
          <w:sz w:val="22"/>
        </w:rPr>
        <w:t>Laura H. Wright Treasurer</w:t>
      </w:r>
    </w:p>
    <w:p>
      <w:pPr>
        <w:pStyle w:val="BodyText"/>
        <w:spacing w:before="1"/>
        <w:rPr>
          <w:sz w:val="21"/>
        </w:rPr>
      </w:pPr>
    </w:p>
    <w:p>
      <w:pPr>
        <w:spacing w:before="0"/>
        <w:ind w:left="100" w:right="0" w:firstLine="0"/>
        <w:jc w:val="left"/>
        <w:rPr>
          <w:sz w:val="22"/>
        </w:rPr>
      </w:pPr>
      <w:r>
        <w:rPr>
          <w:sz w:val="22"/>
        </w:rPr>
        <w:t>*Member of Executive Planning Committee</w:t>
      </w:r>
    </w:p>
    <w:p>
      <w:pPr>
        <w:pStyle w:val="BodyText"/>
      </w:pPr>
    </w:p>
    <w:p>
      <w:pPr>
        <w:pStyle w:val="BodyText"/>
      </w:pPr>
    </w:p>
    <w:p>
      <w:pPr>
        <w:pStyle w:val="BodyText"/>
      </w:pPr>
    </w:p>
    <w:p>
      <w:pPr>
        <w:pStyle w:val="Heading3"/>
        <w:spacing w:line="358" w:lineRule="exact" w:before="209"/>
        <w:ind w:left="3016"/>
        <w:jc w:val="center"/>
        <w:rPr>
          <w:sz w:val="18"/>
        </w:rPr>
      </w:pPr>
      <w:r>
        <w:rPr>
          <w:color w:val="808080"/>
        </w:rPr>
        <w:t>Southwest Airlines</w:t>
      </w:r>
      <w:r>
        <w:rPr>
          <w:color w:val="808080"/>
          <w:spacing w:val="-62"/>
        </w:rPr>
        <w:t> </w:t>
      </w:r>
      <w:r>
        <w:rPr>
          <w:color w:val="808080"/>
          <w:position w:val="13"/>
          <w:sz w:val="18"/>
        </w:rPr>
        <w:t>®</w:t>
      </w:r>
    </w:p>
    <w:p>
      <w:pPr>
        <w:spacing w:before="0"/>
        <w:ind w:left="2740" w:right="2250" w:hanging="519"/>
        <w:jc w:val="left"/>
        <w:rPr>
          <w:b/>
          <w:sz w:val="28"/>
        </w:rPr>
      </w:pPr>
      <w:r>
        <w:rPr>
          <w:b/>
          <w:color w:val="808080"/>
          <w:sz w:val="28"/>
        </w:rPr>
        <w:t>P.O. BOX 36611 Dallas, TX 75235-1611 214/792-4000 1-800-I-FLY-SWA</w:t>
      </w:r>
    </w:p>
    <w:p>
      <w:pPr>
        <w:spacing w:line="322" w:lineRule="exact" w:before="0"/>
        <w:ind w:left="3009" w:right="3038" w:firstLine="0"/>
        <w:jc w:val="center"/>
        <w:rPr>
          <w:b/>
          <w:sz w:val="28"/>
        </w:rPr>
      </w:pPr>
      <w:hyperlink r:id="rId20">
        <w:r>
          <w:rPr>
            <w:b/>
            <w:color w:val="808080"/>
            <w:sz w:val="28"/>
          </w:rPr>
          <w:t>www.southwest.com</w:t>
        </w:r>
      </w:hyperlink>
    </w:p>
    <w:sectPr>
      <w:pgSz w:w="12240" w:h="15840"/>
      <w:pgMar w:header="1448" w:footer="344" w:top="1700" w:bottom="5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029pt;margin-top:763.816711pt;width:10.75pt;height:15.45pt;mso-position-horizontal-relative:page;mso-position-vertical-relative:page;z-index:-174208" type="#_x0000_t202" filled="false" stroked="false">
          <v:textbox inset="0,0,0,0">
            <w:txbxContent>
              <w:p>
                <w:pPr>
                  <w:pStyle w:val="BodyText"/>
                  <w:spacing w:before="12"/>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3992" type="#_x0000_t202" filled="false" stroked="false">
          <v:textbox inset="0,0,0,0">
            <w:txbxContent>
              <w:p>
                <w:pPr>
                  <w:pStyle w:val="BodyText"/>
                  <w:spacing w:before="12"/>
                  <w:ind w:left="20"/>
                </w:pPr>
                <w:r>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3968" type="#_x0000_t202" filled="false" stroked="false">
          <v:textbox inset="0,0,0,0">
            <w:txbxContent>
              <w:p>
                <w:pPr>
                  <w:pStyle w:val="BodyText"/>
                  <w:spacing w:before="12"/>
                  <w:ind w:left="40"/>
                </w:pPr>
                <w:r>
                  <w:rPr/>
                  <w:fldChar w:fldCharType="begin"/>
                </w:r>
                <w:r>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3944" type="#_x0000_t202" filled="false" stroked="false">
          <v:textbox inset="0,0,0,0">
            <w:txbxContent>
              <w:p>
                <w:pPr>
                  <w:pStyle w:val="BodyText"/>
                  <w:spacing w:before="12"/>
                  <w:ind w:left="20"/>
                </w:pPr>
                <w:r>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3920" type="#_x0000_t202" filled="false" stroked="false">
          <v:textbox inset="0,0,0,0">
            <w:txbxContent>
              <w:p>
                <w:pPr>
                  <w:pStyle w:val="BodyText"/>
                  <w:spacing w:before="12"/>
                  <w:ind w:left="40"/>
                </w:pPr>
                <w:r>
                  <w:rPr/>
                  <w:fldChar w:fldCharType="begin"/>
                </w:r>
                <w:r>
                  <w:rPr/>
                  <w:instrText> PAGE </w:instrText>
                </w:r>
                <w:r>
                  <w:rPr/>
                  <w:fldChar w:fldCharType="separate"/>
                </w:r>
                <w:r>
                  <w:rPr/>
                  <w:t>61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184" type="#_x0000_t202" filled="false" stroked="false">
          <v:textbox inset="0,0,0,0">
            <w:txbxContent>
              <w:p>
                <w:pPr>
                  <w:pStyle w:val="BodyText"/>
                  <w:spacing w:before="12"/>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160" type="#_x0000_t202" filled="false" stroked="false">
          <v:textbox inset="0,0,0,0">
            <w:txbxContent>
              <w:p>
                <w:pPr>
                  <w:pStyle w:val="BodyText"/>
                  <w:spacing w:before="12"/>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136" type="#_x0000_t202" filled="false" stroked="false">
          <v:textbox inset="0,0,0,0">
            <w:txbxContent>
              <w:p>
                <w:pPr>
                  <w:pStyle w:val="BodyText"/>
                  <w:spacing w:before="12"/>
                  <w:ind w:left="20"/>
                </w:pPr>
                <w:r>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112" type="#_x0000_t202" filled="false" stroked="false">
          <v:textbox inset="0,0,0,0">
            <w:txbxContent>
              <w:p>
                <w:pPr>
                  <w:pStyle w:val="BodyText"/>
                  <w:spacing w:before="12"/>
                  <w:ind w:left="40"/>
                </w:pPr>
                <w:r>
                  <w:rPr/>
                  <w:fldChar w:fldCharType="begin"/>
                </w:r>
                <w:r>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088" type="#_x0000_t202" filled="false" stroked="false">
          <v:textbox inset="0,0,0,0">
            <w:txbxContent>
              <w:p>
                <w:pPr>
                  <w:pStyle w:val="BodyText"/>
                  <w:spacing w:before="12"/>
                  <w:ind w:left="20"/>
                </w:pPr>
                <w:r>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064" type="#_x0000_t202" filled="false" stroked="false">
          <v:textbox inset="0,0,0,0">
            <w:txbxContent>
              <w:p>
                <w:pPr>
                  <w:pStyle w:val="BodyText"/>
                  <w:spacing w:before="12"/>
                  <w:ind w:left="40"/>
                </w:pPr>
                <w:r>
                  <w:rPr/>
                  <w:fldChar w:fldCharType="begin"/>
                </w:r>
                <w:r>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559998pt;margin-top:763.816711pt;width:15.45pt;height:15.45pt;mso-position-horizontal-relative:page;mso-position-vertical-relative:page;z-index:-174040" type="#_x0000_t202" filled="false" stroked="false">
          <v:textbox inset="0,0,0,0">
            <w:txbxContent>
              <w:p>
                <w:pPr>
                  <w:pStyle w:val="BodyText"/>
                  <w:spacing w:before="12"/>
                  <w:ind w:left="20"/>
                </w:pPr>
                <w:r>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59998pt;margin-top:763.816711pt;width:17.55pt;height:15.45pt;mso-position-horizontal-relative:page;mso-position-vertical-relative:page;z-index:-174016" type="#_x0000_t202" filled="false" stroked="false">
          <v:textbox inset="0,0,0,0">
            <w:txbxContent>
              <w:p>
                <w:pPr>
                  <w:pStyle w:val="BodyText"/>
                  <w:spacing w:before="12"/>
                  <w:ind w:left="40"/>
                </w:pPr>
                <w:r>
                  <w:rPr/>
                  <w:fldChar w:fldCharType="begin"/>
                </w:r>
                <w:r>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27.639999pt;margin-top:71.325783pt;width:355.95pt;height:14.35pt;mso-position-horizontal-relative:page;mso-position-vertical-relative:page;z-index:-174232" type="#_x0000_t202" filled="false" stroked="false">
          <v:textbox inset="0,0,0,0">
            <w:txbxContent>
              <w:p>
                <w:pPr>
                  <w:spacing w:before="13"/>
                  <w:ind w:left="20" w:right="0" w:firstLine="0"/>
                  <w:jc w:val="left"/>
                  <w:rPr>
                    <w:b/>
                    <w:sz w:val="22"/>
                  </w:rPr>
                </w:pPr>
                <w:r>
                  <w:rPr>
                    <w:b/>
                    <w:spacing w:val="16"/>
                    <w:w w:val="110"/>
                    <w:sz w:val="22"/>
                  </w:rPr>
                  <w:t>SOUTHWEST</w:t>
                </w:r>
                <w:r>
                  <w:rPr>
                    <w:b/>
                    <w:spacing w:val="-34"/>
                    <w:w w:val="110"/>
                    <w:sz w:val="22"/>
                  </w:rPr>
                  <w:t> </w:t>
                </w:r>
                <w:r>
                  <w:rPr>
                    <w:b/>
                    <w:spacing w:val="15"/>
                    <w:w w:val="110"/>
                    <w:sz w:val="22"/>
                  </w:rPr>
                  <w:t>AIRLINES</w:t>
                </w:r>
                <w:r>
                  <w:rPr>
                    <w:b/>
                    <w:spacing w:val="-36"/>
                    <w:w w:val="110"/>
                    <w:sz w:val="22"/>
                  </w:rPr>
                  <w:t> </w:t>
                </w:r>
                <w:r>
                  <w:rPr>
                    <w:b/>
                    <w:spacing w:val="12"/>
                    <w:w w:val="110"/>
                    <w:sz w:val="22"/>
                  </w:rPr>
                  <w:t>CO.</w:t>
                </w:r>
                <w:r>
                  <w:rPr>
                    <w:b/>
                    <w:spacing w:val="-29"/>
                    <w:w w:val="110"/>
                    <w:sz w:val="22"/>
                  </w:rPr>
                  <w:t> </w:t>
                </w:r>
                <w:r>
                  <w:rPr>
                    <w:b/>
                    <w:color w:val="FF0000"/>
                    <w:w w:val="145"/>
                    <w:sz w:val="22"/>
                  </w:rPr>
                  <w:t>•</w:t>
                </w:r>
                <w:r>
                  <w:rPr>
                    <w:b/>
                    <w:color w:val="FF0000"/>
                    <w:spacing w:val="-53"/>
                    <w:w w:val="145"/>
                    <w:sz w:val="22"/>
                  </w:rPr>
                  <w:t> </w:t>
                </w:r>
                <w:r>
                  <w:rPr>
                    <w:b/>
                    <w:spacing w:val="13"/>
                    <w:w w:val="110"/>
                    <w:sz w:val="22"/>
                  </w:rPr>
                  <w:t>SIX</w:t>
                </w:r>
                <w:r>
                  <w:rPr>
                    <w:b/>
                    <w:spacing w:val="-34"/>
                    <w:w w:val="110"/>
                    <w:sz w:val="22"/>
                  </w:rPr>
                  <w:t> </w:t>
                </w:r>
                <w:r>
                  <w:rPr>
                    <w:b/>
                    <w:spacing w:val="18"/>
                    <w:w w:val="110"/>
                    <w:sz w:val="22"/>
                  </w:rPr>
                  <w:t>STORIES</w:t>
                </w:r>
                <w:r>
                  <w:rPr>
                    <w:b/>
                    <w:spacing w:val="-34"/>
                    <w:w w:val="110"/>
                    <w:sz w:val="22"/>
                  </w:rPr>
                  <w:t> </w:t>
                </w:r>
                <w:r>
                  <w:rPr>
                    <w:b/>
                    <w:spacing w:val="10"/>
                    <w:w w:val="110"/>
                    <w:sz w:val="22"/>
                  </w:rPr>
                  <w:t>OF</w:t>
                </w:r>
                <w:r>
                  <w:rPr>
                    <w:b/>
                    <w:spacing w:val="-33"/>
                    <w:w w:val="110"/>
                    <w:sz w:val="22"/>
                  </w:rPr>
                  <w:t> </w:t>
                </w:r>
                <w:r>
                  <w:rPr>
                    <w:b/>
                    <w:spacing w:val="17"/>
                    <w:w w:val="110"/>
                    <w:sz w:val="22"/>
                  </w:rPr>
                  <w:t>FREEDOM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20" w:hanging="292"/>
        <w:jc w:val="left"/>
      </w:pPr>
      <w:rPr>
        <w:rFonts w:hint="default" w:ascii="Arial" w:hAnsi="Arial" w:eastAsia="Arial" w:cs="Arial"/>
        <w:i/>
        <w:color w:val="000080"/>
        <w:spacing w:val="0"/>
        <w:w w:val="100"/>
        <w:sz w:val="18"/>
        <w:szCs w:val="18"/>
      </w:rPr>
    </w:lvl>
    <w:lvl w:ilvl="1">
      <w:start w:val="0"/>
      <w:numFmt w:val="bullet"/>
      <w:lvlText w:val="•"/>
      <w:lvlJc w:val="left"/>
      <w:pPr>
        <w:ind w:left="1068" w:hanging="292"/>
      </w:pPr>
      <w:rPr>
        <w:rFonts w:hint="default"/>
      </w:rPr>
    </w:lvl>
    <w:lvl w:ilvl="2">
      <w:start w:val="0"/>
      <w:numFmt w:val="bullet"/>
      <w:lvlText w:val="•"/>
      <w:lvlJc w:val="left"/>
      <w:pPr>
        <w:ind w:left="2016" w:hanging="292"/>
      </w:pPr>
      <w:rPr>
        <w:rFonts w:hint="default"/>
      </w:rPr>
    </w:lvl>
    <w:lvl w:ilvl="3">
      <w:start w:val="0"/>
      <w:numFmt w:val="bullet"/>
      <w:lvlText w:val="•"/>
      <w:lvlJc w:val="left"/>
      <w:pPr>
        <w:ind w:left="2964" w:hanging="292"/>
      </w:pPr>
      <w:rPr>
        <w:rFonts w:hint="default"/>
      </w:rPr>
    </w:lvl>
    <w:lvl w:ilvl="4">
      <w:start w:val="0"/>
      <w:numFmt w:val="bullet"/>
      <w:lvlText w:val="•"/>
      <w:lvlJc w:val="left"/>
      <w:pPr>
        <w:ind w:left="3912" w:hanging="292"/>
      </w:pPr>
      <w:rPr>
        <w:rFonts w:hint="default"/>
      </w:rPr>
    </w:lvl>
    <w:lvl w:ilvl="5">
      <w:start w:val="0"/>
      <w:numFmt w:val="bullet"/>
      <w:lvlText w:val="•"/>
      <w:lvlJc w:val="left"/>
      <w:pPr>
        <w:ind w:left="4860" w:hanging="292"/>
      </w:pPr>
      <w:rPr>
        <w:rFonts w:hint="default"/>
      </w:rPr>
    </w:lvl>
    <w:lvl w:ilvl="6">
      <w:start w:val="0"/>
      <w:numFmt w:val="bullet"/>
      <w:lvlText w:val="•"/>
      <w:lvlJc w:val="left"/>
      <w:pPr>
        <w:ind w:left="5808" w:hanging="292"/>
      </w:pPr>
      <w:rPr>
        <w:rFonts w:hint="default"/>
      </w:rPr>
    </w:lvl>
    <w:lvl w:ilvl="7">
      <w:start w:val="0"/>
      <w:numFmt w:val="bullet"/>
      <w:lvlText w:val="•"/>
      <w:lvlJc w:val="left"/>
      <w:pPr>
        <w:ind w:left="6756" w:hanging="292"/>
      </w:pPr>
      <w:rPr>
        <w:rFonts w:hint="default"/>
      </w:rPr>
    </w:lvl>
    <w:lvl w:ilvl="8">
      <w:start w:val="0"/>
      <w:numFmt w:val="bullet"/>
      <w:lvlText w:val="•"/>
      <w:lvlJc w:val="left"/>
      <w:pPr>
        <w:ind w:left="7704" w:hanging="292"/>
      </w:pPr>
      <w:rPr>
        <w:rFonts w:hint="default"/>
      </w:rPr>
    </w:lvl>
  </w:abstractNum>
  <w:abstractNum w:abstractNumId="1">
    <w:multiLevelType w:val="hybridMultilevel"/>
    <w:lvl w:ilvl="0">
      <w:start w:val="5"/>
      <w:numFmt w:val="decimal"/>
      <w:lvlText w:val="%1."/>
      <w:lvlJc w:val="left"/>
      <w:pPr>
        <w:ind w:left="388" w:hanging="269"/>
        <w:jc w:val="left"/>
      </w:pPr>
      <w:rPr>
        <w:rFonts w:hint="default" w:ascii="Arial" w:hAnsi="Arial" w:eastAsia="Arial" w:cs="Arial"/>
        <w:b/>
        <w:bCs/>
        <w:color w:val="000080"/>
        <w:w w:val="100"/>
        <w:sz w:val="24"/>
        <w:szCs w:val="24"/>
      </w:rPr>
    </w:lvl>
    <w:lvl w:ilvl="1">
      <w:start w:val="0"/>
      <w:numFmt w:val="bullet"/>
      <w:lvlText w:val="•"/>
      <w:lvlJc w:val="left"/>
      <w:pPr>
        <w:ind w:left="1302" w:hanging="269"/>
      </w:pPr>
      <w:rPr>
        <w:rFonts w:hint="default"/>
      </w:rPr>
    </w:lvl>
    <w:lvl w:ilvl="2">
      <w:start w:val="0"/>
      <w:numFmt w:val="bullet"/>
      <w:lvlText w:val="•"/>
      <w:lvlJc w:val="left"/>
      <w:pPr>
        <w:ind w:left="2224" w:hanging="269"/>
      </w:pPr>
      <w:rPr>
        <w:rFonts w:hint="default"/>
      </w:rPr>
    </w:lvl>
    <w:lvl w:ilvl="3">
      <w:start w:val="0"/>
      <w:numFmt w:val="bullet"/>
      <w:lvlText w:val="•"/>
      <w:lvlJc w:val="left"/>
      <w:pPr>
        <w:ind w:left="3146" w:hanging="269"/>
      </w:pPr>
      <w:rPr>
        <w:rFonts w:hint="default"/>
      </w:rPr>
    </w:lvl>
    <w:lvl w:ilvl="4">
      <w:start w:val="0"/>
      <w:numFmt w:val="bullet"/>
      <w:lvlText w:val="•"/>
      <w:lvlJc w:val="left"/>
      <w:pPr>
        <w:ind w:left="4068" w:hanging="269"/>
      </w:pPr>
      <w:rPr>
        <w:rFonts w:hint="default"/>
      </w:rPr>
    </w:lvl>
    <w:lvl w:ilvl="5">
      <w:start w:val="0"/>
      <w:numFmt w:val="bullet"/>
      <w:lvlText w:val="•"/>
      <w:lvlJc w:val="left"/>
      <w:pPr>
        <w:ind w:left="4990" w:hanging="269"/>
      </w:pPr>
      <w:rPr>
        <w:rFonts w:hint="default"/>
      </w:rPr>
    </w:lvl>
    <w:lvl w:ilvl="6">
      <w:start w:val="0"/>
      <w:numFmt w:val="bullet"/>
      <w:lvlText w:val="•"/>
      <w:lvlJc w:val="left"/>
      <w:pPr>
        <w:ind w:left="5912" w:hanging="269"/>
      </w:pPr>
      <w:rPr>
        <w:rFonts w:hint="default"/>
      </w:rPr>
    </w:lvl>
    <w:lvl w:ilvl="7">
      <w:start w:val="0"/>
      <w:numFmt w:val="bullet"/>
      <w:lvlText w:val="•"/>
      <w:lvlJc w:val="left"/>
      <w:pPr>
        <w:ind w:left="6834" w:hanging="269"/>
      </w:pPr>
      <w:rPr>
        <w:rFonts w:hint="default"/>
      </w:rPr>
    </w:lvl>
    <w:lvl w:ilvl="8">
      <w:start w:val="0"/>
      <w:numFmt w:val="bullet"/>
      <w:lvlText w:val="•"/>
      <w:lvlJc w:val="left"/>
      <w:pPr>
        <w:ind w:left="7756" w:hanging="269"/>
      </w:pPr>
      <w:rPr>
        <w:rFonts w:hint="default"/>
      </w:rPr>
    </w:lvl>
  </w:abstractNum>
  <w:abstractNum w:abstractNumId="0">
    <w:multiLevelType w:val="hybridMultilevel"/>
    <w:lvl w:ilvl="0">
      <w:start w:val="1"/>
      <w:numFmt w:val="decimal"/>
      <w:lvlText w:val="%1."/>
      <w:lvlJc w:val="left"/>
      <w:pPr>
        <w:ind w:left="368" w:hanging="269"/>
        <w:jc w:val="left"/>
      </w:pPr>
      <w:rPr>
        <w:rFonts w:hint="default" w:ascii="Arial" w:hAnsi="Arial" w:eastAsia="Arial" w:cs="Arial"/>
        <w:b/>
        <w:bCs/>
        <w:color w:val="000080"/>
        <w:w w:val="100"/>
        <w:sz w:val="24"/>
        <w:szCs w:val="24"/>
      </w:rPr>
    </w:lvl>
    <w:lvl w:ilvl="1">
      <w:start w:val="0"/>
      <w:numFmt w:val="bullet"/>
      <w:lvlText w:val="•"/>
      <w:lvlJc w:val="left"/>
      <w:pPr>
        <w:ind w:left="1282" w:hanging="269"/>
      </w:pPr>
      <w:rPr>
        <w:rFonts w:hint="default"/>
      </w:rPr>
    </w:lvl>
    <w:lvl w:ilvl="2">
      <w:start w:val="0"/>
      <w:numFmt w:val="bullet"/>
      <w:lvlText w:val="•"/>
      <w:lvlJc w:val="left"/>
      <w:pPr>
        <w:ind w:left="2204" w:hanging="269"/>
      </w:pPr>
      <w:rPr>
        <w:rFonts w:hint="default"/>
      </w:rPr>
    </w:lvl>
    <w:lvl w:ilvl="3">
      <w:start w:val="0"/>
      <w:numFmt w:val="bullet"/>
      <w:lvlText w:val="•"/>
      <w:lvlJc w:val="left"/>
      <w:pPr>
        <w:ind w:left="3126" w:hanging="269"/>
      </w:pPr>
      <w:rPr>
        <w:rFonts w:hint="default"/>
      </w:rPr>
    </w:lvl>
    <w:lvl w:ilvl="4">
      <w:start w:val="0"/>
      <w:numFmt w:val="bullet"/>
      <w:lvlText w:val="•"/>
      <w:lvlJc w:val="left"/>
      <w:pPr>
        <w:ind w:left="4048" w:hanging="269"/>
      </w:pPr>
      <w:rPr>
        <w:rFonts w:hint="default"/>
      </w:rPr>
    </w:lvl>
    <w:lvl w:ilvl="5">
      <w:start w:val="0"/>
      <w:numFmt w:val="bullet"/>
      <w:lvlText w:val="•"/>
      <w:lvlJc w:val="left"/>
      <w:pPr>
        <w:ind w:left="4970" w:hanging="269"/>
      </w:pPr>
      <w:rPr>
        <w:rFonts w:hint="default"/>
      </w:rPr>
    </w:lvl>
    <w:lvl w:ilvl="6">
      <w:start w:val="0"/>
      <w:numFmt w:val="bullet"/>
      <w:lvlText w:val="•"/>
      <w:lvlJc w:val="left"/>
      <w:pPr>
        <w:ind w:left="5892" w:hanging="269"/>
      </w:pPr>
      <w:rPr>
        <w:rFonts w:hint="default"/>
      </w:rPr>
    </w:lvl>
    <w:lvl w:ilvl="7">
      <w:start w:val="0"/>
      <w:numFmt w:val="bullet"/>
      <w:lvlText w:val="•"/>
      <w:lvlJc w:val="left"/>
      <w:pPr>
        <w:ind w:left="6814" w:hanging="269"/>
      </w:pPr>
      <w:rPr>
        <w:rFonts w:hint="default"/>
      </w:rPr>
    </w:lvl>
    <w:lvl w:ilvl="8">
      <w:start w:val="0"/>
      <w:numFmt w:val="bullet"/>
      <w:lvlText w:val="•"/>
      <w:lvlJc w:val="left"/>
      <w:pPr>
        <w:ind w:left="7736" w:hanging="26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0"/>
      <w:ind w:left="119"/>
    </w:pPr>
    <w:rPr>
      <w:rFonts w:ascii="Arial" w:hAnsi="Arial" w:eastAsia="Arial" w:cs="Arial"/>
      <w:sz w:val="20"/>
      <w:szCs w:val="20"/>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00"/>
      <w:outlineLvl w:val="1"/>
    </w:pPr>
    <w:rPr>
      <w:rFonts w:ascii="Arial" w:hAnsi="Arial" w:eastAsia="Arial" w:cs="Arial"/>
      <w:b/>
      <w:bCs/>
      <w:sz w:val="32"/>
      <w:szCs w:val="32"/>
    </w:rPr>
  </w:style>
  <w:style w:styleId="Heading2" w:type="paragraph">
    <w:name w:val="Heading 2"/>
    <w:basedOn w:val="Normal"/>
    <w:uiPriority w:val="1"/>
    <w:qFormat/>
    <w:pPr>
      <w:spacing w:before="93"/>
      <w:ind w:left="282" w:right="118" w:hanging="183"/>
      <w:jc w:val="both"/>
      <w:outlineLvl w:val="2"/>
    </w:pPr>
    <w:rPr>
      <w:rFonts w:ascii="Arial" w:hAnsi="Arial" w:eastAsia="Arial" w:cs="Arial"/>
      <w:sz w:val="32"/>
      <w:szCs w:val="32"/>
    </w:rPr>
  </w:style>
  <w:style w:styleId="Heading3" w:type="paragraph">
    <w:name w:val="Heading 3"/>
    <w:basedOn w:val="Normal"/>
    <w:uiPriority w:val="1"/>
    <w:qFormat/>
    <w:pPr>
      <w:ind w:left="100" w:right="3038"/>
      <w:outlineLvl w:val="3"/>
    </w:pPr>
    <w:rPr>
      <w:rFonts w:ascii="Arial" w:hAnsi="Arial" w:eastAsia="Arial" w:cs="Arial"/>
      <w:b/>
      <w:bCs/>
      <w:sz w:val="28"/>
      <w:szCs w:val="28"/>
    </w:rPr>
  </w:style>
  <w:style w:styleId="Heading4" w:type="paragraph">
    <w:name w:val="Heading 4"/>
    <w:basedOn w:val="Normal"/>
    <w:uiPriority w:val="1"/>
    <w:qFormat/>
    <w:pPr>
      <w:ind w:left="100"/>
      <w:outlineLvl w:val="4"/>
    </w:pPr>
    <w:rPr>
      <w:rFonts w:ascii="Arial" w:hAnsi="Arial" w:eastAsia="Arial" w:cs="Arial"/>
      <w:b/>
      <w:bCs/>
      <w:sz w:val="24"/>
      <w:szCs w:val="24"/>
    </w:rPr>
  </w:style>
  <w:style w:styleId="ListParagraph" w:type="paragraph">
    <w:name w:val="List Paragraph"/>
    <w:basedOn w:val="Normal"/>
    <w:uiPriority w:val="1"/>
    <w:qFormat/>
    <w:pPr>
      <w:ind w:left="398" w:hanging="278"/>
    </w:pPr>
    <w:rPr>
      <w:rFonts w:ascii="Arial" w:hAnsi="Arial" w:eastAsia="Arial" w:cs="Arial"/>
    </w:rPr>
  </w:style>
  <w:style w:styleId="TableParagraph" w:type="paragraph">
    <w:name w:val="Table Paragraph"/>
    <w:basedOn w:val="Normal"/>
    <w:uiPriority w:val="1"/>
    <w:qFormat/>
    <w:pPr>
      <w:jc w:val="right"/>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theme" Target="theme/theme1.xml"/><Relationship Id="rId21" Type="http://schemas.openxmlformats.org/officeDocument/2006/relationships/numbering" Target="numbering.xml"/><Relationship Id="rId7" Type="http://schemas.openxmlformats.org/officeDocument/2006/relationships/footer" Target="footer2.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fontTable" Target="fontTable.xml"/><Relationship Id="rId16" Type="http://schemas.openxmlformats.org/officeDocument/2006/relationships/footer" Target="footer10.xml"/><Relationship Id="rId20" Type="http://schemas.openxmlformats.org/officeDocument/2006/relationships/hyperlink" Target="http://www.southwest.com/"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1.jpeg"/><Relationship Id="rId24" Type="http://schemas.openxmlformats.org/officeDocument/2006/relationships/customXml" Target="../customXml/item3.xml"/><Relationship Id="rId5" Type="http://schemas.openxmlformats.org/officeDocument/2006/relationships/header" Target="header1.xml"/><Relationship Id="rId15" Type="http://schemas.openxmlformats.org/officeDocument/2006/relationships/footer" Target="footer9.xml"/><Relationship Id="rId23" Type="http://schemas.openxmlformats.org/officeDocument/2006/relationships/customXml" Target="../customXml/item2.xml"/><Relationship Id="rId10" Type="http://schemas.openxmlformats.org/officeDocument/2006/relationships/footer" Target="footer5.xml"/><Relationship Id="rId19"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4.xml"/><Relationship Id="rId14" Type="http://schemas.openxmlformats.org/officeDocument/2006/relationships/footer" Target="footer8.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A24584C23FDF4BB8656E52E9AA5D01" ma:contentTypeVersion="11" ma:contentTypeDescription="Create a new document." ma:contentTypeScope="" ma:versionID="76de551bf221948fb2d3ed9559999afe">
  <xsd:schema xmlns:xsd="http://www.w3.org/2001/XMLSchema" xmlns:xs="http://www.w3.org/2001/XMLSchema" xmlns:p="http://schemas.microsoft.com/office/2006/metadata/properties" xmlns:ns2="bc35cd33-ac99-4bdf-afb1-5d174353cdd5" xmlns:ns3="2e9196fe-87c2-4263-8992-3ae1dbaa9fde" targetNamespace="http://schemas.microsoft.com/office/2006/metadata/properties" ma:root="true" ma:fieldsID="97a40b68771092e9fdddcc1dd8247e79" ns2:_="" ns3:_="">
    <xsd:import namespace="bc35cd33-ac99-4bdf-afb1-5d174353cdd5"/>
    <xsd:import namespace="2e9196fe-87c2-4263-8992-3ae1dbaa9f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5cd33-ac99-4bdf-afb1-5d174353cd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9196fe-87c2-4263-8992-3ae1dbaa9f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28A233-5BAA-4E62-9096-133BAE4DB8AA}"/>
</file>

<file path=customXml/itemProps2.xml><?xml version="1.0" encoding="utf-8"?>
<ds:datastoreItem xmlns:ds="http://schemas.openxmlformats.org/officeDocument/2006/customXml" ds:itemID="{165A8799-C3F4-4332-B7A2-C7C91E45688E}"/>
</file>

<file path=customXml/itemProps3.xml><?xml version="1.0" encoding="utf-8"?>
<ds:datastoreItem xmlns:ds="http://schemas.openxmlformats.org/officeDocument/2006/customXml" ds:itemID="{B12E720F-0767-47EB-98C9-F0B1DDF53DE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swaar98.PDF</dc:title>
  <dc:subject>Southwest Airlines Co. 1998 Annual Report</dc:subject>
  <dc:creator>SWA</dc:creator>
  <dcterms:created xsi:type="dcterms:W3CDTF">2018-01-03T22:41:33Z</dcterms:created>
  <dcterms:modified xsi:type="dcterms:W3CDTF">2018-01-03T22:41:33Z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1999-04-16T00:00:00Z</vt:filetime>
  </property>
  <property fmtid="{D5CDD505-2E9C-101B-9397-08002B2CF9AE}" pid="3" name="Creator">
    <vt:lpwstr>Microsoft Word - swaar98.doc (Read-Only)</vt:lpwstr>
  </property>
  <property fmtid="{D5CDD505-2E9C-101B-9397-08002B2CF9AE}" pid="4" name="LastSaved">
    <vt:filetime>1999-04-16T00:00:00Z</vt:filetime>
  </property>
  <property fmtid="{D5CDD505-2E9C-101B-9397-08002B2CF9AE}" pid="5" name="ContentTypeId">
    <vt:lpwstr>0x010100F1A24584C23FDF4BB8656E52E9AA5D01</vt:lpwstr>
  </property>
</Properties>
</file>